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UNITED STATES</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ANNUAL REPORT PURSUANT TO SECTION 13 OR 15(d)</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 the fiscal year ended December 31, 2016</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w:t>
      </w:r>
      <w:r>
        <w:rPr>
          <w:rFonts w:ascii="Arial" w:cs="Arial" w:eastAsia="Arial" w:hAnsi="Arial"/>
          <w:sz w:val="18"/>
          <w:szCs w:val="18"/>
          <w:color w:val="auto"/>
        </w:rPr>
        <w: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20" w:type="dxa"/>
            <w:vAlign w:val="bottom"/>
          </w:tcPr>
          <w:p>
            <w:pPr>
              <w:jc w:val="right"/>
              <w:ind w:right="3070"/>
              <w:spacing w:after="0"/>
              <w:rPr>
                <w:sz w:val="20"/>
                <w:szCs w:val="20"/>
                <w:color w:val="auto"/>
              </w:rPr>
            </w:pPr>
            <w:r>
              <w:rPr>
                <w:rFonts w:ascii="Arial" w:cs="Arial" w:eastAsia="Arial" w:hAnsi="Arial"/>
                <w:sz w:val="18"/>
                <w:szCs w:val="18"/>
                <w:b w:val="1"/>
                <w:bCs w:val="1"/>
                <w:color w:val="auto"/>
              </w:rPr>
              <w:t>Texas</w:t>
            </w:r>
          </w:p>
        </w:tc>
        <w:tc>
          <w:tcPr>
            <w:tcW w:w="3820" w:type="dxa"/>
            <w:vAlign w:val="bottom"/>
          </w:tcPr>
          <w:p>
            <w:pPr>
              <w:jc w:val="right"/>
              <w:ind w:right="790"/>
              <w:spacing w:after="0"/>
              <w:rPr>
                <w:sz w:val="20"/>
                <w:szCs w:val="20"/>
                <w:color w:val="auto"/>
              </w:rPr>
            </w:pPr>
            <w:r>
              <w:rPr>
                <w:rFonts w:ascii="Arial" w:cs="Arial" w:eastAsia="Arial" w:hAnsi="Arial"/>
                <w:sz w:val="18"/>
                <w:szCs w:val="18"/>
                <w:b w:val="1"/>
                <w:bCs w:val="1"/>
                <w:color w:val="auto"/>
              </w:rPr>
              <w:t>74-1733016</w:t>
            </w:r>
          </w:p>
        </w:tc>
      </w:tr>
      <w:tr>
        <w:trPr>
          <w:trHeight w:val="230"/>
        </w:trPr>
        <w:tc>
          <w:tcPr>
            <w:tcW w:w="5520" w:type="dxa"/>
            <w:vAlign w:val="bottom"/>
          </w:tcPr>
          <w:p>
            <w:pPr>
              <w:jc w:val="right"/>
              <w:ind w:right="1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20" w:type="dxa"/>
            <w:vAlign w:val="bottom"/>
          </w:tcPr>
          <w:p>
            <w:pPr>
              <w:jc w:val="center"/>
              <w:ind w:left="11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520" w:type="dxa"/>
            <w:vAlign w:val="bottom"/>
          </w:tcPr>
          <w:p>
            <w:pPr>
              <w:jc w:val="right"/>
              <w:ind w:right="1870"/>
              <w:spacing w:after="0"/>
              <w:rPr>
                <w:sz w:val="20"/>
                <w:szCs w:val="20"/>
                <w:color w:val="auto"/>
              </w:rPr>
            </w:pPr>
            <w:r>
              <w:rPr>
                <w:rFonts w:ascii="Arial" w:cs="Arial" w:eastAsia="Arial" w:hAnsi="Arial"/>
                <w:sz w:val="18"/>
                <w:szCs w:val="18"/>
                <w:b w:val="1"/>
                <w:bCs w:val="1"/>
                <w:color w:val="auto"/>
              </w:rPr>
              <w:t>555 IH 35 South, New Braunfels, TX</w:t>
            </w:r>
          </w:p>
        </w:tc>
        <w:tc>
          <w:tcPr>
            <w:tcW w:w="3820" w:type="dxa"/>
            <w:vAlign w:val="bottom"/>
          </w:tcPr>
          <w:p>
            <w:pPr>
              <w:jc w:val="right"/>
              <w:ind w:right="1010"/>
              <w:spacing w:after="0"/>
              <w:rPr>
                <w:sz w:val="20"/>
                <w:szCs w:val="20"/>
                <w:color w:val="auto"/>
              </w:rPr>
            </w:pPr>
            <w:r>
              <w:rPr>
                <w:rFonts w:ascii="Arial" w:cs="Arial" w:eastAsia="Arial" w:hAnsi="Arial"/>
                <w:sz w:val="18"/>
                <w:szCs w:val="18"/>
                <w:b w:val="1"/>
                <w:bCs w:val="1"/>
                <w:color w:val="auto"/>
              </w:rPr>
              <w:t>78130</w:t>
            </w:r>
          </w:p>
        </w:tc>
      </w:tr>
      <w:tr>
        <w:trPr>
          <w:trHeight w:val="230"/>
        </w:trPr>
        <w:tc>
          <w:tcPr>
            <w:tcW w:w="5520" w:type="dxa"/>
            <w:vAlign w:val="bottom"/>
          </w:tcPr>
          <w:p>
            <w:pPr>
              <w:jc w:val="right"/>
              <w:ind w:right="1870"/>
              <w:spacing w:after="0"/>
              <w:rPr>
                <w:sz w:val="20"/>
                <w:szCs w:val="20"/>
                <w:color w:val="auto"/>
              </w:rPr>
            </w:pPr>
            <w:r>
              <w:rPr>
                <w:rFonts w:ascii="Arial" w:cs="Arial" w:eastAsia="Arial" w:hAnsi="Arial"/>
                <w:sz w:val="18"/>
                <w:szCs w:val="18"/>
                <w:color w:val="auto"/>
              </w:rPr>
              <w:t>(Address of principal executive offices)</w:t>
            </w:r>
          </w:p>
        </w:tc>
        <w:tc>
          <w:tcPr>
            <w:tcW w:w="382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302-5200</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48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Class A and Class B Common Stock, $.01 par value</w:t>
            </w:r>
          </w:p>
        </w:tc>
        <w:tc>
          <w:tcPr>
            <w:tcW w:w="5580" w:type="dxa"/>
            <w:vAlign w:val="bottom"/>
          </w:tcPr>
          <w:p>
            <w:pPr>
              <w:jc w:val="center"/>
              <w:ind w:left="1410"/>
              <w:spacing w:after="0"/>
              <w:rPr>
                <w:sz w:val="20"/>
                <w:szCs w:val="20"/>
                <w:color w:val="auto"/>
              </w:rPr>
            </w:pPr>
            <w:r>
              <w:rPr>
                <w:rFonts w:ascii="Arial" w:cs="Arial" w:eastAsia="Arial" w:hAnsi="Arial"/>
                <w:sz w:val="18"/>
                <w:szCs w:val="18"/>
                <w:b w:val="1"/>
                <w:bCs w:val="1"/>
                <w:color w:val="auto"/>
                <w:w w:val="93"/>
              </w:rPr>
              <w:t>NASDAQ Global Select Market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860" w:type="dxa"/>
            <w:vAlign w:val="bottom"/>
          </w:tcPr>
          <w:p>
            <w:pPr>
              <w:jc w:val="center"/>
              <w:ind w:left="70"/>
              <w:spacing w:after="0"/>
              <w:rPr>
                <w:sz w:val="20"/>
                <w:szCs w:val="20"/>
                <w:color w:val="auto"/>
              </w:rPr>
            </w:pPr>
            <w:r>
              <w:rPr>
                <w:rFonts w:ascii="Arial" w:cs="Arial" w:eastAsia="Arial" w:hAnsi="Arial"/>
                <w:sz w:val="18"/>
                <w:szCs w:val="18"/>
                <w:color w:val="auto"/>
                <w:w w:val="90"/>
              </w:rPr>
              <w:t>Title of each class</w:t>
            </w:r>
          </w:p>
        </w:tc>
        <w:tc>
          <w:tcPr>
            <w:tcW w:w="5580" w:type="dxa"/>
            <w:vAlign w:val="bottom"/>
          </w:tcPr>
          <w:p>
            <w:pPr>
              <w:jc w:val="center"/>
              <w:ind w:left="1390"/>
              <w:spacing w:after="0"/>
              <w:rPr>
                <w:sz w:val="20"/>
                <w:szCs w:val="20"/>
                <w:color w:val="auto"/>
              </w:rPr>
            </w:pPr>
            <w:r>
              <w:rPr>
                <w:rFonts w:ascii="Arial" w:cs="Arial" w:eastAsia="Arial" w:hAnsi="Arial"/>
                <w:sz w:val="18"/>
                <w:szCs w:val="18"/>
                <w:color w:val="auto"/>
                <w:w w:val="89"/>
              </w:rPr>
              <w:t>Name of each exchange on which registered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60" w:type="dxa"/>
            <w:vAlign w:val="bottom"/>
          </w:tcPr>
          <w:p>
            <w:pPr>
              <w:spacing w:after="0"/>
              <w:rPr>
                <w:sz w:val="24"/>
                <w:szCs w:val="24"/>
                <w:color w:val="auto"/>
              </w:rPr>
            </w:pPr>
          </w:p>
        </w:tc>
        <w:tc>
          <w:tcPr>
            <w:tcW w:w="1044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580" w:type="dxa"/>
            <w:vAlign w:val="bottom"/>
          </w:tcPr>
          <w:p>
            <w:pPr>
              <w:jc w:val="center"/>
              <w:ind w:right="429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440" w:type="dxa"/>
            <w:vAlign w:val="bottom"/>
            <w:gridSpan w:val="2"/>
          </w:tcPr>
          <w:p>
            <w:pPr>
              <w:ind w:left="8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700" w:type="dxa"/>
            <w:vAlign w:val="bottom"/>
          </w:tcPr>
          <w:p>
            <w:pPr>
              <w:ind w:left="44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83"/>
        </w:trPr>
        <w:tc>
          <w:tcPr>
            <w:tcW w:w="260" w:type="dxa"/>
            <w:vAlign w:val="bottom"/>
            <w:vMerge w:val="continue"/>
          </w:tcPr>
          <w:p>
            <w:pPr>
              <w:spacing w:after="0"/>
              <w:rPr>
                <w:sz w:val="24"/>
                <w:szCs w:val="24"/>
                <w:color w:val="auto"/>
              </w:rPr>
            </w:pPr>
          </w:p>
        </w:tc>
        <w:tc>
          <w:tcPr>
            <w:tcW w:w="486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5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ectPr>
          <w:pgSz w:w="11900" w:h="16838" w:orient="portrait"/>
          <w:cols w:equalWidth="0" w:num="1">
            <w:col w:w="11460"/>
          </w:cols>
          <w:pgMar w:left="240" w:top="226" w:right="199" w:bottom="1440" w:gutter="0" w:footer="0" w:header="0"/>
        </w:sect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Indicate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by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check</w:t>
      </w:r>
    </w:p>
    <w:p>
      <w:pPr>
        <w:spacing w:after="0" w:line="20" w:lineRule="exact"/>
        <w:rPr>
          <w:sz w:val="24"/>
          <w:szCs w:val="24"/>
          <w:color w:val="auto"/>
        </w:rPr>
      </w:pPr>
      <w:r>
        <w:rPr>
          <w:sz w:val="24"/>
          <w:szCs w:val="24"/>
          <w:color w:val="auto"/>
        </w:rPr>
        <w:br w:type="column"/>
      </w:r>
    </w:p>
    <w:p>
      <w:pPr>
        <w:jc w:val="both"/>
        <w:ind w:firstLine="47"/>
        <w:spacing w:after="0" w:line="213" w:lineRule="exact"/>
        <w:rPr>
          <w:sz w:val="20"/>
          <w:szCs w:val="20"/>
          <w:color w:val="auto"/>
        </w:rPr>
      </w:pPr>
      <w:r>
        <w:rPr>
          <w:rFonts w:ascii="Arial" w:cs="Arial" w:eastAsia="Arial" w:hAnsi="Arial"/>
          <w:sz w:val="15"/>
          <w:szCs w:val="15"/>
          <w:color w:val="auto"/>
        </w:rPr>
        <w:t xml:space="preserve">mark 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registrant</w:t>
      </w:r>
    </w:p>
    <w:p>
      <w:pPr>
        <w:spacing w:after="0" w:line="30"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is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not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required</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to</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file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reports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pursuant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Section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13  or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Section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15(d)</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the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Exchange</w:t>
      </w:r>
    </w:p>
    <w:p>
      <w:pPr>
        <w:spacing w:after="0" w:line="464" w:lineRule="exact"/>
        <w:rPr>
          <w:sz w:val="24"/>
          <w:szCs w:val="24"/>
          <w:color w:val="auto"/>
        </w:rPr>
      </w:pPr>
    </w:p>
    <w:p>
      <w:pPr>
        <w:sectPr>
          <w:pgSz w:w="11900" w:h="16838" w:orient="portrait"/>
          <w:cols w:equalWidth="0" w:num="22">
            <w:col w:w="320" w:space="20"/>
            <w:col w:w="580" w:space="140"/>
            <w:col w:w="180" w:space="120"/>
            <w:col w:w="420" w:space="100"/>
            <w:col w:w="460" w:space="100"/>
            <w:col w:w="100" w:space="140"/>
            <w:col w:w="1040" w:space="140"/>
            <w:col w:w="120" w:space="140"/>
            <w:col w:w="240" w:space="140"/>
            <w:col w:w="600" w:space="120"/>
            <w:col w:w="160" w:space="120"/>
            <w:col w:w="240" w:space="140"/>
            <w:col w:w="500" w:space="140"/>
            <w:col w:w="620" w:space="140"/>
            <w:col w:w="140" w:space="140"/>
            <w:col w:w="540" w:space="140"/>
            <w:col w:w="480" w:space="140"/>
            <w:col w:w="540" w:space="120"/>
            <w:col w:w="400" w:space="140"/>
            <w:col w:w="140" w:space="140"/>
            <w:col w:w="220" w:space="140"/>
            <w:col w:w="760"/>
          </w:cols>
          <w:pgMar w:left="240" w:top="226" w:right="199" w:bottom="1440" w:gutter="0" w:footer="0" w:header="0"/>
          <w:type w:val="continuous"/>
        </w:sectPr>
      </w:pPr>
    </w:p>
    <w:p>
      <w:pPr>
        <w:jc w:val="both"/>
        <w:ind w:right="40"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40"/>
        <w:spacing w:after="0" w:line="207" w:lineRule="exact"/>
        <w:tabs>
          <w:tab w:leader="none" w:pos="1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340"/>
        <w:spacing w:after="0" w:line="207" w:lineRule="exact"/>
        <w:tabs>
          <w:tab w:leader="none" w:pos="1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74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720" w:type="dxa"/>
            <w:vAlign w:val="bottom"/>
          </w:tcPr>
          <w:p>
            <w:pPr>
              <w:ind w:left="8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360" w:type="dxa"/>
            <w:vAlign w:val="bottom"/>
          </w:tcPr>
          <w:p>
            <w:pPr>
              <w:jc w:val="center"/>
              <w:spacing w:after="0" w:line="207" w:lineRule="exact"/>
              <w:rPr>
                <w:sz w:val="20"/>
                <w:szCs w:val="20"/>
                <w:color w:val="auto"/>
              </w:rPr>
            </w:pPr>
            <w:r>
              <w:rPr>
                <w:rFonts w:ascii="Arial" w:cs="Arial" w:eastAsia="Arial" w:hAnsi="Arial"/>
                <w:sz w:val="18"/>
                <w:szCs w:val="18"/>
                <w:color w:val="auto"/>
                <w:w w:val="92"/>
              </w:rPr>
              <w:t xml:space="preserve">Non-accelerated filer </w:t>
            </w:r>
            <w:r>
              <w:rPr>
                <w:rFonts w:ascii="MS PGothic" w:cs="MS PGothic" w:eastAsia="MS PGothic" w:hAnsi="MS PGothic"/>
                <w:sz w:val="18"/>
                <w:szCs w:val="18"/>
                <w:color w:val="auto"/>
                <w:w w:val="92"/>
              </w:rPr>
              <w:t>☐</w:t>
            </w:r>
          </w:p>
        </w:tc>
        <w:tc>
          <w:tcPr>
            <w:tcW w:w="2640" w:type="dxa"/>
            <w:vAlign w:val="bottom"/>
          </w:tcPr>
          <w:p>
            <w:pPr>
              <w:ind w:left="32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360" w:type="dxa"/>
            <w:vAlign w:val="bottom"/>
          </w:tcPr>
          <w:p>
            <w:pPr>
              <w:jc w:val="center"/>
              <w:ind w:left="10"/>
              <w:spacing w:after="0"/>
              <w:rPr>
                <w:sz w:val="20"/>
                <w:szCs w:val="20"/>
                <w:color w:val="auto"/>
              </w:rPr>
            </w:pPr>
            <w:r>
              <w:rPr>
                <w:rFonts w:ascii="Arial" w:cs="Arial" w:eastAsia="Arial" w:hAnsi="Arial"/>
                <w:sz w:val="18"/>
                <w:szCs w:val="18"/>
                <w:color w:val="auto"/>
                <w:w w:val="92"/>
              </w:rPr>
              <w:t>(Do not check if a smaller reporting</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560" w:type="dxa"/>
            <w:vAlign w:val="bottom"/>
            <w:gridSpan w:val="3"/>
          </w:tcPr>
          <w:p>
            <w:pPr>
              <w:ind w:left="80"/>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Exchange Act).</w:t>
            </w:r>
          </w:p>
        </w:tc>
        <w:tc>
          <w:tcPr>
            <w:tcW w:w="2640" w:type="dxa"/>
            <w:vAlign w:val="bottom"/>
          </w:tcPr>
          <w:p>
            <w:pPr>
              <w:ind w:left="194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83"/>
        </w:trPr>
        <w:tc>
          <w:tcPr>
            <w:tcW w:w="260" w:type="dxa"/>
            <w:vAlign w:val="bottom"/>
            <w:vMerge w:val="continue"/>
          </w:tcPr>
          <w:p>
            <w:pPr>
              <w:spacing w:after="0"/>
              <w:rPr>
                <w:sz w:val="24"/>
                <w:szCs w:val="24"/>
                <w:color w:val="auto"/>
              </w:rPr>
            </w:pPr>
          </w:p>
        </w:tc>
        <w:tc>
          <w:tcPr>
            <w:tcW w:w="248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4"/>
        </w:trPr>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60" w:type="dxa"/>
            <w:vAlign w:val="bottom"/>
            <w:shd w:val="clear" w:color="auto" w:fill="808080"/>
          </w:tcPr>
          <w:p>
            <w:pPr>
              <w:spacing w:after="0"/>
              <w:rPr>
                <w:sz w:val="5"/>
                <w:szCs w:val="5"/>
                <w:color w:val="auto"/>
              </w:rPr>
            </w:pPr>
          </w:p>
        </w:tc>
        <w:tc>
          <w:tcPr>
            <w:tcW w:w="2480" w:type="dxa"/>
            <w:vAlign w:val="bottom"/>
            <w:shd w:val="clear" w:color="auto" w:fill="808080"/>
          </w:tcPr>
          <w:p>
            <w:pPr>
              <w:spacing w:after="0"/>
              <w:rPr>
                <w:sz w:val="5"/>
                <w:szCs w:val="5"/>
                <w:color w:val="auto"/>
              </w:rPr>
            </w:pPr>
          </w:p>
        </w:tc>
        <w:tc>
          <w:tcPr>
            <w:tcW w:w="2720" w:type="dxa"/>
            <w:vAlign w:val="bottom"/>
            <w:shd w:val="clear" w:color="auto" w:fill="808080"/>
          </w:tcPr>
          <w:p>
            <w:pPr>
              <w:spacing w:after="0"/>
              <w:rPr>
                <w:sz w:val="5"/>
                <w:szCs w:val="5"/>
                <w:color w:val="auto"/>
              </w:rPr>
            </w:pPr>
          </w:p>
        </w:tc>
        <w:tc>
          <w:tcPr>
            <w:tcW w:w="336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226" w:right="19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2016 was approximately $766,151,533 based upon the last sales price on June 30, 2016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of $21.55 for the registrant’s Class A Common Stock and $20.79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The registrant had 30,355,636 shares Class A Common Stock and 9,060,365 shares of Class B Common Stock outstanding on February 22,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Portions of registrant’s definitive proxy statement for the registrant’s 2017 Annual Meeting of Shareholders, to be filed with the Securities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Commission not later than May 1, 2017,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80" w:type="dxa"/>
            <w:vAlign w:val="bottom"/>
            <w:gridSpan w:val="16"/>
          </w:tcPr>
          <w:p>
            <w:pPr>
              <w:jc w:val="center"/>
              <w:ind w:right="3120"/>
              <w:spacing w:after="0"/>
              <w:rPr>
                <w:sz w:val="20"/>
                <w:szCs w:val="20"/>
                <w:color w:val="auto"/>
              </w:rPr>
            </w:pPr>
            <w:r>
              <w:rPr>
                <w:rFonts w:ascii="Arial" w:cs="Arial" w:eastAsia="Arial" w:hAnsi="Arial"/>
                <w:sz w:val="18"/>
                <w:szCs w:val="18"/>
                <w:b w:val="1"/>
                <w:bCs w:val="1"/>
                <w:color w:val="auto"/>
                <w:w w:val="98"/>
              </w:rPr>
              <w:t>RUSH ENTERPRISES, INC.</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gridSpan w:val="16"/>
          </w:tcPr>
          <w:p>
            <w:pPr>
              <w:jc w:val="center"/>
              <w:ind w:right="3120"/>
              <w:spacing w:after="0"/>
              <w:rPr>
                <w:sz w:val="20"/>
                <w:szCs w:val="20"/>
                <w:color w:val="auto"/>
              </w:rPr>
            </w:pPr>
            <w:r>
              <w:rPr>
                <w:rFonts w:ascii="Arial" w:cs="Arial" w:eastAsia="Arial" w:hAnsi="Arial"/>
                <w:sz w:val="18"/>
                <w:szCs w:val="18"/>
                <w:b w:val="1"/>
                <w:bCs w:val="1"/>
                <w:color w:val="auto"/>
                <w:w w:val="94"/>
              </w:rPr>
              <w:t>Index to Form 10-K</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gridSpan w:val="16"/>
          </w:tcPr>
          <w:p>
            <w:pPr>
              <w:jc w:val="center"/>
              <w:ind w:right="3100"/>
              <w:spacing w:after="0"/>
              <w:rPr>
                <w:sz w:val="20"/>
                <w:szCs w:val="20"/>
                <w:color w:val="auto"/>
              </w:rPr>
            </w:pPr>
            <w:r>
              <w:rPr>
                <w:rFonts w:ascii="Arial" w:cs="Arial" w:eastAsia="Arial" w:hAnsi="Arial"/>
                <w:sz w:val="18"/>
                <w:szCs w:val="18"/>
                <w:b w:val="1"/>
                <w:bCs w:val="1"/>
                <w:color w:val="auto"/>
                <w:w w:val="89"/>
              </w:rPr>
              <w:t>Year ended December 31, 2016</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6"/>
              </w:rPr>
              <w:t>No.</w:t>
            </w:r>
          </w:p>
        </w:tc>
        <w:tc>
          <w:tcPr>
            <w:tcW w:w="200" w:type="dxa"/>
            <w:vAlign w:val="bottom"/>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2"/>
          </w:tcPr>
          <w:p>
            <w:pPr>
              <w:jc w:val="center"/>
              <w:ind w:right="44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340" w:type="dxa"/>
            <w:vAlign w:val="bottom"/>
            <w:gridSpan w:val="15"/>
          </w:tcPr>
          <w:p>
            <w:pPr>
              <w:spacing w:after="0"/>
              <w:rPr>
                <w:sz w:val="17"/>
                <w:szCs w:val="17"/>
                <w:color w:val="auto"/>
              </w:rPr>
            </w:pPr>
          </w:p>
        </w:tc>
        <w:tc>
          <w:tcPr>
            <w:tcW w:w="460" w:type="dxa"/>
            <w:vAlign w:val="bottom"/>
            <w:tcBorders>
              <w:top w:val="single" w:sz="8" w:color="0000EE"/>
            </w:tcBorders>
            <w:gridSpan w:val="3"/>
          </w:tcPr>
          <w:p>
            <w:pPr>
              <w:spacing w:after="0"/>
              <w:rPr>
                <w:sz w:val="17"/>
                <w:szCs w:val="17"/>
                <w:color w:val="auto"/>
              </w:rPr>
            </w:pPr>
          </w:p>
        </w:tc>
        <w:tc>
          <w:tcPr>
            <w:tcW w:w="4460" w:type="dxa"/>
            <w:vAlign w:val="bottom"/>
            <w:gridSpan w:val="9"/>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900" w:type="dxa"/>
            <w:vAlign w:val="bottom"/>
            <w:gridSpan w:val="2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14</w:t>
            </w: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890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6860" w:type="dxa"/>
            <w:vAlign w:val="bottom"/>
            <w:gridSpan w:val="19"/>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7560" w:type="dxa"/>
            <w:vAlign w:val="bottom"/>
            <w:gridSpan w:val="23"/>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900" w:type="dxa"/>
            <w:vAlign w:val="bottom"/>
            <w:gridSpan w:val="2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628"/>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442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Shareholder Matters and Issuer Purchases of Equity Securities</w:t>
              </w:r>
            </w:hyperlink>
          </w:p>
        </w:tc>
        <w:tc>
          <w:tcPr>
            <w:tcW w:w="820" w:type="dxa"/>
            <w:vAlign w:val="bottom"/>
          </w:tcPr>
          <w:p>
            <w:pPr>
              <w:spacing w:after="0"/>
              <w:rPr>
                <w:sz w:val="24"/>
                <w:szCs w:val="24"/>
                <w:color w:val="auto"/>
              </w:rPr>
            </w:pPr>
          </w:p>
        </w:tc>
        <w:tc>
          <w:tcPr>
            <w:tcW w:w="1400" w:type="dxa"/>
            <w:vAlign w:val="bottom"/>
            <w:gridSpan w:val="5"/>
          </w:tcPr>
          <w:p>
            <w:pPr>
              <w:jc w:val="right"/>
              <w:ind w:right="40"/>
              <w:spacing w:after="0"/>
              <w:rPr>
                <w:sz w:val="20"/>
                <w:szCs w:val="20"/>
                <w:color w:val="auto"/>
              </w:rPr>
            </w:pPr>
            <w:r>
              <w:rPr>
                <w:rFonts w:ascii="Arial" w:cs="Arial" w:eastAsia="Arial" w:hAnsi="Arial"/>
                <w:sz w:val="18"/>
                <w:szCs w:val="18"/>
                <w:color w:val="auto"/>
              </w:rPr>
              <w:t>22</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900" w:type="dxa"/>
            <w:vAlign w:val="bottom"/>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24</w:t>
            </w: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440" w:type="dxa"/>
            <w:vAlign w:val="bottom"/>
            <w:gridSpan w:val="4"/>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8900" w:type="dxa"/>
            <w:vAlign w:val="bottom"/>
            <w:gridSpan w:val="2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4600" w:type="dxa"/>
            <w:vAlign w:val="bottom"/>
            <w:gridSpan w:val="10"/>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Changes in and Disagreements with Accountants on Accounting and Financial Disclosure</w:t>
              </w:r>
            </w:hyperlink>
          </w:p>
        </w:tc>
        <w:tc>
          <w:tcPr>
            <w:tcW w:w="2420" w:type="dxa"/>
            <w:vAlign w:val="bottom"/>
            <w:gridSpan w:val="3"/>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73</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8900" w:type="dxa"/>
            <w:vAlign w:val="bottom"/>
            <w:gridSpan w:val="2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73</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7140" w:type="dxa"/>
            <w:vAlign w:val="bottom"/>
            <w:gridSpan w:val="21"/>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74</w:t>
            </w: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438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Directors, Executive Officers and Corporate Governance</w:t>
              </w:r>
            </w:hyperlink>
          </w:p>
        </w:tc>
        <w:tc>
          <w:tcPr>
            <w:tcW w:w="4800" w:type="dxa"/>
            <w:vAlign w:val="bottom"/>
            <w:gridSpan w:val="11"/>
          </w:tcPr>
          <w:p>
            <w:pPr>
              <w:spacing w:after="0"/>
              <w:rPr>
                <w:sz w:val="24"/>
                <w:szCs w:val="24"/>
                <w:color w:val="auto"/>
              </w:rPr>
            </w:pPr>
          </w:p>
        </w:tc>
        <w:tc>
          <w:tcPr>
            <w:tcW w:w="1400" w:type="dxa"/>
            <w:vAlign w:val="bottom"/>
            <w:gridSpan w:val="5"/>
          </w:tcPr>
          <w:p>
            <w:pPr>
              <w:jc w:val="right"/>
              <w:ind w:right="40"/>
              <w:spacing w:after="0"/>
              <w:rPr>
                <w:sz w:val="20"/>
                <w:szCs w:val="20"/>
                <w:color w:val="auto"/>
              </w:rPr>
            </w:pPr>
            <w:r>
              <w:rPr>
                <w:rFonts w:ascii="Arial" w:cs="Arial" w:eastAsia="Arial" w:hAnsi="Arial"/>
                <w:sz w:val="18"/>
                <w:szCs w:val="18"/>
                <w:color w:val="auto"/>
              </w:rPr>
              <w:t>75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8900" w:type="dxa"/>
            <w:vAlign w:val="bottom"/>
            <w:gridSpan w:val="2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75</w:t>
            </w:r>
          </w:p>
        </w:tc>
      </w:tr>
      <w:tr>
        <w:trPr>
          <w:trHeight w:val="20"/>
        </w:trPr>
        <w:tc>
          <w:tcPr>
            <w:tcW w:w="116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900" w:type="dxa"/>
            <w:vAlign w:val="bottom"/>
            <w:gridSpan w:val="2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Shareholder Matters</w:t>
              </w:r>
            </w:hyperlink>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Transactions, and Director Independence</w:t>
              </w:r>
            </w:hyperlink>
          </w:p>
        </w:tc>
        <w:tc>
          <w:tcPr>
            <w:tcW w:w="1620" w:type="dxa"/>
            <w:vAlign w:val="bottom"/>
            <w:gridSpan w:val="2"/>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76</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Accountant Fees and Services</w:t>
              </w:r>
            </w:hyperlink>
          </w:p>
        </w:tc>
        <w:tc>
          <w:tcPr>
            <w:tcW w:w="3460" w:type="dxa"/>
            <w:vAlign w:val="bottom"/>
            <w:gridSpan w:val="5"/>
          </w:tcPr>
          <w:p>
            <w:pPr>
              <w:spacing w:after="0"/>
              <w:rPr>
                <w:sz w:val="17"/>
                <w:szCs w:val="17"/>
                <w:color w:val="auto"/>
              </w:rPr>
            </w:pPr>
          </w:p>
        </w:tc>
        <w:tc>
          <w:tcPr>
            <w:tcW w:w="14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76</w:t>
            </w: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80" w:type="dxa"/>
            <w:vAlign w:val="bottom"/>
            <w:gridSpan w:val="15"/>
          </w:tcPr>
          <w:p>
            <w:pPr>
              <w:jc w:val="center"/>
              <w:ind w:right="4400"/>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IV</w:t>
              </w:r>
            </w:hyperlink>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15</w:t>
            </w:r>
          </w:p>
        </w:tc>
        <w:tc>
          <w:tcPr>
            <w:tcW w:w="3940" w:type="dxa"/>
            <w:vAlign w:val="bottom"/>
            <w:gridSpan w:val="1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Exhibits, Financial Statement Schedules</w:t>
              </w:r>
            </w:hyperlink>
          </w:p>
        </w:tc>
        <w:tc>
          <w:tcPr>
            <w:tcW w:w="560" w:type="dxa"/>
            <w:vAlign w:val="bottom"/>
            <w:tcBorders>
              <w:top w:val="single" w:sz="8" w:color="0000EE"/>
            </w:tcBorders>
            <w:gridSpan w:val="7"/>
          </w:tcPr>
          <w:p>
            <w:pPr>
              <w:spacing w:after="0"/>
              <w:rPr>
                <w:sz w:val="24"/>
                <w:szCs w:val="24"/>
                <w:color w:val="auto"/>
              </w:rPr>
            </w:pPr>
          </w:p>
        </w:tc>
        <w:tc>
          <w:tcPr>
            <w:tcW w:w="4400" w:type="dxa"/>
            <w:vAlign w:val="bottom"/>
            <w:gridSpan w:val="7"/>
          </w:tcPr>
          <w:p>
            <w:pPr>
              <w:spacing w:after="0"/>
              <w:rPr>
                <w:sz w:val="24"/>
                <w:szCs w:val="24"/>
                <w:color w:val="auto"/>
              </w:rPr>
            </w:pPr>
          </w:p>
        </w:tc>
        <w:tc>
          <w:tcPr>
            <w:tcW w:w="1400" w:type="dxa"/>
            <w:vAlign w:val="bottom"/>
            <w:gridSpan w:val="5"/>
          </w:tcPr>
          <w:p>
            <w:pPr>
              <w:jc w:val="right"/>
              <w:ind w:right="40"/>
              <w:spacing w:after="0"/>
              <w:rPr>
                <w:sz w:val="20"/>
                <w:szCs w:val="20"/>
                <w:color w:val="auto"/>
              </w:rPr>
            </w:pPr>
            <w:r>
              <w:rPr>
                <w:rFonts w:ascii="Arial" w:cs="Arial" w:eastAsia="Arial" w:hAnsi="Arial"/>
                <w:sz w:val="18"/>
                <w:szCs w:val="18"/>
                <w:color w:val="auto"/>
              </w:rPr>
              <w:t>77</w:t>
            </w:r>
          </w:p>
        </w:tc>
      </w:tr>
      <w:tr>
        <w:trPr>
          <w:trHeight w:val="855"/>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1"/>
        </w:trPr>
        <w:tc>
          <w:tcPr>
            <w:tcW w:w="1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i w:val="1"/>
          <w:iCs w:val="1"/>
          <w:color w:val="auto"/>
        </w:rPr>
        <w:t>Certain statements contained in this Form 10-K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6" w:lineRule="exact"/>
        <w:rPr>
          <w:sz w:val="20"/>
          <w:szCs w:val="20"/>
          <w:color w:val="auto"/>
        </w:rPr>
      </w:pPr>
    </w:p>
    <w:p>
      <w:pPr>
        <w:jc w:val="both"/>
        <w:spacing w:after="0" w:line="18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IC Bus, LLC. Fuso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Mitsubishi Fuso Truck and Bus Corporation. Hino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Isuzu Motors Limited. Ford Motor Credit Company</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Ford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IBM</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International Business Machines Corporation. This report contains additional trade names or trademarks of other companies. Our use of such trade names or trademarks should not imply any endorsement or relationship with such companies.</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References herein to “the Company,” “Rush Enterprises,” “Rush,” “we,” “our” or “us” mean Rush Enterprises, Inc., a Texas corporation, and its subsidiaries unless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7"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400" w:firstLine="648"/>
        <w:spacing w:after="0" w:line="308" w:lineRule="auto"/>
        <w:rPr>
          <w:sz w:val="20"/>
          <w:szCs w:val="20"/>
          <w:color w:val="auto"/>
        </w:rPr>
      </w:pPr>
      <w:r>
        <w:rPr>
          <w:rFonts w:ascii="Arial" w:cs="Arial" w:eastAsia="Arial" w:hAnsi="Arial"/>
          <w:sz w:val="17"/>
          <w:szCs w:val="17"/>
          <w:color w:val="auto"/>
        </w:rPr>
        <w:t>Rush Enterprises, Inc. was incorporated in Texas in 1965 and consists of one reportable segment, the Truck Segment. We conduct business through certain of our subsidiaries. Our principal offices are located at 555 IH 35 South, Suite 500, New Braunfels, Texas 78130.</w:t>
      </w:r>
    </w:p>
    <w:p>
      <w:pPr>
        <w:spacing w:after="0" w:line="147" w:lineRule="exact"/>
        <w:rPr>
          <w:sz w:val="20"/>
          <w:szCs w:val="20"/>
          <w:color w:val="auto"/>
        </w:rPr>
      </w:pPr>
    </w:p>
    <w:p>
      <w:pPr>
        <w:jc w:val="both"/>
        <w:ind w:right="400" w:firstLine="648"/>
        <w:spacing w:after="0" w:line="297" w:lineRule="auto"/>
        <w:rPr>
          <w:sz w:val="20"/>
          <w:szCs w:val="20"/>
          <w:color w:val="auto"/>
        </w:rPr>
      </w:pPr>
      <w:r>
        <w:rPr>
          <w:rFonts w:ascii="Arial" w:cs="Arial" w:eastAsia="Arial" w:hAnsi="Arial"/>
          <w:sz w:val="16"/>
          <w:szCs w:val="16"/>
          <w:color w:val="auto"/>
        </w:rPr>
        <w:t>We are a full-service, integrated retailer of commercial vehicles and related services. The Truck Segment includes the Company’s operation of a nationwide network of commercial vehicle dealerships under the name “Rush Truck Centers.” Each Rush Truck Center is a franchised dealership for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58" w:lineRule="exact"/>
        <w:rPr>
          <w:sz w:val="20"/>
          <w:szCs w:val="20"/>
          <w:color w:val="auto"/>
        </w:rPr>
      </w:pPr>
    </w:p>
    <w:p>
      <w:pPr>
        <w:jc w:val="both"/>
        <w:ind w:right="40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170" w:lineRule="exact"/>
        <w:rPr>
          <w:sz w:val="20"/>
          <w:szCs w:val="20"/>
          <w:color w:val="auto"/>
        </w:rPr>
      </w:pPr>
    </w:p>
    <w:p>
      <w:pPr>
        <w:jc w:val="both"/>
        <w:ind w:right="400"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vehicle upfitting, CNG fuel systems, vehicle telematics products, chrome accessories and tires.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operations.</w:t>
      </w:r>
    </w:p>
    <w:p>
      <w:pPr>
        <w:spacing w:after="0" w:line="193"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i w:val="1"/>
          <w:iCs w:val="1"/>
          <w:color w:val="auto"/>
        </w:rPr>
        <w:t xml:space="preserve">Rush Truck Centers. </w:t>
      </w:r>
      <w:r>
        <w:rPr>
          <w:rFonts w:ascii="Arial" w:cs="Arial" w:eastAsia="Arial" w:hAnsi="Arial"/>
          <w:sz w:val="18"/>
          <w:szCs w:val="18"/>
          <w:color w:val="auto"/>
        </w:rPr>
        <w:t>Our Rush Truck Centers are located in Alabama, Arizona, California, Colorado, Florida, Georgia, Idaho, Illinois, Indiana,</w:t>
      </w:r>
      <w:r>
        <w:rPr>
          <w:rFonts w:ascii="Arial" w:cs="Arial" w:eastAsia="Arial" w:hAnsi="Arial"/>
          <w:sz w:val="18"/>
          <w:szCs w:val="18"/>
          <w:i w:val="1"/>
          <w:iCs w:val="1"/>
          <w:color w:val="auto"/>
        </w:rPr>
        <w:t xml:space="preserve"> </w:t>
      </w:r>
      <w:r>
        <w:rPr>
          <w:rFonts w:ascii="Arial" w:cs="Arial" w:eastAsia="Arial" w:hAnsi="Arial"/>
          <w:sz w:val="18"/>
          <w:szCs w:val="18"/>
          <w:color w:val="auto"/>
        </w:rPr>
        <w:t>Kansas, Kentucky, Missouri, Nevada, New Mexico, North Carolina, Ohio, Oklahoma, Tennessee, Texas, Utah and Virginia. The following chart reflects our franchises and parts, service and body shop operations by location as of March 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Parts and</w:t>
            </w: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2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Rush Truck Center Location</w:t>
            </w:r>
          </w:p>
        </w:tc>
        <w:tc>
          <w:tcPr>
            <w:tcW w:w="33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Commercial Vehicle Franchise(s)</w:t>
            </w:r>
          </w:p>
        </w:tc>
        <w:tc>
          <w:tcPr>
            <w:tcW w:w="12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Truck Sales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Body Shop</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vMerge w:val="restart"/>
          </w:tcPr>
          <w:p>
            <w:pPr>
              <w:spacing w:after="0"/>
              <w:rPr>
                <w:sz w:val="17"/>
                <w:szCs w:val="17"/>
                <w:color w:val="auto"/>
              </w:rPr>
            </w:pPr>
          </w:p>
        </w:tc>
        <w:tc>
          <w:tcPr>
            <w:tcW w:w="328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Alabama</w:t>
            </w:r>
          </w:p>
        </w:tc>
        <w:tc>
          <w:tcPr>
            <w:tcW w:w="3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Mobile</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Arizona</w:t>
            </w:r>
          </w:p>
        </w:tc>
        <w:tc>
          <w:tcPr>
            <w:tcW w:w="3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Flagstaff</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Phoenix</w:t>
            </w:r>
          </w:p>
        </w:tc>
        <w:tc>
          <w:tcPr>
            <w:tcW w:w="33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3"/>
              </w:rPr>
              <w:t>Peterbilt, Hino</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Tucson</w:t>
            </w:r>
          </w:p>
        </w:tc>
        <w:tc>
          <w:tcPr>
            <w:tcW w:w="3340" w:type="dxa"/>
            <w:vAlign w:val="bottom"/>
          </w:tcPr>
          <w:p>
            <w:pPr>
              <w:jc w:val="center"/>
              <w:ind w:left="190"/>
              <w:spacing w:after="0"/>
              <w:rPr>
                <w:sz w:val="20"/>
                <w:szCs w:val="20"/>
                <w:color w:val="auto"/>
              </w:rPr>
            </w:pPr>
            <w:r>
              <w:rPr>
                <w:rFonts w:ascii="Arial" w:cs="Arial" w:eastAsia="Arial" w:hAnsi="Arial"/>
                <w:sz w:val="18"/>
                <w:szCs w:val="18"/>
                <w:color w:val="auto"/>
                <w:w w:val="93"/>
              </w:rPr>
              <w:t>Peterbilt, Hino</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Yuma</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California</w:t>
            </w: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Fontana Heavy-Duty</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Fontana Medium-Duty</w:t>
            </w:r>
          </w:p>
        </w:tc>
        <w:tc>
          <w:tcPr>
            <w:tcW w:w="3340" w:type="dxa"/>
            <w:vAlign w:val="bottom"/>
          </w:tcPr>
          <w:p>
            <w:pPr>
              <w:jc w:val="center"/>
              <w:ind w:left="190"/>
              <w:spacing w:after="0"/>
              <w:rPr>
                <w:sz w:val="20"/>
                <w:szCs w:val="20"/>
                <w:color w:val="auto"/>
              </w:rPr>
            </w:pPr>
            <w:r>
              <w:rPr>
                <w:rFonts w:ascii="Arial" w:cs="Arial" w:eastAsia="Arial" w:hAnsi="Arial"/>
                <w:sz w:val="18"/>
                <w:szCs w:val="18"/>
                <w:color w:val="auto"/>
                <w:w w:val="92"/>
              </w:rPr>
              <w:t>Peterbilt, Hino, Isuzu</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Fontana Vocational</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None</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No</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Long Beach</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Pico Rivera</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San Diego</w:t>
            </w:r>
          </w:p>
        </w:tc>
        <w:tc>
          <w:tcPr>
            <w:tcW w:w="3340" w:type="dxa"/>
            <w:vAlign w:val="bottom"/>
          </w:tcPr>
          <w:p>
            <w:pPr>
              <w:jc w:val="center"/>
              <w:ind w:left="190"/>
              <w:spacing w:after="0"/>
              <w:rPr>
                <w:sz w:val="20"/>
                <w:szCs w:val="20"/>
                <w:color w:val="auto"/>
              </w:rPr>
            </w:pPr>
            <w:r>
              <w:rPr>
                <w:rFonts w:ascii="Arial" w:cs="Arial" w:eastAsia="Arial" w:hAnsi="Arial"/>
                <w:sz w:val="18"/>
                <w:szCs w:val="18"/>
                <w:color w:val="auto"/>
                <w:w w:val="93"/>
              </w:rPr>
              <w:t>Peterbilt, Hino</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Sylmar</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Whittier</w:t>
            </w:r>
          </w:p>
        </w:tc>
        <w:tc>
          <w:tcPr>
            <w:tcW w:w="3340" w:type="dxa"/>
            <w:vAlign w:val="bottom"/>
          </w:tcPr>
          <w:p>
            <w:pPr>
              <w:jc w:val="center"/>
              <w:ind w:left="190"/>
              <w:spacing w:after="0"/>
              <w:rPr>
                <w:sz w:val="20"/>
                <w:szCs w:val="20"/>
                <w:color w:val="auto"/>
              </w:rPr>
            </w:pPr>
            <w:r>
              <w:rPr>
                <w:rFonts w:ascii="Arial" w:cs="Arial" w:eastAsia="Arial" w:hAnsi="Arial"/>
                <w:sz w:val="18"/>
                <w:szCs w:val="18"/>
                <w:color w:val="auto"/>
                <w:w w:val="91"/>
              </w:rPr>
              <w:t>Ford, Isuzu</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Colorado</w:t>
            </w:r>
          </w:p>
        </w:tc>
        <w:tc>
          <w:tcPr>
            <w:tcW w:w="3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Denver</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1"/>
              </w:rPr>
              <w:t>Peterbilt, Ford, Isuzu</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Denver Medium-Duty</w:t>
            </w:r>
          </w:p>
        </w:tc>
        <w:tc>
          <w:tcPr>
            <w:tcW w:w="33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Ford, Isuzu</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Greeley</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Pueblo</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40" w:type="dxa"/>
            <w:vAlign w:val="bottom"/>
          </w:tcPr>
          <w:p>
            <w:pPr>
              <w:jc w:val="right"/>
              <w:ind w:right="89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3280" w:type="dxa"/>
            <w:vAlign w:val="bottom"/>
            <w:shd w:val="clear" w:color="auto" w:fill="808080"/>
          </w:tcPr>
          <w:p>
            <w:pPr>
              <w:spacing w:after="0"/>
              <w:rPr>
                <w:sz w:val="5"/>
                <w:szCs w:val="5"/>
                <w:color w:val="auto"/>
              </w:rPr>
            </w:pPr>
          </w:p>
        </w:tc>
        <w:tc>
          <w:tcPr>
            <w:tcW w:w="33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Parts and</w:t>
            </w: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2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Rush Truck Center Location</w:t>
            </w:r>
          </w:p>
        </w:tc>
        <w:tc>
          <w:tcPr>
            <w:tcW w:w="33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Commercial Vehicle Franchise(s)</w:t>
            </w:r>
          </w:p>
        </w:tc>
        <w:tc>
          <w:tcPr>
            <w:tcW w:w="12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Truck Sales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Body Shop</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vMerge w:val="restart"/>
          </w:tcPr>
          <w:p>
            <w:pPr>
              <w:spacing w:after="0"/>
              <w:rPr>
                <w:sz w:val="17"/>
                <w:szCs w:val="17"/>
                <w:color w:val="auto"/>
              </w:rPr>
            </w:pPr>
          </w:p>
        </w:tc>
        <w:tc>
          <w:tcPr>
            <w:tcW w:w="3280" w:type="dxa"/>
            <w:vAlign w:val="bottom"/>
            <w:tcBorders>
              <w:top w:val="single" w:sz="8" w:color="auto"/>
            </w:tcBorders>
            <w:shd w:val="clear" w:color="auto" w:fill="CCEEFF"/>
          </w:tcPr>
          <w:p>
            <w:pPr>
              <w:spacing w:after="0"/>
              <w:rPr>
                <w:sz w:val="17"/>
                <w:szCs w:val="17"/>
                <w:color w:val="auto"/>
              </w:rPr>
            </w:pPr>
          </w:p>
        </w:tc>
        <w:tc>
          <w:tcPr>
            <w:tcW w:w="33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Florida</w:t>
            </w: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Haines City</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Jacksonville</w:t>
            </w:r>
          </w:p>
        </w:tc>
        <w:tc>
          <w:tcPr>
            <w:tcW w:w="3340" w:type="dxa"/>
            <w:vAlign w:val="bottom"/>
          </w:tcPr>
          <w:p>
            <w:pPr>
              <w:jc w:val="center"/>
              <w:ind w:left="190"/>
              <w:spacing w:after="0"/>
              <w:rPr>
                <w:sz w:val="20"/>
                <w:szCs w:val="20"/>
                <w:color w:val="auto"/>
              </w:rPr>
            </w:pPr>
            <w:r>
              <w:rPr>
                <w:rFonts w:ascii="Arial" w:cs="Arial" w:eastAsia="Arial" w:hAnsi="Arial"/>
                <w:sz w:val="18"/>
                <w:szCs w:val="18"/>
                <w:color w:val="auto"/>
                <w:w w:val="93"/>
              </w:rPr>
              <w:t>Peterbilt, Hino</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Lake City</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Orlando Heavy-Duty</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0"/>
              </w:rPr>
              <w:t>Peterbilt, Isuzu</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Orlando Light &amp; Medium-Duty</w:t>
            </w:r>
          </w:p>
        </w:tc>
        <w:tc>
          <w:tcPr>
            <w:tcW w:w="33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Ford</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Orlando South</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Isuzu</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Tampa</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Georgia</w:t>
            </w: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Atlanta</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 Hino, Isuzu, IC Bus</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Atlanta Bus Center</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6"/>
              </w:rPr>
              <w:t>IC Bus</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Blackshear</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3"/>
              </w:rPr>
              <w:t>International, IC Bus</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Augusta North</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3"/>
              </w:rPr>
              <w:t>International, IC Bus</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Columbus</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 Isuzu, IC Bus</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Doraville</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 Hino, Isuzu, IC Bus</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Gainesville</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3"/>
              </w:rPr>
              <w:t>International, IC Bus</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Macon</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Smyrna</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 Hino, Isuzu, IC Bus</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Tifton</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3"/>
              </w:rPr>
              <w:t>International, IC Bus</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Valdosta</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Idaho</w:t>
            </w: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Boise</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3"/>
              </w:rPr>
              <w:t>International, Hino, IC Bus</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Idaho Falls</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3"/>
              </w:rPr>
              <w:t>International, IC Bus</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Lewiston</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Twin Falls</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3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Bloomington</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3"/>
              </w:rPr>
              <w:t>International, Hino</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Carol Stream</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Champaign</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Chicago</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Effingham</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Huntley</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Joliet</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Quincy</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Springfield East</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Springfield West</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Indiana</w:t>
            </w: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Gary</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Indianapolis</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Kansas</w:t>
            </w:r>
          </w:p>
        </w:tc>
        <w:tc>
          <w:tcPr>
            <w:tcW w:w="3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Kansas City</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3"/>
              </w:rPr>
              <w:t>Hino, Isuzu</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Kentucky</w:t>
            </w:r>
          </w:p>
        </w:tc>
        <w:tc>
          <w:tcPr>
            <w:tcW w:w="3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Bowling Green</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Missouri</w:t>
            </w:r>
          </w:p>
        </w:tc>
        <w:tc>
          <w:tcPr>
            <w:tcW w:w="3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St. Peters</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 Louis</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International</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Nevada</w:t>
            </w: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Las Vegas</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New Mexico</w:t>
            </w: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Albuquerque</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Farmington</w:t>
            </w:r>
          </w:p>
        </w:tc>
        <w:tc>
          <w:tcPr>
            <w:tcW w:w="3340" w:type="dxa"/>
            <w:vAlign w:val="bottom"/>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Las Cruces</w:t>
            </w:r>
          </w:p>
        </w:tc>
        <w:tc>
          <w:tcPr>
            <w:tcW w:w="3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Peterbilt</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40" w:type="dxa"/>
            <w:vAlign w:val="bottom"/>
          </w:tcPr>
          <w:p>
            <w:pPr>
              <w:jc w:val="right"/>
              <w:ind w:right="89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3280" w:type="dxa"/>
            <w:vAlign w:val="bottom"/>
            <w:shd w:val="clear" w:color="auto" w:fill="808080"/>
          </w:tcPr>
          <w:p>
            <w:pPr>
              <w:spacing w:after="0"/>
              <w:rPr>
                <w:sz w:val="5"/>
                <w:szCs w:val="5"/>
                <w:color w:val="auto"/>
              </w:rPr>
            </w:pPr>
          </w:p>
        </w:tc>
        <w:tc>
          <w:tcPr>
            <w:tcW w:w="33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Parts and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Rush Truck Center Location</w:t>
            </w:r>
          </w:p>
        </w:tc>
        <w:tc>
          <w:tcPr>
            <w:tcW w:w="39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9"/>
              </w:rPr>
              <w:t>Commercial Vehicle Franchise(s)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Truck Sales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Body Shop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North Carolina</w:t>
            </w:r>
          </w:p>
        </w:tc>
        <w:tc>
          <w:tcPr>
            <w:tcW w:w="3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Asheville</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2"/>
              </w:rPr>
              <w:t>International</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Charlotte</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International, Hino, Isuzu</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Hickory</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2"/>
              </w:rPr>
              <w:t>International</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Ohio</w:t>
            </w:r>
          </w:p>
        </w:tc>
        <w:tc>
          <w:tcPr>
            <w:tcW w:w="3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Akron</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Cincinnati</w:t>
            </w:r>
          </w:p>
        </w:tc>
        <w:tc>
          <w:tcPr>
            <w:tcW w:w="3960" w:type="dxa"/>
            <w:vAlign w:val="bottom"/>
            <w:shd w:val="clear" w:color="auto" w:fill="CCEEFF"/>
          </w:tcPr>
          <w:p>
            <w:pPr>
              <w:jc w:val="center"/>
              <w:ind w:left="350"/>
              <w:spacing w:after="0" w:line="201" w:lineRule="exact"/>
              <w:rPr>
                <w:sz w:val="20"/>
                <w:szCs w:val="20"/>
                <w:color w:val="auto"/>
              </w:rPr>
            </w:pPr>
            <w:r>
              <w:rPr>
                <w:rFonts w:ascii="Arial" w:cs="Arial" w:eastAsia="Arial" w:hAnsi="Arial"/>
                <w:sz w:val="18"/>
                <w:szCs w:val="18"/>
                <w:color w:val="auto"/>
                <w:w w:val="92"/>
              </w:rPr>
              <w:t>International, IC Bus, Isuzu, Ford, Mitsubishi</w:t>
            </w: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9"/>
              </w:rPr>
              <w:t>Fuso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Cleveland</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Columbus</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International, IC Bus, Isuzu(1)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Dayton</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2"/>
              </w:rPr>
              <w:t>International, IC Bus, Isuzu</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Lima</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Springfield</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2"/>
              </w:rPr>
              <w:t>International</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Oklahoma</w:t>
            </w:r>
          </w:p>
        </w:tc>
        <w:tc>
          <w:tcPr>
            <w:tcW w:w="3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Ardmore</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Oklahoma City</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Peterbilt, Hino, Ford, Isuzu</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Tulsa</w:t>
            </w:r>
          </w:p>
        </w:tc>
        <w:tc>
          <w:tcPr>
            <w:tcW w:w="3960" w:type="dxa"/>
            <w:vAlign w:val="bottom"/>
          </w:tcPr>
          <w:p>
            <w:pPr>
              <w:jc w:val="center"/>
              <w:ind w:left="370"/>
              <w:spacing w:after="0"/>
              <w:rPr>
                <w:sz w:val="20"/>
                <w:szCs w:val="20"/>
                <w:color w:val="auto"/>
              </w:rPr>
            </w:pPr>
            <w:r>
              <w:rPr>
                <w:rFonts w:ascii="Arial" w:cs="Arial" w:eastAsia="Arial" w:hAnsi="Arial"/>
                <w:sz w:val="18"/>
                <w:szCs w:val="18"/>
                <w:color w:val="auto"/>
                <w:w w:val="93"/>
              </w:rPr>
              <w:t>Peterbilt, Hino</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Tennessee</w:t>
            </w:r>
          </w:p>
        </w:tc>
        <w:tc>
          <w:tcPr>
            <w:tcW w:w="3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Nashville</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Texas</w:t>
            </w:r>
          </w:p>
        </w:tc>
        <w:tc>
          <w:tcPr>
            <w:tcW w:w="3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Abilene</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Amarillo</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80"/>
              <w:spacing w:after="0" w:line="201" w:lineRule="exact"/>
              <w:rPr>
                <w:sz w:val="20"/>
                <w:szCs w:val="20"/>
                <w:color w:val="auto"/>
              </w:rPr>
            </w:pPr>
            <w:r>
              <w:rPr>
                <w:rFonts w:ascii="Arial" w:cs="Arial" w:eastAsia="Arial" w:hAnsi="Arial"/>
                <w:sz w:val="18"/>
                <w:szCs w:val="18"/>
                <w:color w:val="auto"/>
              </w:rPr>
              <w:t>Austin</w:t>
            </w:r>
          </w:p>
        </w:tc>
        <w:tc>
          <w:tcPr>
            <w:tcW w:w="396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95"/>
              </w:rPr>
              <w:t>Peterbilt, Hino, Isuzu, Blue Bird, Micro Bird,</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2"/>
              </w:rPr>
              <w:t>Elkhart</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Brownsville</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Peterbilt, Elkhart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College Station</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Corpus Christi</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Peterbilt, Hino, Isuzu, Blue Bird, Elkhart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Cotulla</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Dalhart</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Dallas Heavy-Duty</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5"/>
              </w:rPr>
              <w:t>Peterbilt, Blue Bird, Micro Bird, Elkhart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Dallas Medium-Duty</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Dallas Light &amp; Medium-Duty</w:t>
            </w:r>
          </w:p>
        </w:tc>
        <w:tc>
          <w:tcPr>
            <w:tcW w:w="3960" w:type="dxa"/>
            <w:vAlign w:val="bottom"/>
          </w:tcPr>
          <w:p>
            <w:pPr>
              <w:ind w:left="1840"/>
              <w:spacing w:after="0"/>
              <w:rPr>
                <w:sz w:val="20"/>
                <w:szCs w:val="20"/>
                <w:color w:val="auto"/>
              </w:rPr>
            </w:pPr>
            <w:r>
              <w:rPr>
                <w:rFonts w:ascii="Arial" w:cs="Arial" w:eastAsia="Arial" w:hAnsi="Arial"/>
                <w:sz w:val="18"/>
                <w:szCs w:val="18"/>
                <w:color w:val="auto"/>
              </w:rPr>
              <w:t>Ford, Isuzu</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 Paso</w:t>
            </w:r>
          </w:p>
        </w:tc>
        <w:tc>
          <w:tcPr>
            <w:tcW w:w="39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2"/>
              </w:rPr>
              <w:t>Peterbilt, Hino, Isuzu</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Fort Worth</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5"/>
              </w:rPr>
              <w:t>Peterbilt, Blue Bird, Micro Bird, Elkhart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Houston</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Houston Bus Center</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Houston Medium-Duty</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7"/>
              </w:rPr>
              <w:t>Hino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Laredo</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5"/>
              </w:rPr>
              <w:t>Peterbilt, Blue Bird, Micro Bird, Elkhart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Lubbock</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Lufkin</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5"/>
              </w:rPr>
              <w:t>Peterbilt, Blue Bird, Micro Bird, Elkhart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Odessa</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Peterbilt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Pharr</w:t>
            </w:r>
          </w:p>
        </w:tc>
        <w:tc>
          <w:tcPr>
            <w:tcW w:w="3960" w:type="dxa"/>
            <w:vAlign w:val="bottom"/>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 Antonio</w:t>
            </w:r>
          </w:p>
        </w:tc>
        <w:tc>
          <w:tcPr>
            <w:tcW w:w="39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San Antonio Bus</w:t>
            </w:r>
          </w:p>
        </w:tc>
        <w:tc>
          <w:tcPr>
            <w:tcW w:w="3960" w:type="dxa"/>
            <w:vAlign w:val="bottom"/>
          </w:tcPr>
          <w:p>
            <w:pPr>
              <w:jc w:val="center"/>
              <w:ind w:left="370"/>
              <w:spacing w:after="0"/>
              <w:rPr>
                <w:sz w:val="20"/>
                <w:szCs w:val="20"/>
                <w:color w:val="auto"/>
              </w:rPr>
            </w:pPr>
            <w:r>
              <w:rPr>
                <w:rFonts w:ascii="Arial" w:cs="Arial" w:eastAsia="Arial" w:hAnsi="Arial"/>
                <w:sz w:val="18"/>
                <w:szCs w:val="18"/>
                <w:color w:val="auto"/>
                <w:w w:val="96"/>
              </w:rPr>
              <w:t>Blue Bird, Micro Bird, Elkhart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660" w:right="2259" w:hanging="4901"/>
        <w:spacing w:after="0" w:line="872" w:lineRule="auto"/>
        <w:tabs>
          <w:tab w:leader="none" w:pos="100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physical location of our Isuzu dealership is in our Rush Truck Leasing - Columbus location.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Parts and</w:t>
            </w:r>
          </w:p>
        </w:tc>
        <w:tc>
          <w:tcPr>
            <w:tcW w:w="1000" w:type="dxa"/>
            <w:vAlign w:val="bottom"/>
          </w:tcPr>
          <w:p>
            <w:pPr>
              <w:spacing w:after="0"/>
              <w:rPr>
                <w:sz w:val="18"/>
                <w:szCs w:val="18"/>
                <w:color w:val="auto"/>
              </w:rPr>
            </w:pPr>
          </w:p>
        </w:tc>
      </w:t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Rush Truck Center Location</w:t>
            </w:r>
          </w:p>
        </w:tc>
        <w:tc>
          <w:tcPr>
            <w:tcW w:w="40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9"/>
              </w:rPr>
              <w:t>Commercial Vehicle Franchise(s)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Truck Sales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Body Shop</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28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Sealy</w:t>
            </w:r>
          </w:p>
        </w:tc>
        <w:tc>
          <w:tcPr>
            <w:tcW w:w="4040" w:type="dxa"/>
            <w:vAlign w:val="bottom"/>
            <w:shd w:val="clear" w:color="auto" w:fill="CCEEFF"/>
          </w:tcPr>
          <w:p>
            <w:pPr>
              <w:jc w:val="center"/>
              <w:ind w:left="430"/>
              <w:spacing w:after="0" w:line="196" w:lineRule="exact"/>
              <w:rPr>
                <w:sz w:val="20"/>
                <w:szCs w:val="20"/>
                <w:color w:val="auto"/>
              </w:rPr>
            </w:pPr>
            <w:r>
              <w:rPr>
                <w:rFonts w:ascii="Arial" w:cs="Arial" w:eastAsia="Arial" w:hAnsi="Arial"/>
                <w:sz w:val="18"/>
                <w:szCs w:val="18"/>
                <w:color w:val="auto"/>
                <w:w w:val="94"/>
              </w:rPr>
              <w:t>Peterbilt, Isuzu, Blue Bird, Micro Bird, Elkhart</w:t>
            </w:r>
          </w:p>
        </w:tc>
        <w:tc>
          <w:tcPr>
            <w:tcW w:w="10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No</w:t>
            </w:r>
          </w:p>
        </w:tc>
      </w:tr>
      <w:tr>
        <w:trPr>
          <w:trHeight w:val="202"/>
        </w:trPr>
        <w:tc>
          <w:tcPr>
            <w:tcW w:w="2800" w:type="dxa"/>
            <w:vAlign w:val="bottom"/>
          </w:tcPr>
          <w:p>
            <w:pPr>
              <w:ind w:left="220"/>
              <w:spacing w:after="0" w:line="201" w:lineRule="exact"/>
              <w:rPr>
                <w:sz w:val="20"/>
                <w:szCs w:val="20"/>
                <w:color w:val="auto"/>
              </w:rPr>
            </w:pPr>
            <w:r>
              <w:rPr>
                <w:rFonts w:ascii="Arial" w:cs="Arial" w:eastAsia="Arial" w:hAnsi="Arial"/>
                <w:sz w:val="18"/>
                <w:szCs w:val="18"/>
                <w:color w:val="auto"/>
              </w:rPr>
              <w:t>Texarkana</w:t>
            </w:r>
          </w:p>
        </w:tc>
        <w:tc>
          <w:tcPr>
            <w:tcW w:w="4040" w:type="dxa"/>
            <w:vAlign w:val="bottom"/>
          </w:tcPr>
          <w:p>
            <w:pPr>
              <w:jc w:val="center"/>
              <w:ind w:left="430"/>
              <w:spacing w:after="0" w:line="201" w:lineRule="exact"/>
              <w:rPr>
                <w:sz w:val="20"/>
                <w:szCs w:val="20"/>
                <w:color w:val="auto"/>
              </w:rPr>
            </w:pPr>
            <w:r>
              <w:rPr>
                <w:rFonts w:ascii="Arial" w:cs="Arial" w:eastAsia="Arial" w:hAnsi="Arial"/>
                <w:sz w:val="18"/>
                <w:szCs w:val="18"/>
                <w:color w:val="auto"/>
                <w:w w:val="95"/>
              </w:rPr>
              <w:t>Peterbilt, Hino, Isuzu, Blue Bird, Micro Bird,</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800" w:type="dxa"/>
            <w:vAlign w:val="bottom"/>
          </w:tcPr>
          <w:p>
            <w:pPr>
              <w:spacing w:after="0"/>
              <w:rPr>
                <w:sz w:val="20"/>
                <w:szCs w:val="20"/>
                <w:color w:val="auto"/>
              </w:rPr>
            </w:pP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2"/>
              </w:rPr>
              <w:t>Elkhart</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Tyler</w:t>
            </w:r>
          </w:p>
        </w:tc>
        <w:tc>
          <w:tcPr>
            <w:tcW w:w="40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Peterbilt, Blue Bird, Micro Bird, Elkhart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2800" w:type="dxa"/>
            <w:vAlign w:val="bottom"/>
          </w:tcPr>
          <w:p>
            <w:pPr>
              <w:ind w:left="220"/>
              <w:spacing w:after="0" w:line="201" w:lineRule="exact"/>
              <w:rPr>
                <w:sz w:val="20"/>
                <w:szCs w:val="20"/>
                <w:color w:val="auto"/>
              </w:rPr>
            </w:pPr>
            <w:r>
              <w:rPr>
                <w:rFonts w:ascii="Arial" w:cs="Arial" w:eastAsia="Arial" w:hAnsi="Arial"/>
                <w:sz w:val="18"/>
                <w:szCs w:val="18"/>
                <w:color w:val="auto"/>
              </w:rPr>
              <w:t>Waco</w:t>
            </w:r>
          </w:p>
        </w:tc>
        <w:tc>
          <w:tcPr>
            <w:tcW w:w="4040" w:type="dxa"/>
            <w:vAlign w:val="bottom"/>
          </w:tcPr>
          <w:p>
            <w:pPr>
              <w:jc w:val="center"/>
              <w:ind w:left="430"/>
              <w:spacing w:after="0" w:line="201" w:lineRule="exact"/>
              <w:rPr>
                <w:sz w:val="20"/>
                <w:szCs w:val="20"/>
                <w:color w:val="auto"/>
              </w:rPr>
            </w:pPr>
            <w:r>
              <w:rPr>
                <w:rFonts w:ascii="Arial" w:cs="Arial" w:eastAsia="Arial" w:hAnsi="Arial"/>
                <w:sz w:val="18"/>
                <w:szCs w:val="18"/>
                <w:color w:val="auto"/>
                <w:w w:val="95"/>
              </w:rPr>
              <w:t>Peterbilt, Hino, Isuzu, Blue Bird, Micro Bird,</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800" w:type="dxa"/>
            <w:vAlign w:val="bottom"/>
          </w:tcPr>
          <w:p>
            <w:pPr>
              <w:spacing w:after="0"/>
              <w:rPr>
                <w:sz w:val="20"/>
                <w:szCs w:val="20"/>
                <w:color w:val="auto"/>
              </w:rPr>
            </w:pP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2"/>
              </w:rPr>
              <w:t>Elkhart</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4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Ogden</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3"/>
              </w:rPr>
              <w:t>International, IC Bus</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Salt Lake City</w:t>
            </w:r>
          </w:p>
        </w:tc>
        <w:tc>
          <w:tcPr>
            <w:tcW w:w="40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International, IC Bus, Mitsubishi Fuso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Springville</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2"/>
              </w:rPr>
              <w:t>International, Mitsubishi Fuso</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 George</w:t>
            </w:r>
          </w:p>
        </w:tc>
        <w:tc>
          <w:tcPr>
            <w:tcW w:w="40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International, Mitsubishi Fuso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Virginia</w:t>
            </w:r>
          </w:p>
        </w:tc>
        <w:tc>
          <w:tcPr>
            <w:tcW w:w="4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Chester</w:t>
            </w:r>
          </w:p>
        </w:tc>
        <w:tc>
          <w:tcPr>
            <w:tcW w:w="40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International</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Fredericksburg</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2"/>
              </w:rPr>
              <w:t>International</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Richmond</w:t>
            </w:r>
          </w:p>
        </w:tc>
        <w:tc>
          <w:tcPr>
            <w:tcW w:w="40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International</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have dedicated, non-franchised used commercial vehicle sales facilities in Willowbrook, Illinois, Dallas, Texas and Orlando, Florida.</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Leasing and Rental Services. </w:t>
      </w:r>
      <w:r>
        <w:rPr>
          <w:rFonts w:ascii="Arial" w:cs="Arial" w:eastAsia="Arial" w:hAnsi="Arial"/>
          <w:sz w:val="16"/>
          <w:szCs w:val="16"/>
          <w:color w:val="auto"/>
        </w:rPr>
        <w:t>Through certain of our Rush Truck Centers and several stand-alone Rush Truck Leasing Centers, we provide a</w:t>
      </w:r>
      <w:r>
        <w:rPr>
          <w:rFonts w:ascii="Arial" w:cs="Arial" w:eastAsia="Arial" w:hAnsi="Arial"/>
          <w:sz w:val="16"/>
          <w:szCs w:val="16"/>
          <w:i w:val="1"/>
          <w:iCs w:val="1"/>
          <w:color w:val="auto"/>
        </w:rPr>
        <w:t xml:space="preserve"> </w:t>
      </w:r>
      <w:r>
        <w:rPr>
          <w:rFonts w:ascii="Arial" w:cs="Arial" w:eastAsia="Arial" w:hAnsi="Arial"/>
          <w:sz w:val="16"/>
          <w:szCs w:val="16"/>
          <w:color w:val="auto"/>
        </w:rPr>
        <w:t>broad line of product selections for lease or rent, including Class 4, Class 5, Class 6, Class 7 and Class 8 trucks, heavy-duty cranes and refuse vehicles. Our lease and rental fleets are offered on a daily, monthly or long-term basis. Substantially all of our long-term leases also contain a service provision, whereby we agree to service the vehicle through the life of the lease. The following chart reflects our leasing franchises by location:</w:t>
      </w:r>
    </w:p>
    <w:p>
      <w:pPr>
        <w:spacing w:after="0" w:line="150"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Standalone or in a Rush</w:t>
            </w:r>
          </w:p>
        </w:tc>
      </w:tr>
      <w:tr>
        <w:trPr>
          <w:trHeight w:val="234"/>
        </w:trPr>
        <w:tc>
          <w:tcPr>
            <w:tcW w:w="28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Rush Truck Leasing Location</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Franchise</w:t>
            </w:r>
          </w:p>
        </w:tc>
        <w:tc>
          <w:tcPr>
            <w:tcW w:w="23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3"/>
              </w:rPr>
              <w:t>Truck Center</w:t>
            </w: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97"/>
        </w:trPr>
        <w:tc>
          <w:tcPr>
            <w:tcW w:w="2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Alabama</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Birmingham</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Arizona</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Phoenix</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California</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Fontana</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Pico Rivera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San Diego</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Sylmar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Colorado</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Denver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Florida</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Orlando</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Tampa</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Jacksonville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Georgia</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Idaho</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Boise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Idaho Falls</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Carol Stream</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Chicago</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Effingham</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Huntley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Joliet</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Springfield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bl>
    <w:p>
      <w:pPr>
        <w:spacing w:after="0" w:line="200" w:lineRule="exact"/>
        <w:rPr>
          <w:sz w:val="20"/>
          <w:szCs w:val="20"/>
          <w:color w:val="auto"/>
        </w:rPr>
      </w:pPr>
    </w:p>
    <w:p>
      <w:pPr>
        <w:sectPr>
          <w:pgSz w:w="11900" w:h="16838" w:orient="portrait"/>
          <w:cols w:equalWidth="0" w:num="1">
            <w:col w:w="11060"/>
          </w:cols>
          <w:pgMar w:left="240" w:top="118" w:right="599" w:bottom="1440" w:gutter="0" w:footer="0" w:header="0"/>
        </w:sectPr>
      </w:pP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Standalone or in a Rush</w:t>
            </w:r>
          </w:p>
        </w:tc>
      </w:tr>
      <w:tr>
        <w:trPr>
          <w:trHeight w:val="234"/>
        </w:trPr>
        <w:tc>
          <w:tcPr>
            <w:tcW w:w="28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Rush Truck Leasing Location</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Franchise</w:t>
            </w:r>
          </w:p>
        </w:tc>
        <w:tc>
          <w:tcPr>
            <w:tcW w:w="23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3"/>
              </w:rPr>
              <w:t>Truck Center</w:t>
            </w: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97"/>
        </w:trPr>
        <w:tc>
          <w:tcPr>
            <w:tcW w:w="2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Indiana</w:t>
            </w:r>
          </w:p>
        </w:tc>
        <w:tc>
          <w:tcPr>
            <w:tcW w:w="14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Indianapolis</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Gary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Missouri</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 Louis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St. Peters</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Carolina</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Charlotte</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Mexico</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860" w:type="dxa"/>
            <w:vAlign w:val="bottom"/>
          </w:tcPr>
          <w:p>
            <w:pPr>
              <w:ind w:left="160"/>
              <w:spacing w:after="0"/>
              <w:rPr>
                <w:sz w:val="20"/>
                <w:szCs w:val="20"/>
                <w:color w:val="auto"/>
              </w:rPr>
            </w:pPr>
            <w:r>
              <w:rPr>
                <w:rFonts w:ascii="Arial" w:cs="Arial" w:eastAsia="Arial" w:hAnsi="Arial"/>
                <w:sz w:val="18"/>
                <w:szCs w:val="18"/>
                <w:color w:val="auto"/>
              </w:rPr>
              <w:t>Albuquerque</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Nevada</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Las Vegas</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Ohio</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Cincinnati</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Cleveland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Columbus</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Dayton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Oklahoma</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Oklahoma City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Tennessee</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Nashville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Texas</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Austin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El Paso</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Fort Worth</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Houston</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Lubbock</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San Antonio</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4"/>
              </w:rPr>
              <w:t>In RTC</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Tyler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PacLease</w:t>
            </w:r>
          </w:p>
        </w:tc>
        <w:tc>
          <w:tcPr>
            <w:tcW w:w="23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Virginia</w:t>
            </w:r>
          </w:p>
        </w:tc>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Richmond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Norfolk</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90"/>
              <w:spacing w:after="0"/>
              <w:rPr>
                <w:sz w:val="20"/>
                <w:szCs w:val="20"/>
                <w:color w:val="auto"/>
              </w:rPr>
            </w:pPr>
            <w:r>
              <w:rPr>
                <w:rFonts w:ascii="Arial" w:cs="Arial" w:eastAsia="Arial" w:hAnsi="Arial"/>
                <w:sz w:val="18"/>
                <w:szCs w:val="18"/>
                <w:color w:val="auto"/>
                <w:w w:val="87"/>
              </w:rPr>
              <w:t>Standalone</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1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Salt Lake City</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80" w:type="dxa"/>
            <w:vAlign w:val="bottom"/>
          </w:tcPr>
          <w:p>
            <w:pPr>
              <w:jc w:val="center"/>
              <w:ind w:left="90"/>
              <w:spacing w:after="0"/>
              <w:rPr>
                <w:sz w:val="20"/>
                <w:szCs w:val="20"/>
                <w:color w:val="auto"/>
              </w:rPr>
            </w:pPr>
            <w:r>
              <w:rPr>
                <w:rFonts w:ascii="Arial" w:cs="Arial" w:eastAsia="Arial" w:hAnsi="Arial"/>
                <w:sz w:val="18"/>
                <w:szCs w:val="18"/>
                <w:color w:val="auto"/>
                <w:w w:val="87"/>
              </w:rPr>
              <w:t>Standalone</w:t>
            </w:r>
          </w:p>
        </w:tc>
      </w:tr>
    </w:tbl>
    <w:p>
      <w:pPr>
        <w:spacing w:after="0" w:line="187"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In addition to the locations in the above table, Rush Truck Leasing also provides full-service maintenance on customers’ vehicles at several of our customers’ facilities.</w:t>
      </w:r>
    </w:p>
    <w:p>
      <w:pPr>
        <w:spacing w:after="0" w:line="17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Rush Truck Centers, we offer third-party financing to assist customers in purchasing new and used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i w:val="1"/>
          <w:iCs w:val="1"/>
          <w:color w:val="auto"/>
        </w:rPr>
        <w:t xml:space="preserve">Other Businesses. </w:t>
      </w:r>
      <w:r>
        <w:rPr>
          <w:rFonts w:ascii="Arial" w:cs="Arial" w:eastAsia="Arial" w:hAnsi="Arial"/>
          <w:sz w:val="18"/>
          <w:szCs w:val="18"/>
          <w:color w:val="auto"/>
        </w:rPr>
        <w:t>Perfection Equipment offers installation of equipment, equipment repair, parts installation, and paint and body repair at our</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in Oklahoma City. Perfection Equipment specializes in up-fitting trucks used by oilfield service providers and other specialized service providers.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World Wide Tires stores operate in two locations in Texas. World Wide Tires primarily sells tires for use on commercial vehicles.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Custom Vehicle Solutions operates at locations in Denton, Texas and Chambersburg, Pennsylvania. Custom Vehicle Solutions provides new vehicle pre-delivery inspections, truck modifications, natural gas fuel system installations, body and chassis upfitting and component installation.</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Momentum Fuel Technologies manufactures compressed natural gas fuel systems and related component parts for commercial vehicles at its facility in Roanoke, Texas.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nationwide dealership network that provides service solutions to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industry. Our strategy includes the following key elements:</w:t>
      </w:r>
    </w:p>
    <w:p>
      <w:pPr>
        <w:spacing w:after="0" w:line="170" w:lineRule="exact"/>
        <w:rPr>
          <w:sz w:val="20"/>
          <w:szCs w:val="20"/>
          <w:color w:val="auto"/>
        </w:rPr>
      </w:pPr>
    </w:p>
    <w:p>
      <w:pPr>
        <w:jc w:val="both"/>
        <w:ind w:left="1120" w:hanging="464"/>
        <w:spacing w:after="0" w:line="257"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One-Stop Centers</w:t>
      </w:r>
      <w:r>
        <w:rPr>
          <w:rFonts w:ascii="Arial" w:cs="Arial" w:eastAsia="Arial" w:hAnsi="Arial"/>
          <w:sz w:val="18"/>
          <w:szCs w:val="18"/>
          <w:color w:val="auto"/>
        </w:rPr>
        <w:t>. We have developed our commercial vehicle dealerships as “one-stop centers” that offer an integrated approach to meeting customer needs. We provide service, parts and collision repair, new and used commercial vehicles sales, leasing and rental, plus financial services including finance and insurance. We believe that this full-service strategy also helps to mitigate cyclical economic fluctuations because the parts and service sales at our dealerships generally tend to be less volatile than our new and used commercial vehicle sales.</w:t>
      </w:r>
    </w:p>
    <w:p>
      <w:pPr>
        <w:spacing w:after="0" w:line="188" w:lineRule="exact"/>
        <w:rPr>
          <w:rFonts w:ascii="Arial" w:cs="Arial" w:eastAsia="Arial" w:hAnsi="Arial"/>
          <w:sz w:val="18"/>
          <w:szCs w:val="18"/>
          <w:color w:val="auto"/>
        </w:rPr>
      </w:pPr>
    </w:p>
    <w:p>
      <w:pPr>
        <w:jc w:val="both"/>
        <w:ind w:left="1120" w:hanging="464"/>
        <w:spacing w:after="0" w:line="297" w:lineRule="auto"/>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Aftermarket Services</w:t>
      </w:r>
      <w:r>
        <w:rPr>
          <w:rFonts w:ascii="Arial" w:cs="Arial" w:eastAsia="Arial" w:hAnsi="Arial"/>
          <w:sz w:val="16"/>
          <w:szCs w:val="16"/>
          <w:color w:val="auto"/>
        </w:rPr>
        <w:t>. We refer to our parts, service and body shop operations collectively as “Aftermarket Services”. Our aftermarket capabilities include a wide range of services and products, including a fleet of mobile service units, mobile technicians who work in our customers’ facilities, a proprietary line of parts and accessories, factory-certified service for alternative fuel vehicles and assembly service for specialized bodies and equipment. We believe that offering a variety of aftermarket products and services at our dealerships allows us to meet the expanding needs of our customers and leverage our dealership facilities to offer more services.</w:t>
      </w:r>
    </w:p>
    <w:p>
      <w:pPr>
        <w:spacing w:after="0" w:line="158" w:lineRule="exact"/>
        <w:rPr>
          <w:rFonts w:ascii="Arial" w:cs="Arial" w:eastAsia="Arial" w:hAnsi="Arial"/>
          <w:sz w:val="16"/>
          <w:szCs w:val="16"/>
          <w:color w:val="auto"/>
        </w:rPr>
      </w:pPr>
    </w:p>
    <w:p>
      <w:pPr>
        <w:jc w:val="both"/>
        <w:ind w:left="1120" w:hanging="464"/>
        <w:spacing w:after="0" w:line="264"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for our new vehicle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81" w:lineRule="exact"/>
        <w:rPr>
          <w:rFonts w:ascii="Arial" w:cs="Arial" w:eastAsia="Arial" w:hAnsi="Arial"/>
          <w:sz w:val="18"/>
          <w:szCs w:val="18"/>
          <w:color w:val="auto"/>
        </w:rPr>
      </w:pPr>
    </w:p>
    <w:p>
      <w:pPr>
        <w:jc w:val="both"/>
        <w:ind w:left="1120" w:hanging="464"/>
        <w:spacing w:after="0" w:line="276" w:lineRule="auto"/>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Management by Dealership Units</w:t>
      </w:r>
      <w:r>
        <w:rPr>
          <w:rFonts w:ascii="Arial" w:cs="Arial" w:eastAsia="Arial" w:hAnsi="Arial"/>
          <w:sz w:val="17"/>
          <w:szCs w:val="17"/>
          <w:color w:val="auto"/>
        </w:rPr>
        <w:t>. At each of our dealerships, we operate one or more of the following departments: new commercial vehicle sales, used commercial vehicle sales, financial services, parts, service or body shop.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Growth Strategy. </w:t>
      </w:r>
      <w:r>
        <w:rPr>
          <w:rFonts w:ascii="Arial" w:cs="Arial" w:eastAsia="Arial" w:hAnsi="Arial"/>
          <w:sz w:val="18"/>
          <w:szCs w:val="18"/>
          <w:color w:val="auto"/>
        </w:rPr>
        <w:t>Through our expansion and acquisition initiatives, we have grown to operate a large, multistate, full-service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vehicle dealerships. As described below, we intend to continue to grow our business by expanding our product and service offerings, through acquisitions in new geographic areas and by opening new dealerships in our existing areas of responsibility.</w:t>
      </w:r>
    </w:p>
    <w:p>
      <w:pPr>
        <w:spacing w:after="0" w:line="181" w:lineRule="exact"/>
        <w:rPr>
          <w:sz w:val="20"/>
          <w:szCs w:val="20"/>
          <w:color w:val="auto"/>
        </w:rPr>
      </w:pPr>
    </w:p>
    <w:p>
      <w:pPr>
        <w:jc w:val="both"/>
        <w:ind w:left="1120" w:hanging="464"/>
        <w:spacing w:after="0" w:line="297"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Expansion of Product and Service Offerings</w:t>
      </w:r>
      <w:r>
        <w:rPr>
          <w:rFonts w:ascii="Arial" w:cs="Arial" w:eastAsia="Arial" w:hAnsi="Arial"/>
          <w:sz w:val="16"/>
          <w:szCs w:val="16"/>
          <w:color w:val="auto"/>
        </w:rPr>
        <w:t>. We intend to continue to expand our product lines within our dealerships by adding product categories and service capabilities that are both complementary to our existing product lines and well suited to our operating model. We believe that there are many additional product and service offerings that would complement our primary product lines. We will continue to take advantage of technological advances to the vehicles we sell that provide us with the opportunity to offer vehicle owners more aftermarket options and the ability to maximize the performance of vehicles in their fleets using telematics and other technologies.</w:t>
      </w:r>
    </w:p>
    <w:p>
      <w:pPr>
        <w:spacing w:after="0" w:line="158" w:lineRule="exact"/>
        <w:rPr>
          <w:rFonts w:ascii="Arial" w:cs="Arial" w:eastAsia="Arial" w:hAnsi="Arial"/>
          <w:sz w:val="16"/>
          <w:szCs w:val="16"/>
          <w:color w:val="auto"/>
        </w:rPr>
      </w:pPr>
    </w:p>
    <w:p>
      <w:pPr>
        <w:jc w:val="both"/>
        <w:ind w:left="1120" w:hanging="464"/>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Expansion Into New Geographic Areas</w:t>
      </w:r>
      <w:r>
        <w:rPr>
          <w:rFonts w:ascii="Arial" w:cs="Arial" w:eastAsia="Arial" w:hAnsi="Arial"/>
          <w:sz w:val="18"/>
          <w:szCs w:val="18"/>
          <w:color w:val="auto"/>
        </w:rPr>
        <w:t>. We plan to continue to expand our dealership network by acquiring dealerships in areas of the U.S. where we do not already have dealerships. We believe the geographic diversity of our Rush Truck Center network has significantly expanded our customer base while reducing the effects of local economic cycles.</w:t>
      </w:r>
    </w:p>
    <w:p>
      <w:pPr>
        <w:spacing w:after="0" w:line="181" w:lineRule="exact"/>
        <w:rPr>
          <w:rFonts w:ascii="Arial" w:cs="Arial" w:eastAsia="Arial" w:hAnsi="Arial"/>
          <w:sz w:val="18"/>
          <w:szCs w:val="18"/>
          <w:color w:val="auto"/>
        </w:rPr>
      </w:pPr>
    </w:p>
    <w:p>
      <w:pPr>
        <w:ind w:left="1120" w:hanging="464"/>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Open New Rush Truck Centers in Existing Areas of Operation</w:t>
      </w:r>
      <w:r>
        <w:rPr>
          <w:rFonts w:ascii="Arial" w:cs="Arial" w:eastAsia="Arial" w:hAnsi="Arial"/>
          <w:sz w:val="18"/>
          <w:szCs w:val="18"/>
          <w:color w:val="auto"/>
        </w:rPr>
        <w:t>. We continually evaluate opportunities to increase our market presence by adding new Rush Truck Centers to underserved markets within our current areas of operation.</w:t>
      </w: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Rush Truck Centers are responsible for sales of new and used commercial vehicles, as well as related parts and services.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Aftermarket Services</w:t>
      </w:r>
      <w:r>
        <w:rPr>
          <w:rFonts w:ascii="Arial" w:cs="Arial" w:eastAsia="Arial" w:hAnsi="Arial"/>
          <w:sz w:val="18"/>
          <w:szCs w:val="18"/>
          <w:color w:val="auto"/>
        </w:rPr>
        <w:t>. Revenues from Aftermarket Services accounted for approximately $1,332.4 million, or 31.6%, of our total revenues for 2016, and 67.0% of our gross profit. The parts and service business enhances our sales and service functions and is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commercial vehicles. Each Rush Truck Center is a warranty service center for the commercial vehicle manufacturers represented at that location and most are also authorized service centers for other vehicle component manufacturers, including Cummins, Eaton, Caterpillar and Allison. We have approximately 2,400 service and body shop bays throughout our Rush Truck Center network. We also have mobile service technicians and technicians who staff certain of our customers’ facilities.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service departments perform warranty and non-warranty repairs on commercial vehicles. The cost of warranty work is generally reimbursed by the applicable manufacturer at retail commercial rates. Warranty related parts and service revenues accounted for approximately $130.4 million, or 3.1%, of our total revenues for 2016. Additionally, we provide a wide array of services, including assembly service for specialized truck bodies and truck mounted equipment. Our goal is to provide our customers any service that they need related to their commercial vehicles.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part of our leasing and rental operations, we also enter into contracts to provide full-service maintenance on some customers’ vehicles. We had 1,233 vehicles under contract maintenance as of December 31, 2016, and 1,345 vehicles under contract maintenance as of December 31, 2015. The full-service maintenance revenues and retail service revenues are included as parts and service revenues on the Consolidated Statements of Income.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New Commercial Vehicle Sales</w:t>
      </w:r>
      <w:r>
        <w:rPr>
          <w:rFonts w:ascii="Arial" w:cs="Arial" w:eastAsia="Arial" w:hAnsi="Arial"/>
          <w:sz w:val="18"/>
          <w:szCs w:val="18"/>
          <w:color w:val="auto"/>
        </w:rPr>
        <w:t>. New commercial vehicle sales represent the largest portion of our revenues, accounting for approximately $2,350.6 million, or 55.8%, of our total revenues in 2016. Of this total, new Class 8 heavy-duty truck sales accounted for approximately $1,455.8 million, or 34.5%, of our total revenues for 2016, and 61.9% of our new commercial vehicle revenues for 2016.</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Rush Truck Centers that sell new and used Class 8 heavy-duty trucks may also sell medium-duty and light-duty commercial vehicles. Certain Rush Truck Centers sell medium-duty commercial vehicles manufactured by Peterbilt, Hino, Isuzu, Ford, International or Mitsubishi Fuso and buses manufactured by Blue Bird, IC BUS or Elkhart and light-duty commercial vehicles manufactured by Ford (see Part I, Item 1, “General – </w:t>
      </w:r>
      <w:r>
        <w:rPr>
          <w:rFonts w:ascii="Arial" w:cs="Arial" w:eastAsia="Arial" w:hAnsi="Arial"/>
          <w:sz w:val="18"/>
          <w:szCs w:val="18"/>
          <w:i w:val="1"/>
          <w:iCs w:val="1"/>
          <w:color w:val="auto"/>
        </w:rPr>
        <w:t>Rush</w:t>
      </w:r>
      <w:r>
        <w:rPr>
          <w:rFonts w:ascii="Arial" w:cs="Arial" w:eastAsia="Arial" w:hAnsi="Arial"/>
          <w:sz w:val="18"/>
          <w:szCs w:val="18"/>
          <w:color w:val="auto"/>
        </w:rPr>
        <w:t xml:space="preserve"> </w:t>
      </w:r>
      <w:r>
        <w:rPr>
          <w:rFonts w:ascii="Arial" w:cs="Arial" w:eastAsia="Arial" w:hAnsi="Arial"/>
          <w:sz w:val="18"/>
          <w:szCs w:val="18"/>
          <w:i w:val="1"/>
          <w:iCs w:val="1"/>
          <w:color w:val="auto"/>
        </w:rPr>
        <w:t>Truck Centers</w:t>
      </w:r>
      <w:r>
        <w:rPr>
          <w:rFonts w:ascii="Arial" w:cs="Arial" w:eastAsia="Arial" w:hAnsi="Arial"/>
          <w:sz w:val="18"/>
          <w:szCs w:val="18"/>
          <w:color w:val="auto"/>
        </w:rPr>
        <w:t>” for information on which brands we sell at each Rush Truck Center). New medium-duty commercial vehicle sales, excluding new bus</w:t>
      </w:r>
      <w:r>
        <w:rPr>
          <w:rFonts w:ascii="Arial" w:cs="Arial" w:eastAsia="Arial" w:hAnsi="Arial"/>
          <w:sz w:val="18"/>
          <w:szCs w:val="18"/>
          <w:i w:val="1"/>
          <w:iCs w:val="1"/>
          <w:color w:val="auto"/>
        </w:rPr>
        <w:t xml:space="preserve"> </w:t>
      </w:r>
      <w:r>
        <w:rPr>
          <w:rFonts w:ascii="Arial" w:cs="Arial" w:eastAsia="Arial" w:hAnsi="Arial"/>
          <w:sz w:val="18"/>
          <w:szCs w:val="18"/>
          <w:color w:val="auto"/>
        </w:rPr>
        <w:t>sales, accounted for approximately $714.8 million, or 17.0%, of our total revenues for 2016, and 30.4% of our new commercial vehicle revenues for 2016. New light-duty commercial vehicle sales accounted for approximately $63.6 million, or 1.5%, of our total revenues for 2016, and 2.7% of our new commercial vehicle revenues for 2016. New bus sales accounted for approximately $96.9 million, or 2.3%, of our total revenues for 2016, and 4.1% of our new commercial vehicle revenues for 2016.</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portion of our new commercial vehicle sales are to fleet customers. Because of the size and geographic scope of our Rush Truck Center network, our strong relationships with our fleet customers and our ability to handle large quantities of used commercial vehicle trade-ins, we are able to successfully market and sell to fleet customers nationwide. We believe that we have a competitive advantage over most other dealerships in that we can absorb multi-unit trade-ins often associated with fleet sales and effectively disperse the used commercial vehicles for resale throughout our dealership network and our dedicated used truck facilities. We believe that the broad range of services we offer to purchasers of commercial vehicles at the time of purchase and post-purchase has resulted in a high level of customer loyalty.</w:t>
      </w: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Used Commercial Vehicle Sales</w:t>
      </w:r>
      <w:r>
        <w:rPr>
          <w:rFonts w:ascii="Arial" w:cs="Arial" w:eastAsia="Arial" w:hAnsi="Arial"/>
          <w:sz w:val="18"/>
          <w:szCs w:val="18"/>
          <w:color w:val="auto"/>
        </w:rPr>
        <w:t>. Used commercial vehicle sales accounted for approximately $289.4 million, or 6.9%, of our total revenues for 2016. We sell used commercial vehicles at most of our Rush Truck Centers and also at our non-franchised, dedicated used commercial vehicle facilities. We believe that we are well positioned to market used commercial vehicles due to our ability to recondition them for resale utilizing the parts and service departments of our Rush Truck Centers and our ability to move used commercial vehicles between our dealerships as customer demand warrants. The majority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New and Used Commercial Vehicle Financing</w:t>
      </w:r>
      <w:r>
        <w:rPr>
          <w:rFonts w:ascii="Arial" w:cs="Arial" w:eastAsia="Arial" w:hAnsi="Arial"/>
          <w:sz w:val="18"/>
          <w:szCs w:val="18"/>
          <w:color w:val="auto"/>
        </w:rPr>
        <w:t>. Our Rush Truck Centers have personnel responsible for arranging third-party financing for our product offerings. Generally, commercial vehicle finance contracts are memorialized through the use of installment contracts, which are secured by the commercial vehicles financed, and require a down payment, with the remaining balance financed over a two to seven-year period. The majority of these finance contracts are sold to third parties without recourse to us. We provide an allowance for repossession losses and early repayment penalties that we may incur under these finance contracts.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Truck Leasing and Rental</w:t>
      </w:r>
      <w:r>
        <w:rPr>
          <w:rFonts w:ascii="Arial" w:cs="Arial" w:eastAsia="Arial" w:hAnsi="Arial"/>
          <w:sz w:val="18"/>
          <w:szCs w:val="18"/>
          <w:color w:val="auto"/>
        </w:rPr>
        <w:t>. Truck leasing and rental revenues accounted for approximately $208.1 million, or 4.9%, of our total revenues for 2016. At our Rush Truck Leasing locations, we engage in full-service truck leasing through PacLease and Idealease. Rental trucks are also generally serviced at our facilities. We had 7,841 vehicles in our lease and rental fleet, including cranes, as of December 31, 2016, compared to 7,800 vehicles as of December 31, 2015. Generally, we sell trucks that have been retired from our lease and rental fleet through the used sales operations at our Rush Truck Centers and also at our non-franchised, dedicated used commercial vehicle facilities. Historically, we have realized gains on the sale of used lease and rental trucks.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Insurance Products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of financial and insurance products accounted for approximately $18.6 million, or 0.4%, of our total revenues for 2016. Finance and insurance revenues have minimal direct costs and, therefore, contribute a disproportionate share of our operating profits. We sell, as agent, a complete line of property and casualty insurance to commercial vehicle owners. Our agency is licensed to sell truck liability, collision and comprehensive, workers’ compensation, cargo, and credit life insurance coverage offered by a number of leading insurance companies. Our renewal rate in 2016 was approximately 82%. We also have licensed insurance agents at several Rush Truck Centers.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established history of operations in the commercial vehicle business has resulted in a strong customer base that is diverse in terms of geography, industry and scale of operations. Our customers include regional and national truck fleets, corporations, local and state governments and owner operators. During 2016, no single customer accounted for more than 10% of our sales by dollar volume. We generally promote our products and related services through direct customer contact by our sales personnel, advertisements in trade magazines and online and attendance at industry shows.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an effort to enhance our name recognition and to communicate the standardized high level of quality products and services provided at our Rush Truck Centers, we implement our “Rush” brand name concept at each of our vehicle dealerships.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Personnel. </w:t>
      </w:r>
      <w:r>
        <w:rPr>
          <w:rFonts w:ascii="Arial" w:cs="Arial" w:eastAsia="Arial" w:hAnsi="Arial"/>
          <w:sz w:val="16"/>
          <w:szCs w:val="16"/>
          <w:color w:val="auto"/>
        </w:rPr>
        <w:t>Each of our facilities is typically managed by a general manager who oversees the operations, personnel and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location, subject to the direction of a regional manager and personnel at our corporate headquarters. Additionally, each full-service Rush Truck Center is typically staffed by a sales manager, parts manager, service manager, body shop manager, sales representatives, parts employees, and other service and make-ready employees, as appropriate, given the services offered. The sales staff of each Rush Truck Center is compensated on a salary plus commission, or a commission only basis, while managers receive a combination of salary and performance bonus. We believe that our employees are among the highest paid in the industry, which enables us to attract and retain qualified personnel.</w:t>
      </w: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industry-sponsored leadership and management seminars and receive continuing education on the products we distribute, marketing strategies and management information systems.</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 xml:space="preserve">Compliance with Policies. </w:t>
      </w:r>
      <w:r>
        <w:rPr>
          <w:rFonts w:ascii="Arial" w:cs="Arial" w:eastAsia="Arial" w:hAnsi="Arial"/>
          <w:sz w:val="18"/>
          <w:szCs w:val="18"/>
          <w:color w:val="auto"/>
        </w:rPr>
        <w:t>Each Rush Truck Center is audited regularly for compliance with corporate policies and procedures. These routine,</w:t>
      </w:r>
      <w:r>
        <w:rPr>
          <w:rFonts w:ascii="Arial" w:cs="Arial" w:eastAsia="Arial" w:hAnsi="Arial"/>
          <w:sz w:val="18"/>
          <w:szCs w:val="18"/>
          <w:i w:val="1"/>
          <w:iCs w:val="1"/>
          <w:color w:val="auto"/>
        </w:rPr>
        <w:t xml:space="preserve"> </w:t>
      </w:r>
      <w:r>
        <w:rPr>
          <w:rFonts w:ascii="Arial" w:cs="Arial" w:eastAsia="Arial" w:hAnsi="Arial"/>
          <w:sz w:val="18"/>
          <w:szCs w:val="18"/>
          <w:color w:val="auto"/>
        </w:rPr>
        <w:t>unannounced internal audits objectively measure dealership performance with respect to corporate expectations in the management and administration of sales, commercial vehicle inventory, parts inventory, parts sales, service sales, body shop sales, corporate policy compliance, human resources compliance, and environmental and safety compliance matters.</w:t>
      </w:r>
    </w:p>
    <w:p>
      <w:pPr>
        <w:spacing w:after="0" w:line="241"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i w:val="1"/>
          <w:iCs w:val="1"/>
          <w:color w:val="auto"/>
        </w:rPr>
        <w:t xml:space="preserve">Purchasing and Suppliers. </w:t>
      </w:r>
      <w:r>
        <w:rPr>
          <w:rFonts w:ascii="Arial" w:cs="Arial" w:eastAsia="Arial" w:hAnsi="Arial"/>
          <w:sz w:val="17"/>
          <w:szCs w:val="17"/>
          <w:color w:val="auto"/>
        </w:rPr>
        <w:t>We believe that pricing is an important element of our marketing strategy. Because of our size, we benefit from</w:t>
      </w:r>
      <w:r>
        <w:rPr>
          <w:rFonts w:ascii="Arial" w:cs="Arial" w:eastAsia="Arial" w:hAnsi="Arial"/>
          <w:sz w:val="17"/>
          <w:szCs w:val="17"/>
          <w:i w:val="1"/>
          <w:iCs w:val="1"/>
          <w:color w:val="auto"/>
        </w:rPr>
        <w:t xml:space="preserve"> </w:t>
      </w:r>
      <w:r>
        <w:rPr>
          <w:rFonts w:ascii="Arial" w:cs="Arial" w:eastAsia="Arial" w:hAnsi="Arial"/>
          <w:sz w:val="17"/>
          <w:szCs w:val="17"/>
          <w:color w:val="auto"/>
        </w:rPr>
        <w:t>volume purchases at favorable prices that 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22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Commercial Vehicle Inventory Management. </w:t>
      </w:r>
      <w:r>
        <w:rPr>
          <w:rFonts w:ascii="Arial" w:cs="Arial" w:eastAsia="Arial" w:hAnsi="Arial"/>
          <w:sz w:val="18"/>
          <w:szCs w:val="18"/>
          <w:color w:val="auto"/>
        </w:rPr>
        <w:t>We utilize our management information systems to monitor the inventory level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vehicles at each of our dealerships. Our systems provide the information that allows for the transfer of new and used commercial vehicle inventory among Rush Truck Centers as needed.</w:t>
      </w:r>
    </w:p>
    <w:p>
      <w:pPr>
        <w:spacing w:after="0" w:line="181"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i w:val="1"/>
          <w:iCs w:val="1"/>
          <w:color w:val="auto"/>
        </w:rPr>
        <w:t xml:space="preserve">Parts Distribution and Inventory Management. </w:t>
      </w:r>
      <w:r>
        <w:rPr>
          <w:rFonts w:ascii="Arial" w:cs="Arial" w:eastAsia="Arial" w:hAnsi="Arial"/>
          <w:sz w:val="17"/>
          <w:szCs w:val="17"/>
          <w:color w:val="auto"/>
        </w:rPr>
        <w:t>We utilize a parts inventory tracking system that allows for the prompt transfer of parts</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among various Rush Truck Centers. The transfer of inventory reduces delays in delivery, helps maximize inventory turns and assists in controlling problems created by overstock and understock situations.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May 27, 2016, we acquired certain assets of Transwest Truck Center Las Vegas, LLC, which included a Ford truck franchise in Las Vegas, Nevada. The transaction was valued at approximately $0.8 million, with the purchase price paid in cash.</w:t>
      </w:r>
    </w:p>
    <w:p>
      <w:pPr>
        <w:spacing w:after="0" w:line="170"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6"/>
          <w:szCs w:val="16"/>
          <w:color w:val="auto"/>
        </w:rPr>
        <w:t>On September 28, 2015, in connection with the divestiture of our Peterbilt dealership in Charlotte, North Carolina, we acquired certain assets of Peterbilt of Las Vegas, Inc., which operated a commercial vehicle dealership in Las Vegas, Nevada. This location is operating as a Rush Truck Center and is a full-service Peterbilt dealership. The acquisition also included a PacLease commercial vehicle rental and leasing business. The dealership swap was a like-kind exchange for tax purposes and enabled us to be consistent with our preferred strategy of not having dealerships representing multiple Class 8 manufacturers in the same market, as we continue to operate a facility representing International, Hino and Isuzu trucks in Charlotte. The sale price for the assets in Charlotte, North Carolina was approximately $6.4 million, which was offset by floor plan and accounts payable of $5.9 million. The purchase price for the assets in Las Vegas, Nevada was approximately $3.4 million, which was paid in cash.</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27, 2015, we acquired certain assets of Dallas Truck Center, Inc., which included real estate and used truck inventory, in Dallas, Texas. We are now operating this facility as Rig Tough Used Trucks, Dallas, a dedicated, non-franchised used commercial vehicle sales facility. The transaction was valued at approximately $3.3 million, with the purchase price paid in cash.</w:t>
      </w:r>
    </w:p>
    <w:p>
      <w:pPr>
        <w:spacing w:after="0" w:line="181"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On May 4, 2015, we acquired certain assets of Yancey Truck Centers, LLC, which operated commercial vehicle dealerships in Albany, Blackshear, Tifton, Valdosta, Augusta, Columbus and Macon, Georgia. Certain of these locations are operating as Rush Truck Centers and offer commercial vehicle sales, parts and service for International trucks. The acquisition also included an Idealease commercial vehicle rental and leasing business. The purchase price for the assets, goodwill, franchise rights and dealership properties was approximately $30.1 million, which was paid in cash and a portion financed under our floor plan arrangement.</w:t>
      </w: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February 9, 2015, we acquired certain assets of Effingham Truck Sales, Inc. The acquisition included International commercial truck dealerships and an Idealease commercial vehicle rental and leasing business in Effingham and Mount Vernon, Illinois. The purchase price for the assets, goodwill, and dealership properties was approximately $25.3 million, which was paid in cash.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15 of the Notes to Consolidated Financial Statements for a detailed discussion of the allocation of the purchase price of these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24" w:lineRule="exact"/>
        <w:rPr>
          <w:sz w:val="20"/>
          <w:szCs w:val="20"/>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keep customers’ vehicles operational, which is dependent on the accessibility of dealership locations;</w:t>
      </w:r>
    </w:p>
    <w:p>
      <w:pPr>
        <w:spacing w:after="0" w:line="225" w:lineRule="exact"/>
        <w:rPr>
          <w:rFonts w:ascii="Arial" w:cs="Arial" w:eastAsia="Arial" w:hAnsi="Arial"/>
          <w:sz w:val="18"/>
          <w:szCs w:val="18"/>
          <w:color w:val="auto"/>
        </w:rPr>
      </w:pPr>
    </w:p>
    <w:p>
      <w:pPr>
        <w:ind w:left="880" w:right="80" w:hanging="224"/>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value, quality and design of the products sold; and</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attention to customer service (including technical service).</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dealerships compete with dealerships representing other manufacturers including commercial vehicles manufactured by Mack, Freightliner, Kenworth, Volvo, and Western Star. We believe that our dealerships are able to compete with manufacturer-owned dealers, other franchised dealership groups,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vehicles offered in our dealership network; and our ability to provide comprehensive parts and service support, as well as financing, insurance and other customer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Peterbilt. </w:t>
      </w:r>
      <w:r>
        <w:rPr>
          <w:rFonts w:ascii="Arial" w:cs="Arial" w:eastAsia="Arial" w:hAnsi="Arial"/>
          <w:sz w:val="18"/>
          <w:szCs w:val="18"/>
          <w:color w:val="auto"/>
        </w:rPr>
        <w:t>We have entered into nonexclusive dealership agreements with Peterbilt that authorize us to act as a dealer of Peterbilt heavy-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medium-duty trucks. Our Peterbilt areas of responsibility currently encompass areas in the states of Alabama, Arizona, California, Colorado, Florida, Kentucky, New Mexico, Nevada, Oklahoma, Tennessee and Texas. These dealership agreements currently have terms expiring between May 2017 and March 2019 and impose certain operational obligations and financial requirements upon us and our dealerships. Our dealership agreements with Peterbilt may be terminated by Peterbilt in the event that the aggregate voting power of W. Marvin Rush, W.M. “Rusty” Rush, other members of the Rush family and certain executives of the Company decreases below 22%. Sales of new Peterbilt commercial vehicles accounted for approximately 34.0% of our total revenues for 2016.</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have entered into nonexclusive dealership agreements with Navistar that authorize us to act as a dealer of International heavy-and medium-duty trucks and IC buses. Our Navistar areas of responsibility currently encompass areas in the states of Georgia, Idaho, Illinois, Indiana, Missouri, North Carolina, Ohio, Utah and Virginia. These dealership agreements currently have terms expiring between December 2017 and March 2021 and impose certain operational obligations and financial requirements upon us and our dealerships. Sales of new International commercial vehicles accounted for approximately 10.9% of our total revenues for 2016.</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Other Commercial Vehicle Suppliers. </w:t>
      </w:r>
      <w:r>
        <w:rPr>
          <w:rFonts w:ascii="Arial" w:cs="Arial" w:eastAsia="Arial" w:hAnsi="Arial"/>
          <w:sz w:val="16"/>
          <w:szCs w:val="16"/>
          <w:color w:val="auto"/>
        </w:rPr>
        <w:t>In addition to our dealership agreements with Peterbilt and Navistar, various Rush Truck Centers have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dealership agreements with other commercial vehicle manufacturers, including Blue Bird, Micro Bird and Mitsubishi Fuso, which currently have terms expiring between July 2017 and November 2018 and Ford, Hino and Isuzu, which have indefinite terms. These dealership agreements impose operating requirements upon us and require consent from the affected supplier for the sale or transfer of such dealership agreement. Sales of new non-Peterbilt and non-International commercial vehicles accounted for approximately 10.8% of our total revenues for 2016.</w:t>
      </w: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pacing w:after="0" w:line="2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During 2016, we financed the majority of all new commercial vehicle inventory purchases and the loan value of our used commercial vehicle inventory under a credit agreement (the “Floor Plan Credit Agreement”) with BMO Harris Bank N.A. that was amended and restated on July 7, 2016.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(i) 2.0% of the aggregate revolving loan commitments if such termination occurs on or before January 1, 2018; (ii) 1.0% of the aggregate revolving loan commitments if such termination occurs after January 1, 2018 and on or prior to July 1, 2018; and (iii) $500,000 if such termination occurs after July 1, 2018 and prior to June 30, 2019, subject to specified limited exceptions. On December 31, 2016, we had approximately $548.1 million outstanding under the Floor Plan Credit Agreement. The average daily outstanding borrowings under the Floor Plan Credit Agreement were $632.8 million during the twelve months ended December 31, 2016.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December 31, 2016, the interest rate on the wholesale financing agreement was 5.25% before considering the applicable incentives. As of December 31, 2016, we had an outstanding balance of approximately $66.4 million under the Ford Motor Credit Company wholesale financing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proprietary line of parts and related service. We also provide an extended warranty beyond the manufacturer’s warranty on new school buses sold in the State of Texas, as required by state law.</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“Rush Truck Center,” “Chrome Country,” “Rig Tough,” “CVS Custom Vehicle Solutions” and “Momentum Fuel Technologies.”</w:t>
      </w: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2016, we had 6,180 employees.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collective bargaining agreements covering certain employees in Chicago, Illinois, which will expire on May 6, 2017, Joliet, Illinois, which will expire on May 5, 2018 and Carol Stream, Illinois, which will expire on May 4, 2019.</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strikes, work stoppages or slowdowns during the negotiations of the foregoing collective bargaining agreements or at any time in the Company’s history, although no assurances can be given that such actions will not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31, 2016, our backlog of commercial vehicle orders was approximately $830.3 million, compared to a backlog of commercial vehicle orders of approximately $1,223.9 million on December 31, 2015.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2016, and we expect to fill the majority of our backlog orders during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On August 16, 2016, the EPA and NHTSA issued final rules that largely adopted their June 19, 2015 proposal. We do not believe that the foregoing adopted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upon PACCAR for the supply of Peterbilt trucks and parts, the sale of which generates the majority of our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2016,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left="800" w:hanging="46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Peterbilt;</w:t>
      </w:r>
    </w:p>
    <w:p>
      <w:pPr>
        <w:spacing w:after="0" w:line="225" w:lineRule="exact"/>
        <w:rPr>
          <w:rFonts w:ascii="Arial" w:cs="Arial" w:eastAsia="Arial" w:hAnsi="Arial"/>
          <w:sz w:val="18"/>
          <w:szCs w:val="18"/>
          <w:color w:val="auto"/>
        </w:rPr>
      </w:pPr>
    </w:p>
    <w:p>
      <w:pPr>
        <w:ind w:left="800" w:hanging="468"/>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high quality Peterbilt trucks by Peterbilt in quantities sufficient to meet our requirements;</w:t>
      </w:r>
    </w:p>
    <w:p>
      <w:pPr>
        <w:spacing w:after="0" w:line="170" w:lineRule="exact"/>
        <w:rPr>
          <w:rFonts w:ascii="Arial" w:cs="Arial" w:eastAsia="Arial" w:hAnsi="Arial"/>
          <w:sz w:val="18"/>
          <w:szCs w:val="18"/>
          <w:color w:val="auto"/>
        </w:rPr>
      </w:pPr>
    </w:p>
    <w:p>
      <w:pPr>
        <w:ind w:left="800" w:hanging="46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success of PACCAR and Peterbilt;</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PACCAR’s continuation of its Peterbilt division; and</w:t>
      </w:r>
    </w:p>
    <w:p>
      <w:pPr>
        <w:spacing w:after="0" w:line="225" w:lineRule="exact"/>
        <w:rPr>
          <w:rFonts w:ascii="Arial" w:cs="Arial" w:eastAsia="Arial" w:hAnsi="Arial"/>
          <w:sz w:val="18"/>
          <w:szCs w:val="18"/>
          <w:color w:val="auto"/>
        </w:rPr>
      </w:pPr>
    </w:p>
    <w:p>
      <w:pPr>
        <w:ind w:left="800" w:hanging="468"/>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maintenance of goodwill associated with the Peterbilt brand, which can be adversely affected by decisions made by PACCAR, Peterbilt and the owners of other Peterbilt dealerships.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PACCAR, could have a material adverse effect on our operations, revenues and profitability.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upon Navistar for the supply of International trucks and parts and IC buses and parts, the sale of which generate a significant portion of our revenues.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certain Rush Truck Centers, we operate as a dealer of International trucks and parts and IC buses and parts pursuant to dealership agreements with International and IC Bus, each of which are divisions of Navistar. We have no control over the management or operation of International, IC Bus or Navistar. During 2016, a significant portion of our revenues resulted from sales of trucks purchased from International, buses purchased from IC Bus and parts purchased from Navistar. Due to our dependence on Navistar, International and IC Bus, we believe that our long-term success depends, in large part, on the following:</w:t>
      </w:r>
    </w:p>
    <w:p>
      <w:pPr>
        <w:spacing w:after="0" w:line="188" w:lineRule="exact"/>
        <w:rPr>
          <w:sz w:val="20"/>
          <w:szCs w:val="20"/>
          <w:color w:val="auto"/>
        </w:rPr>
      </w:pPr>
    </w:p>
    <w:p>
      <w:pPr>
        <w:ind w:left="800" w:hanging="46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International and IC Bus;</w:t>
      </w:r>
    </w:p>
    <w:p>
      <w:pPr>
        <w:spacing w:after="0" w:line="225" w:lineRule="exact"/>
        <w:rPr>
          <w:rFonts w:ascii="Arial" w:cs="Arial" w:eastAsia="Arial" w:hAnsi="Arial"/>
          <w:sz w:val="18"/>
          <w:szCs w:val="18"/>
          <w:color w:val="auto"/>
        </w:rPr>
      </w:pPr>
    </w:p>
    <w:p>
      <w:pPr>
        <w:ind w:left="800" w:hanging="468"/>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high quality International trucks and IC buses in quantities sufficient to meet our requirements;</w:t>
      </w:r>
    </w:p>
    <w:p>
      <w:pPr>
        <w:spacing w:after="0" w:line="170" w:lineRule="exact"/>
        <w:rPr>
          <w:rFonts w:ascii="Arial" w:cs="Arial" w:eastAsia="Arial" w:hAnsi="Arial"/>
          <w:sz w:val="18"/>
          <w:szCs w:val="18"/>
          <w:color w:val="auto"/>
        </w:rPr>
      </w:pPr>
    </w:p>
    <w:p>
      <w:pPr>
        <w:ind w:left="800" w:hanging="46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success of Navistar; and</w:t>
      </w:r>
    </w:p>
    <w:p>
      <w:pPr>
        <w:spacing w:after="0" w:line="225" w:lineRule="exact"/>
        <w:rPr>
          <w:rFonts w:ascii="Arial" w:cs="Arial" w:eastAsia="Arial" w:hAnsi="Arial"/>
          <w:sz w:val="18"/>
          <w:szCs w:val="18"/>
          <w:color w:val="auto"/>
        </w:rPr>
      </w:pPr>
    </w:p>
    <w:p>
      <w:pPr>
        <w:ind w:left="800" w:hanging="468"/>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Navistar, could have a material adverse effect on our operations, revenues and profitability.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W. Marvin Rush, W. M. “Rusty” Rush, Barbara Rush, Robin M. Rush, David C. Orf, James Thor, Martin A. Naegelin, Scott Anderson, Derrek Weaver, Steven Keller, Corey Lowe and Rich Ryan (collectively, the “Dealer Principals”) decreases below 22% (such persons controlled 33.7% of the aggregate voting power with respect to the election of directors as of December 31, 2016);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W.M. “Rusty” Rush, or by either of their estates, of their common stock. If W. Marvin Rush or W.M. “Rusty” Rush were to sell their Class B Common Stock or bequest their Class B Common Stock to a person or entity other than the Dealer Principles, or if their estates are required to liquidate their Class B Common Stock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ectPr>
          <w:pgSz w:w="11900" w:h="16838" w:orient="portrait"/>
          <w:cols w:equalWidth="0" w:num="1">
            <w:col w:w="11060"/>
          </w:cols>
          <w:pgMar w:left="240" w:top="118" w:right="59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are non-exclusive and have relatively short terms which could result in non-renewal or imposition of less favorable terms upon renewal.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dealership agreements generally do not provide us with exclusive dealerships in any territory. The manufacturers we represent could elect to create additional dealers in our market areas in the future, subject to restrictions imposed by state laws. While dealership agreements typically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engage in similar activities within our territories.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dealership agreements with the manufacturers we represent have current terms expiring between July 2017 and March 2021. Upon expiration of each agreement, we must negotiate a renewal. Management expects that, consistent with in some cases decades of past practice, each of our dealership agreements will be renewed before their respective termination dates, provided that we do not breach any of the material terms of the agreements.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solutions that are mutually agreeable.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dealership agreements, would have an adverse impact on our business.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requires inventories held for sale to be maintained at dealer locations in order to facilitate immediate sales to customers on demand. We generally purchase inventories with the assistance of floor plan financing agreements. Our primary floor plan financing agreement, the Floor Plan Credit Agreement, expires on June 30, 2019 and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in the carrying value of goodwill and other indefinite-lived intangible assets could negatively affect our operating results.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commercial vehicles or parts to us,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Management’s assumptions are subject to change as more information becomes available.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have a material adverse effect on our profitability.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Floor Plan Credit Agreement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a number of economic risks.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New and used commercial vehicle retail sales tend to experience periods of decline when general economic conditions worsen, characterized by oversupply and weak demand.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new commercial vehicle sales volume therefore may differ from industry sales fluctuations.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parts and repair services, and finance and insurance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our success depends significantly upon the efforts and abilities of our executive management and key employees. Additionally, our business is dependent upon our ability to continue to attract and retain qualified personnel, such as executive officers, managers and dealership personnel. The loss of the services of one or more members of our senior management team could have a material adverse effect on us and materially impair the efficiency and productivity of our operations. In addition, the loss of any of our key employees or the failure to attract additional qualified executive officers, managers and dealership personnel could have a material adverse effect on our business and may materially impact the ability of our dealerships to conduct their operations in accordance with our business strategy.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relationships with suppliers for sales incentives, discounts and similar programs which are material to our operations.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depend on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have a material adverse effect on our profitability.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success of each of our dealerships is dependent on the manufacturers represented at each dealership in several ways. Our ability to sell new vehicles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manufacturers for warranty and service work performed for our customers. In addition, we rely on manufacturers to varying extents for product training, marketing materials, and other items for our stores. Our business, results of operations, and financial condition could be materially adversely affected as a result of any event that has a material adverse effect on the manufacturers we represent.</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For example, during the second quarter of 2009, General Motors made the decision to terminate its medium-duty GMC truck production and wind-down our medium-duty GMC truck franchises, which forced us to take a significant pre-tax asset impairment charge in the second quarter of 2009.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2016, our backlog of new commercial vehicle orders was approximately $830.3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dealerships are subject to federal, state and local environmental regulations that may result in claims and liabilities, which could be material.</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have liability in connection with materials that were sent to third-party recycling, treatment, or disposal facilities under federal and state statutes. In that case, laws and regulations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to our information technology systems and breaches in data security could adversely affect our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upon our information technology systems to manage all aspects of our business, including processing and recording sales to, and payments from, customers, managing inventory, communicating with manufacturers and vendors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Despite the security measures we have in place, our facilities and systems, and those of our third-party service providers, could be vulnerable to security breaches, computer viruses, lost or misplaced data, programming errors, human errors, acts of vandalism, or other events. Any security breach or event resulting in the misappropriation, loss, or other unauthorized disclosure of confidential information, whether by us directly or our third-party service providers, could adversely affect our business operations, sales, reputation with current and potential customers, associates or vendors and result in litigation or regulatory actions, all of which could have a material adverse effect on our business and reputation.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and adverse weather events can disrupt our business.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Some of our dealerships are located in regions of the United States where natural disasters and severe weather events (such as hurricanes, earthquakes, fires, floods, tornadoes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two shareholders and their affiliates.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Collectively, W. Marvin Rush and W. M. “Rusty” Rush and their affiliates own approximately 0.3% of our issued and outstanding shares of Class A Common Stock and 37.5% of our issued and outstanding Class B Common Stock. W. Marvin Rush and W.M. “Rusty” Rush collectively control approximately 32.3% of the aggregate voting power of our outstanding shares and voting power which is substantially more than any other person or group. The interests of W. Marvin Rush and W.M. “Rusty” Rush may not be consistent with the interests of all shareholders, or each other. As a result of such ownership, W. Marvin Rush and W.M. “Rusty” Rush have the power to effectively control the Company, including the election of directors, the determination of matters requiring shareholder approval and other matters pertaining to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dealership agreements could discourage another company from acquiring 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W. Marvin Rush and W.M. “Rusty” Rush have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W. Marvin Rush, certain shares of his Class B Common Stock of the Company are exempt from his rights of first refusal agreement. These rights of first refusal, the number of shares owned by W. Marvin Rush and W.M. “Rusty” Rush and their affiliates, the requirement in our dealership agreements that the Dealer Principals retain a controlling interest in us,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has limited voting power.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price of our Class B Common Stock has historically been lower than the market price of our Class A Common Stock. The volume of trading in our Class B Common Stock varies greatly and may often be light. As of December 31, 2016, the three-month average daily trading volume of our Class B Common Stock was approximately 29,000 shares, with several days having a trading volume below 10,000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corporate headquarters are located in New Braunfels, Texas. As of December 2016, we also own or lease numerous facilities used in our operations in the following states: Alabama, Arizona, California, Colorado, Florida, Georgia, Idaho, Illinois, Indiana, Kansas, Kentucky, Missouri, New Mexico, Nevada, North Carolina, Ohio, Oklahoma, Pennsylvania, Tennessee, Texas, Utah and Virginia.</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 hangar in New Braunfels, Texas for the corporate aircraft. We also own and operate a guest ranch of approximately 9,500 acres near Cotulla, Texas, which is used for client development purposes.</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jc w:val="center"/>
        <w:ind w:right="86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240" w:top="118" w:right="6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Item 5. Market for Registrant’s Common Equity, Related Shareholder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under the symbols RUSHA and RUSHB.</w:t>
      </w:r>
    </w:p>
    <w:p>
      <w:pPr>
        <w:spacing w:after="0" w:line="111" w:lineRule="exact"/>
        <w:rPr>
          <w:sz w:val="20"/>
          <w:szCs w:val="20"/>
          <w:color w:val="auto"/>
        </w:rPr>
      </w:pPr>
    </w:p>
    <w:p>
      <w:pPr>
        <w:jc w:val="both"/>
        <w:ind w:right="360" w:firstLine="648"/>
        <w:spacing w:after="0" w:line="261" w:lineRule="auto"/>
        <w:rPr>
          <w:sz w:val="20"/>
          <w:szCs w:val="20"/>
          <w:color w:val="auto"/>
        </w:rPr>
      </w:pPr>
      <w:r>
        <w:rPr>
          <w:rFonts w:ascii="Arial" w:cs="Arial" w:eastAsia="Arial" w:hAnsi="Arial"/>
          <w:sz w:val="18"/>
          <w:szCs w:val="18"/>
          <w:color w:val="auto"/>
        </w:rPr>
        <w:t>The following table sets forth the high and low sales prices for the Class A Common Stock and Class B Common Stock for the fiscal periods indicated and as quoted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2015</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Fourth Quarter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First Quarter</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22.08</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Third Quarter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As of February 14, 2017, there were approximately 27 record holders of Class A Common Stock and approximately 36 record holders of Class B Common Stock.</w:t>
      </w:r>
    </w:p>
    <w:p>
      <w:pPr>
        <w:spacing w:after="0" w:line="170"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We did not pay dividends during the fiscal year ended December 31, 2016, or the fiscal year ended December 31, 2015. The Board of Directors intends to retain any earnings to support operations, repurchase shares and to finance expansion.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we have not sold any securities in the last three years that were not registered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fourth quarter of 2016 is as follows:</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May</w:t>
            </w: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Yet be</w:t>
            </w: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3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Plans</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18"/>
                <w:szCs w:val="18"/>
                <w:color w:val="auto"/>
              </w:rPr>
            </w:pPr>
          </w:p>
        </w:tc>
        <w:tc>
          <w:tcPr>
            <w:tcW w:w="136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1"/>
              </w:rPr>
              <w:t>Price Paid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r>
      <w:tr>
        <w:trPr>
          <w:trHeight w:val="234"/>
        </w:trPr>
        <w:tc>
          <w:tcPr>
            <w:tcW w:w="5100" w:type="dxa"/>
            <w:vAlign w:val="bottom"/>
          </w:tcPr>
          <w:p>
            <w:pPr>
              <w:ind w:left="2300"/>
              <w:spacing w:after="0"/>
              <w:rPr>
                <w:sz w:val="20"/>
                <w:szCs w:val="20"/>
                <w:color w:val="auto"/>
              </w:rPr>
            </w:pPr>
            <w:r>
              <w:rPr>
                <w:rFonts w:ascii="Arial" w:cs="Arial" w:eastAsia="Arial" w:hAnsi="Arial"/>
                <w:sz w:val="18"/>
                <w:szCs w:val="18"/>
                <w:b w:val="1"/>
                <w:bCs w:val="1"/>
                <w:color w:val="auto"/>
              </w:rPr>
              <w:t>Period</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6"/>
              </w:rPr>
              <w:t>(1)(2)(3)</w:t>
            </w:r>
          </w:p>
        </w:tc>
        <w:tc>
          <w:tcPr>
            <w:tcW w:w="200" w:type="dxa"/>
            <w:vAlign w:val="bottom"/>
          </w:tcPr>
          <w:p>
            <w:pPr>
              <w:spacing w:after="0"/>
              <w:rPr>
                <w:sz w:val="20"/>
                <w:szCs w:val="20"/>
                <w:color w:val="auto"/>
              </w:rPr>
            </w:pPr>
          </w:p>
        </w:tc>
        <w:tc>
          <w:tcPr>
            <w:tcW w:w="152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1"/>
              </w:rPr>
              <w:t>Per Share (1)</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Pr>
          <w:p>
            <w:pPr>
              <w:spacing w:after="0"/>
              <w:rPr>
                <w:sz w:val="20"/>
                <w:szCs w:val="20"/>
                <w:color w:val="auto"/>
              </w:rPr>
            </w:pP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October 31, 2016</w:t>
            </w:r>
          </w:p>
        </w:tc>
        <w:tc>
          <w:tcPr>
            <w:tcW w:w="1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1"/>
              </w:rPr>
              <w:t>(4</w:t>
            </w:r>
            <w:r>
              <w:rPr>
                <w:rFonts w:ascii="Arial" w:cs="Arial" w:eastAsia="Arial" w:hAnsi="Arial"/>
                <w:sz w:val="18"/>
                <w:szCs w:val="18"/>
                <w:color w:val="auto"/>
                <w:w w:val="8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3,974,400</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November 1 – November 30, 2016</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145,328</w:t>
            </w:r>
          </w:p>
        </w:tc>
        <w:tc>
          <w:tcPr>
            <w:tcW w:w="16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27.57</w:t>
            </w:r>
            <w:r>
              <w:rPr>
                <w:rFonts w:ascii="Arial" w:cs="Arial" w:eastAsia="Arial" w:hAnsi="Arial"/>
                <w:sz w:val="18"/>
                <w:szCs w:val="18"/>
                <w:b w:val="1"/>
                <w:bCs w:val="1"/>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145,328</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 December 31, 2016</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30.13</w:t>
            </w:r>
            <w:r>
              <w:rPr>
                <w:rFonts w:ascii="Arial" w:cs="Arial" w:eastAsia="Arial" w:hAnsi="Arial"/>
                <w:sz w:val="18"/>
                <w:szCs w:val="18"/>
                <w:b w:val="1"/>
                <w:bCs w:val="1"/>
                <w:color w:val="auto"/>
              </w:rPr>
              <w:t>(6)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36,520,932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370,167</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370,167</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36,520,932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-8255</wp:posOffset>
            </wp:positionV>
            <wp:extent cx="754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-8255</wp:posOffset>
            </wp:positionV>
            <wp:extent cx="1646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600" w:right="380" w:hanging="592"/>
        <w:spacing w:after="0" w:line="250"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ind w:left="600" w:hanging="592"/>
        <w:spacing w:after="0" w:line="265"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repurchased shares under a stock repurchase program announced on December 4, 2015, which authorized the repurchase of up to $40.0 million of its shares of Class A Common Stock and/or Class B Common Stock. This stock repurchase program expired on November 30, 2016. The Company announced a new $40 million stock program on November 30, 2016, which authorized the repurchase of up to $40.0 million of its shares of Class A Common Stock and/or Class B Common Stock and will expire on November 30, 2017.</w:t>
      </w: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109,466 shares of Class B Common Stock at an average price paid per share of $23.68.</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143,883 shares of Class B Common Stock at an average price paid per share of $27.57.</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115,373 shares of Class B Common Stock at an average price paid per share of $30.13.</w:t>
      </w:r>
    </w:p>
    <w:p>
      <w:pPr>
        <w:sectPr>
          <w:pgSz w:w="11900" w:h="16838" w:orient="portrait"/>
          <w:cols w:equalWidth="0" w:num="1">
            <w:col w:w="11420"/>
          </w:cols>
          <w:pgMar w:left="240" w:top="118" w:right="239" w:bottom="1149"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149" w:gutter="0" w:footer="0" w:header="0"/>
          <w:type w:val="continuous"/>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graph shows the value as of December 31, 2016, of a $100 investment in the Company’s common stock made on December 31, 2011 (with dividends reinvested), as compared with similar investments based on (i) the value of the S&amp;P 500 Index (with dividends reinvested) and</w:t>
      </w:r>
    </w:p>
    <w:p>
      <w:pPr>
        <w:jc w:val="both"/>
        <w:ind w:firstLine="8"/>
        <w:spacing w:after="0" w:line="254" w:lineRule="auto"/>
        <w:tabs>
          <w:tab w:leader="none" w:pos="2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a market-weighted Peer Group Index composed of the common stock of PACCAR, Inc., Werner Enterprises, Inc., Penske Automotive Group, Inc. and Lithia Motors, Inc., in each case on a “total return” basis assuming reinvestment of dividends. The market-weighted Peer Group Index values were calculated from the beginning of the performance period. The historical stock price performance shown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129540</wp:posOffset>
            </wp:positionV>
            <wp:extent cx="5651500" cy="2830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150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r>
      <w:tr>
        <w:trPr>
          <w:trHeight w:val="210"/>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Rush Enterprises, Inc.</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145.44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165.53</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S&amp;P 500</w:t>
            </w: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116.00</w:t>
            </w: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153.58</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174.60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177.01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198.18</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176.22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w:t>
      </w:r>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right="400" w:firstLine="648"/>
        <w:spacing w:after="0" w:line="255"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and discontinued operations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9"/>
          </w:tcPr>
          <w:p>
            <w:pPr>
              <w:ind w:left="700"/>
              <w:spacing w:after="0"/>
              <w:rPr>
                <w:sz w:val="20"/>
                <w:szCs w:val="20"/>
                <w:color w:val="auto"/>
              </w:rPr>
            </w:pPr>
            <w:r>
              <w:rPr>
                <w:rFonts w:ascii="Arial" w:cs="Arial" w:eastAsia="Arial" w:hAnsi="Arial"/>
                <w:sz w:val="18"/>
                <w:szCs w:val="18"/>
                <w:b w:val="1"/>
                <w:bCs w:val="1"/>
                <w:color w:val="auto"/>
                <w:w w:val="94"/>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SUMMARY OF INCOME STATEMENT DATA</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40" w:type="dxa"/>
            <w:vAlign w:val="bottom"/>
            <w:gridSpan w:val="11"/>
          </w:tcPr>
          <w:p>
            <w:pPr>
              <w:jc w:val="right"/>
              <w:ind w:right="48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2,640,019</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3,360,808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3,195,873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2,239,847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2,149,335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 sales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1,332,356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1,382,447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988,317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208,154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199,867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177,561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4,214,614</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4,979,733</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4,727,356</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3,384,705</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3,090,567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3,496,602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4,194,786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3,971,310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2,812,691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2,589,800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718,012</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784,947</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756,046</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572,014</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500,767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587,778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619,268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573,670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80,728</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121,276</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91,754</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66,449</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107,803</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130,543</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81,061</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101,183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41,750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31,844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40,271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DATA</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Unit vehicle sales −</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New vehicles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27,459</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Used vehicles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Total unit vehicles sales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30,635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35,352</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Truck lease and rental units (including units under contract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9,074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and crane units)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8,073</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118,318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79,549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207,984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840,304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1,061,198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1,024,104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802,220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2,603,047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2,675,875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2,151,521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Floor plan notes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646,945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845,977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593,649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604,003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647,755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578,254</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482,781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including current portion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84,493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57,250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862,825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844,897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764,339</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665,381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607,946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360" w:firstLine="648"/>
        <w:spacing w:after="0" w:line="293" w:lineRule="auto"/>
        <w:rPr>
          <w:sz w:val="20"/>
          <w:szCs w:val="20"/>
          <w:color w:val="auto"/>
        </w:rPr>
      </w:pPr>
      <w:r>
        <w:rPr>
          <w:rFonts w:ascii="Arial" w:cs="Arial" w:eastAsia="Arial" w:hAnsi="Arial"/>
          <w:sz w:val="16"/>
          <w:szCs w:val="16"/>
          <w:color w:val="auto"/>
        </w:rPr>
        <w:t>We are a full-service, integrated retailer of commercial vehicles and related services. We operate one segment - the Truck Segment. The Truck Segment operates a nationwide network of commercial vehicle dealerships under the name “Rush Truck Centers.” Each Rush Truck Center is a franchised dealership for commercial vehicles manufactured by Peterbilt, International, Hino, Ford, Isuzu, Mitsubishi Fuso, IC Bus or Blue Bird. Through our strategically located network of Rush Truck Centers, we provide one-stop service for the needs of our commercial vehicle customers. We offer an integrated approach to meeting customer needs by providing service, parts and collision repair in addition to new and used commercial vehicle sales and leasing, insurance and financial services, vehicle upfitting, CNG fuel systems, vehicle telematics products, chrome accessories and tires.</w:t>
      </w:r>
    </w:p>
    <w:p>
      <w:pPr>
        <w:spacing w:after="0" w:line="165"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goal is to continue to serve as the premier service solutions provider to the commercial vehicle industry. Our strategic efforts to achieve this goal include continuously expanding our portfolio of Aftermarket Services, broadening the diversity of our commercial vehicle product offerings and extending our network of service points. Our commitment to provide innovative solutions to service our customers’ business needs continues to drive our strong Aftermarket Services revenues.</w:t>
      </w:r>
    </w:p>
    <w:p>
      <w:pPr>
        <w:spacing w:after="0" w:line="187" w:lineRule="exact"/>
        <w:rPr>
          <w:sz w:val="20"/>
          <w:szCs w:val="20"/>
          <w:color w:val="auto"/>
        </w:rPr>
      </w:pPr>
    </w:p>
    <w:p>
      <w:pPr>
        <w:jc w:val="both"/>
        <w:ind w:right="360" w:firstLine="648"/>
        <w:spacing w:after="0" w:line="257" w:lineRule="auto"/>
        <w:rPr>
          <w:sz w:val="20"/>
          <w:szCs w:val="20"/>
          <w:color w:val="auto"/>
        </w:rPr>
      </w:pPr>
      <w:r>
        <w:rPr>
          <w:rFonts w:ascii="Arial" w:cs="Arial" w:eastAsia="Arial" w:hAnsi="Arial"/>
          <w:sz w:val="18"/>
          <w:szCs w:val="18"/>
          <w:color w:val="auto"/>
        </w:rPr>
        <w:t>Our Aftermarket Services include a wide range of capabilities and products such as providing parts, service and collision repair at certain of our Rush Truck Centers, a fleet of mobile service units, mobile technicians who work in our customers’ facilities, a proprietary line of commercial vehicle parts and accessories, vehicle upfitting, a broad range of diagnostic and analysis capabilities, a suite of telematics products, factory-certified service for alternative fuel vehicles and assembly service for specialized bodies and equipment. Aftermarket Services accounted for 67.0% of our total gross profits in 2016.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for the year ended December 31, 2016 are summarized below as follows:</w:t>
      </w:r>
    </w:p>
    <w:p>
      <w:pPr>
        <w:spacing w:after="0" w:line="225" w:lineRule="exact"/>
        <w:rPr>
          <w:sz w:val="20"/>
          <w:szCs w:val="20"/>
          <w:color w:val="auto"/>
        </w:rPr>
      </w:pPr>
    </w:p>
    <w:p>
      <w:pPr>
        <w:ind w:left="1120" w:hanging="464"/>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gross revenues totaled $4,214.6 million in 2016, a 15.4% decrease from gross revenues of $4,979.7 million in 2015.</w:t>
      </w:r>
    </w:p>
    <w:p>
      <w:pPr>
        <w:spacing w:after="0" w:line="279" w:lineRule="exact"/>
        <w:rPr>
          <w:rFonts w:ascii="Arial" w:cs="Arial" w:eastAsia="Arial" w:hAnsi="Arial"/>
          <w:sz w:val="18"/>
          <w:szCs w:val="18"/>
          <w:color w:val="auto"/>
        </w:rPr>
      </w:pPr>
    </w:p>
    <w:p>
      <w:pPr>
        <w:ind w:left="1120" w:hanging="464"/>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decreased $66.9 million, or 8.5%, in 2016, compared to 2015. Gross profit as a percentage of sales increased to 17.0% in 2016 from 15.8% in 2015.</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8 heavy-duty unit sales, which accounted for 5.5% of the total U.S. market, decreased 35.9% over 2015.</w:t>
      </w:r>
    </w:p>
    <w:p>
      <w:pPr>
        <w:spacing w:after="0" w:line="225" w:lineRule="exact"/>
        <w:rPr>
          <w:rFonts w:ascii="Arial" w:cs="Arial" w:eastAsia="Arial" w:hAnsi="Arial"/>
          <w:sz w:val="18"/>
          <w:szCs w:val="18"/>
          <w:color w:val="auto"/>
        </w:rPr>
      </w:pPr>
    </w:p>
    <w:p>
      <w:pPr>
        <w:ind w:left="1120" w:hanging="464"/>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4-7 medium-duty unit sales, which accounted for 4.9% of the total U.S. market, decreased 0.9% over 2015. Light-duty truck unit sales increased 0.7% compared to 2015.</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Aftermarket Services revenues were $1,332.4 million in 2016, compared to $1,382.4 million in 2015.</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General and Administrative expenses decreased $31.5 million, or 5.1%, in 2016, compared to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completed the following growth initiatives in 2016:</w:t>
      </w:r>
    </w:p>
    <w:p>
      <w:pPr>
        <w:spacing w:after="0" w:line="225" w:lineRule="exact"/>
        <w:rPr>
          <w:sz w:val="20"/>
          <w:szCs w:val="20"/>
          <w:color w:val="auto"/>
        </w:rPr>
      </w:pPr>
    </w:p>
    <w:p>
      <w:pPr>
        <w:ind w:left="1120" w:hanging="464"/>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opened a newly constructed International and IC Bus dealership in Columbus, Ohio, consolidating two dealerships into one new location.</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completed a major renovation of our Peterbilt, Ford and Isuzu dealership in Whittier, California.</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relocated our Peterbilt dealership in Odessa, Texas, to a newly constructed, larger facility.</w:t>
      </w:r>
    </w:p>
    <w:p>
      <w:pPr>
        <w:spacing w:after="0" w:line="225" w:lineRule="exact"/>
        <w:rPr>
          <w:rFonts w:ascii="Arial" w:cs="Arial" w:eastAsia="Arial" w:hAnsi="Arial"/>
          <w:sz w:val="18"/>
          <w:szCs w:val="18"/>
          <w:color w:val="auto"/>
        </w:rPr>
      </w:pPr>
    </w:p>
    <w:p>
      <w:pPr>
        <w:ind w:left="1120" w:hanging="464"/>
        <w:spacing w:after="0" w:line="308"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May 27, 2016, we acquired certain assets of Transwest Truck Center Las Vegas, LLC, which included a Ford truck franchise in Las Vegas, Nevada. The transaction was valued at approximately $0.8 million, with the purchase price paid in cash.</w:t>
      </w:r>
    </w:p>
    <w:p>
      <w:pPr>
        <w:spacing w:after="0" w:line="146" w:lineRule="exact"/>
        <w:rPr>
          <w:rFonts w:ascii="Arial" w:cs="Arial" w:eastAsia="Arial" w:hAnsi="Arial"/>
          <w:sz w:val="17"/>
          <w:szCs w:val="17"/>
          <w:color w:val="auto"/>
        </w:rPr>
      </w:pPr>
    </w:p>
    <w:p>
      <w:pPr>
        <w:ind w:left="1120" w:hanging="464"/>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Rush Truck Center, Denver moved to a newly constructed, expanded dealership facility.</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opened a new Peterbilt dealership location in Bowling Green, Kentucky.</w:t>
      </w:r>
    </w:p>
    <w:p>
      <w:pPr>
        <w:spacing w:after="0" w:line="225" w:lineRule="exact"/>
        <w:rPr>
          <w:rFonts w:ascii="Arial" w:cs="Arial" w:eastAsia="Arial" w:hAnsi="Arial"/>
          <w:sz w:val="18"/>
          <w:szCs w:val="18"/>
          <w:color w:val="auto"/>
        </w:rPr>
      </w:pPr>
    </w:p>
    <w:p>
      <w:pPr>
        <w:jc w:val="both"/>
        <w:ind w:left="1120" w:hanging="464"/>
        <w:spacing w:after="0" w:line="264"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launched RushCare Service Connect, a technology platform that allows customers to receive real-time repair status updates about their vehicles in our shops through an online portal. This solution offers customers an enhanced, two-way communication and transparency about their vehicle status.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A.C.T. Research Co., LLC (“A.C.T. Research”), a commercial vehicle industry data and forecasting service provider, U. S. Class 8 retail sales are estimated to total 160,000 units in 2017, a 21.8% decrease compared to 196,901 units in 2016. We expect our Class 8 commercial vehicle sales will decrease consistent with the market in 2017.</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A.C.T. Research, U. S. Class 4 through 7 retail sales are estimated to total 232,800 units, up 2.9% over 2016. We believe our Class 4 through 7 commercial vehicle sales will remain stable through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make progress on initiatives related to increasing parts sales and service technology. We expect to see more significant financial results from these initiatives beginning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Absorption Ratio. </w:t>
      </w:r>
      <w:r>
        <w:rPr>
          <w:rFonts w:ascii="Arial" w:cs="Arial" w:eastAsia="Arial" w:hAnsi="Arial"/>
          <w:sz w:val="18"/>
          <w:szCs w:val="18"/>
          <w:color w:val="auto"/>
        </w:rPr>
        <w:t>Management uses several performance metrics to evaluate the performance of our commercial vehicle dealerships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commercial vehicle dealerships achieved a 112.2% absorption ratio for the year ended December 31, 2016 and 115.6% absorption ratio for the year ended December 31, 2015.</w:t>
      </w:r>
    </w:p>
    <w:p>
      <w:pPr>
        <w:sectPr>
          <w:pgSz w:w="11900" w:h="16838" w:orient="portrait"/>
          <w:cols w:equalWidth="0" w:num="1">
            <w:col w:w="11060"/>
          </w:cols>
          <w:pgMar w:left="240" w:top="118" w:right="59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2016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 A 10% change in our estimate would have changed our reserve for these losses at December 31, 2016 by $0.9 million.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From 2012 until 2015, we utilized derivative financial instruments to manage our interest rate risk relating to the variability of cash flows and changes in the fair value of our financial instruments caused by movements in interest rates. We assessed hedge effectiveness at the inception and during the term of each hedge. Derivatives are reported at fair value on the accompanying Consolidated Balance Sheets.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effective portion of the gain or loss on our cash flow hedges are reported as a component of accumulated other comprehensive loss. Hedge effectiveness was assessed quarterly by comparing the changes in cumulative gain or loss from the interest rate swap with the cumulative changes in the present value of the expected future cash flows of the interest rate swap that are attributable to changes in the LIBOR rate.</w:t>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2016, the Financial Accounting Standards Board (“FASB”) issued Accounting Standards Update No. 2016-09,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 (Topic 718),</w:t>
      </w:r>
      <w:r>
        <w:rPr>
          <w:rFonts w:ascii="Arial" w:cs="Arial" w:eastAsia="Arial" w:hAnsi="Arial"/>
          <w:sz w:val="17"/>
          <w:szCs w:val="17"/>
          <w:color w:val="auto"/>
        </w:rPr>
        <w:t>” which changes the accounting for certain aspects of share-based payments to employees. The new guidance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excess tax benefits and tax deficiencies be recorded in the income statement when the awards vest or are settled. In addition, cash flows related to excess tax benefits will no longer be separately classified as a financing activity apart from other income tax cash flows. The standard also allows us to repurchase more of each employee’s shares for tax withholding purposes without triggering liability accounting, clarifies that all cash payments made on an employee’s behalf for withheld shares should be presented as a financing activity on our cash flows statement, and provides an accounting policy election to account for forfeitures as they occur. The new standard is effective for us beginning January 1, 2017. We do not expect the adoption to materially impact our consolidated financial statements.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We are currently evaluating the effect that adopting this standard will have on our financial statements and related disclosures.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amends the existing accounting standards for revenue recognition. ASU 2014-09 is based on principles that govern the recognition of revenue at an amount an entity expects to be entitled to when products are transferred to customers. ASU 2014-09 will be effective for us beginning in our first quarter of 2018, and early adoption is permitted. The ASU provides two transition methods: (i) retrospectively to each prior reporting period presented or (ii) retrospectively with the cumulative effect of initially applying this ASU recognized at the date of initial application.</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Subsequently, the FASB issued the following standards related to ASU 2014-09: ASU No. 2016-08,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 Principal versus Agent Considerations”</w:t>
      </w:r>
      <w:r>
        <w:rPr>
          <w:rFonts w:ascii="Arial" w:cs="Arial" w:eastAsia="Arial" w:hAnsi="Arial"/>
          <w:sz w:val="18"/>
          <w:szCs w:val="18"/>
          <w:color w:val="auto"/>
        </w:rPr>
        <w:t>;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and ASU No. 2016-12, “</w:t>
      </w:r>
      <w:r>
        <w:rPr>
          <w:rFonts w:ascii="Arial" w:cs="Arial" w:eastAsia="Arial" w:hAnsi="Arial"/>
          <w:sz w:val="18"/>
          <w:szCs w:val="18"/>
          <w:i w:val="1"/>
          <w:iCs w:val="1"/>
          <w:color w:val="auto"/>
        </w:rPr>
        <w:t>Revenue from Contracts with Customers (Topic 606): Narrow-Scope Improvements and Practical Expedients.”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will adopt ASU 2014-09 on January 1, 2018. In 2016, we established a cross-functional team with representatives from our major revenue streams to review our current accounting policies and practices, assess the effect of the standard on our revenue contracts and identify potential differences. In addition, we are in the process of evaluating changes to our business processes and controls to support recognition and disclosure under the new standard. While we are currently assessing the impact of the new standard, our revenue is primarily generated from the sale of finished products to customers. Those sales predominantly contain a single delivery element and revenue is recognized at a single point in time when ownership, risks and benefits transfer. The timing of revenue recognition for these transactions is not expected to be significantly impacted by the new standard. We continue to review the impact of this standard on potential disclosure changes in our financial statements as well as which transition approach will be applied.</w:t>
      </w:r>
    </w:p>
    <w:p>
      <w:pPr>
        <w:spacing w:after="0" w:line="200" w:lineRule="exact"/>
        <w:rPr>
          <w:sz w:val="20"/>
          <w:szCs w:val="20"/>
          <w:color w:val="auto"/>
        </w:rPr>
      </w:pP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2016, 2015 and 2014. The following table sets forth for the years indicated certain financial data as a percentage of total revenues:</w:t>
      </w:r>
    </w:p>
    <w:p>
      <w:pPr>
        <w:spacing w:after="0" w:line="16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Parts and service sales</w:t>
            </w:r>
          </w:p>
        </w:tc>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27.8</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revenues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500" w:type="dxa"/>
            <w:vAlign w:val="bottom"/>
          </w:tcPr>
          <w:p>
            <w:pPr>
              <w:jc w:val="right"/>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left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center"/>
              <w:ind w:left="330"/>
              <w:spacing w:after="0" w:line="191" w:lineRule="exact"/>
              <w:rPr>
                <w:sz w:val="20"/>
                <w:szCs w:val="20"/>
                <w:color w:val="auto"/>
              </w:rPr>
            </w:pPr>
            <w:r>
              <w:rPr>
                <w:rFonts w:ascii="Arial" w:cs="Arial" w:eastAsia="Arial" w:hAnsi="Arial"/>
                <w:sz w:val="18"/>
                <w:szCs w:val="18"/>
                <w:b w:val="1"/>
                <w:bCs w:val="1"/>
                <w:color w:val="auto"/>
                <w:w w:val="89"/>
              </w:rPr>
              <w:t>2016</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16"/>
                <w:szCs w:val="16"/>
                <w:color w:val="auto"/>
              </w:rPr>
            </w:pPr>
          </w:p>
        </w:tc>
      </w:tr>
      <w:tr>
        <w:trPr>
          <w:trHeight w:val="216"/>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left="330"/>
              <w:spacing w:after="0"/>
              <w:rPr>
                <w:sz w:val="20"/>
                <w:szCs w:val="20"/>
                <w:color w:val="auto"/>
              </w:rPr>
            </w:pPr>
            <w:r>
              <w:rPr>
                <w:rFonts w:ascii="Arial" w:cs="Arial" w:eastAsia="Arial" w:hAnsi="Arial"/>
                <w:sz w:val="18"/>
                <w:szCs w:val="18"/>
                <w:b w:val="1"/>
                <w:bCs w:val="1"/>
                <w:color w:val="auto"/>
                <w:w w:val="79"/>
              </w:rPr>
              <w:t>vs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79"/>
              </w:rPr>
              <w:t>vs</w:t>
            </w:r>
          </w:p>
        </w:tc>
      </w:tr>
      <w:tr>
        <w:trPr>
          <w:trHeight w:val="234"/>
        </w:trPr>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8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9"/>
              </w:rPr>
              <w:t>2015</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20"/>
                <w:szCs w:val="20"/>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10,816</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16,874</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15,833</w:t>
            </w:r>
          </w:p>
        </w:tc>
        <w:tc>
          <w:tcPr>
            <w:tcW w:w="8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-35.9%</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11,241</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9,922</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1,665</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1,704</w:t>
            </w:r>
          </w:p>
        </w:tc>
        <w:tc>
          <w:tcPr>
            <w:tcW w:w="8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Used vehicles sales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7,893</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1,455.8</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2,133.2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2,087.4</w:t>
            </w:r>
          </w:p>
        </w:tc>
        <w:tc>
          <w:tcPr>
            <w:tcW w:w="8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-31.8%</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708.9</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58.2</w:t>
            </w:r>
          </w:p>
        </w:tc>
        <w:tc>
          <w:tcPr>
            <w:tcW w:w="8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0"/>
        </w:trPr>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327.7</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vehicle revenue:(1)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r>
      <w:tr>
        <w:trPr>
          <w:trHeight w:val="216"/>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Dealership absorption ratio:</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Includes sales of truck bodies, trailers and other new equipment.</w:t>
      </w:r>
    </w:p>
    <w:p>
      <w:pPr>
        <w:sectPr>
          <w:pgSz w:w="11900" w:h="16838" w:orient="portrait"/>
          <w:cols w:equalWidth="0" w:num="1">
            <w:col w:w="11180"/>
          </w:cols>
          <w:pgMar w:left="240" w:top="118" w:right="4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118" w:right="479" w:bottom="1440" w:gutter="0" w:footer="0" w:header="0"/>
          <w:type w:val="continuous"/>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940" w:type="dxa"/>
            <w:vAlign w:val="bottom"/>
            <w:gridSpan w:val="2"/>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 retail heavy-duty truck market is affected by a number of factors relating to general economic conditions, including fuel prices, government regulation, interest rate fluctuations, economic recessions, other methods of transportation and customer business cycles. Accordingly, unit sales of new commercial vehicles have historically been subject to substantial cyclical variation based on general economic conditions. According to data published by A.C.T. Research, over the last 10 years total U.S. retail sales of new Class 8 trucks have ranged from a low of approximately 97,000 in 2009 to a high of approximately 253,000 in 2015. Class 8 trucks are defined by the American Automobile Association as trucks with a minimum gross vehicle weight rating above 33,000 pounds.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state-of-the-art service for commercial vehicles has become a competitive factor in the industry. The ability to provide such service requires a significant capital investment in diagnostic and other equipment, parts inventory and highly trained service personnel. EPA and DOT regulatory guidelines for service processes, including body shop, paint work and waste disposal, require sophisticated operating and testing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A.C.T. Research currently estimates approximately 160,000 new Class 8 trucks will be sold in the United States in 2017, compared to approximately 196,901 new Class 8 trucks sold in 2016. A.C.T. Research currently forecasts sales of new Class 8 trucks in the U.S. to be approximately 186,000 in 2018.</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Medium-Duty Truck Market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Many of our Rush Truck Centers sell medium-duty commercial vehicles manufactured by Peterbilt, International, Hino, Ford, Mitsubishi Fuso or Isuzu, and all of our Rush Truck Centers provide parts and service for medium-duty commercial vehicles. Medium-duty commercial vehicles are principally used in short-haul, local markets as delivery vehicles. Medium-duty commercial vehicles typically operate locally and generally do not leave their service areas overnight. We also sell light-duty vehicles (Class 3 and under) at five of our Ford dealerships.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A.C.T. Research currently forecasts sales of new Class 4 through 7 commercial vehicles in the U.S. to be approximately 232,800 in 2017, compared to 226,258 in 2016. A.C.T. Research currently forecasts sales of new Class 4 through 7 commercial vehicles in the U.S. to be approximately 236,800 in 2018.</w:t>
      </w: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decreased $765.1 million, or 15.4%, in 2016, compared to 2015.</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Aftermarket Services revenues decreased $50.1 million, or 3.6%, in 2016, compared to 2015. This decrease was primarily due to continued softness in the energy sector, consolidation of Navistar dealership locations in the second quarter of 2016 and an industry-wide decrease in parts sales according to McKay &amp; Company, a marketing research and management consulting firm.</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Revenues from sales of new and used commercial vehicles decreased $720.8 million, or 21.4%, in 2016, compared to 2015. Our Class 8 new commercial vehicle sales in 2016 were severely impacted by a significantly weaker Class 8 commercial vehicle market.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sold 10,816 heavy-duty trucks in 2016, a 35.9% decrease compared to 16,874 heavy-duty trucks in 2015. Our heavy-duty new truck sales in 2016 were impacted by a significantly weaker commercial vehicle market and decreased sales to some of our largest fleet customers. According to A.C.T. Research, U.S. Class 8 retail sales totaled 196,901 in 2016, a decrease of approximately 22.2%, compared to 2015. The decrease in demand for Class 8 trucks since 2015 has resulted from erratic freight demand, weak used truck prices and excess capacity. Our share of the U.S. Class 8 commercial vehicle sales market decreased to approximately 5.5% in 2016, from 6.7% in 2015. We expect our U.S. Class 8 commercial vehicle sales market share to range between 5.5% and 6.0% in 2017. This market share percentage would result in the sale of approximately 8,800 to 9,600 of Class 8 commercial vehicles in 2017, based on A.C.T. Research’s current U.S. retail sales estimate of 160,000 units.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sold 11,135 medium-duty commercial vehicles, including 1,132 buses, in 2016, a 0.9% decrease compared to 11,241 medium-duty commercial vehicles, including 1,140 buses, in 2015. According to A.C.T. Research, U.S. Class 4 through 7 retail sales totaled 226,258 in 2016, an increase of approximately 3.7%, compared to 2015. In 2016, we achieved a 4.9% share of the Class 4 through 7 market in the U.S. We expect our market share to range between 4.9% and 5.5% of the U.S. Class 4 through 7 commercial vehicle sales in 2017. This market share percentage would result in the sale of approximately 11,400 to 12,800 of Class 4 through 7 commercial vehicles in 2017, based on A.C.T. Research’s current U.S. retail sales estimates of 233,800 units.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1,676 light-duty vehicles in 2016, a 0.7% increase compared to 1,665 light-duty vehicles in 2015. We expect to sell approximately 1,700 light-duty vehicles in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sold 7,008 used commercial vehicles in 2016, an 11.5% decrease compared to 7,922 used commercial vehicles in 2015. This decrease was primarily the result of an oversupply of used Class 8 trucks for sale across the U.S. as a result of decreased demand. We expect to sell approximately 6,200 to 7,000 used commercial vehicles in 2017.</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$8.3 million, or 4.1%, in 2016, compared to 2015. We expect lease and rental revenue to increase 5% to 10% during 2017, compared to 2016.</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Finance and insurance revenues decreased $2.6 million, or 12.1%, in 2016, compared to 2015. The decrease in finance and insurance revenue was primarily a result of the decrease in new and used commercial vehicle sales in 2016. We expect finance and insurance revenue to fluctuate proportionately with our new and used commercial vehicle sales in 2017. Finance and insurance revenues have limited direct costs and, therefore, contribute a disproportionate share of our operating profits.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income remained flat at $15.5 million in 2016 when compared to 2015. Other income consists primarily of the gain on sale realized on trucks from the lease and rental fleet, document fees related to commercial vehicle sales and income from Central California Truck and Trailer Sales, LLC (“CCTTS”), our joint venture that operates non-franchised used commercial vehicle sales facilities in California and Arizona.</w:t>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Gross profit decreased $66.9 million, or 8.5%, in 2016, compared to 2015. This decrease was primarily the result of decreased sales of new and used Class 8 commercial vehicles. Gross profit as a percentage of sales increased to 17.0% in 2016, from 15.8% in 2015. This increase in gross profit as a percentage of sales is a result of a change in our product sales mix. Commercial vehicle sales, a lower margin revenue item, decreased as a percentage of total revenues to 62.6% in 2016, from 67.5% in 2015. Aftermarket Services revenues, a higher margin revenue item, increased as a percentage of total revenues to 31.6% in 2016, from 27.8% in 2015.</w:t>
      </w:r>
    </w:p>
    <w:p>
      <w:pPr>
        <w:spacing w:after="0" w:line="188"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Gross margins from our Aftermarket Services operations decreased to 36.1% in 2016, from 36.4% in 2015. Gross profit for Aftermarket Services decreased to $480.9 million in 2016, from $503.3 million in 2015. Historically, parts operations’ gross margins range from 27% to 28% and service and body shop operations range from 67% to 68%. Gross profits from parts sales represented 55.8% of total gross profit for Aftermarket Services operations in 2016 and 55.5% in 2015. Service and body shop operations represented 44.2% of total gross profit for Aftermarket Services operations in 2016 and 44.5% 2015. We expect blended gross margins on Aftermarket Services operations to range from 36.0% to 36.3% in 2017.</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on Class 8 commercial vehicle sales increased to 7.0% in 2016, from 6.5% in 2015. This increase is attributable to the sales mix in 2016, which consisted of fewer sales to large fleet customers. In 2017, we expect overall gross margins from Class 8 commercial vehicle sales of approximately 6.5% to 7.0%. We recorded a net charge to cost of sales of $3.2 million to increase our new heavy-duty commercial vehicle valuation allowance in 2016, compared to $1.5 million in 2015.</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on medium-duty commercial vehicle sales increased to 6.0% in 2016, from 5.9% in 2015. For 2017, we expect overall gross margins from Class 4 through 7 commercial vehicle sales of approximately 5.7% to 6.2%, but this will largely depend upon the mix of purchasers and types of vehicles sold. We recorded a net charge to cost of sales of $1.1 million to increase our new medium-duty commercial vehicle valuation allowance in 2016, compared to $1.9 million in 2015.</w:t>
      </w:r>
    </w:p>
    <w:p>
      <w:pPr>
        <w:spacing w:after="0" w:line="187"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Gross margins on used commercial vehicle sales decreased to 8.1% in 2016, from 9.6% in 2015. This decrease is primarily related to a significant decline in used commercial vehicle values caused by the oversupply of used Class 8 commercial vehicles for sale across the United States. We expect margins on used commercial vehicles to range between 7.0% and 8.0% during 2017. We recorded a net charge to cost of sales of $5.1 million to increase our used commercial vehicle valuation allowance in 2016, compared to $4.7 million in 2015.</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margins from commercial vehicle lease and rental sales increased to 12.5% in 2016, from 11.5% in 2015. We expect gross margins from lease and rental sales of approximately 12.0% to 13.0% during 2017.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(“SG&amp;A”) expenses decreased $31.5 million, or 5.1%, in 2016, compared to 2015. SG&amp;A expenses as a percentage of total revenues increased to 14.0% in 2016, from 12.4% in 2015.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2017, we expect SG&amp;A expenses as a percentage of total revenues to range from 13.9% to 14.5% and the selling portion of SG&amp;A expenses to be approximately 25.0% to 30.0% of new and used commercial vehicle gross profit.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increased $7.4 million, or 16.9%, in 2016, compared to 2015. This increase was primarily due to the construction of new dealerships and existing dealership expansions</w:t>
      </w: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interest expense increased $0.8 million, or 6.0%, in 2016, compared to 2015. Net interest expense in 2017 will depend on inventory levels, interest rate fluctuations and the amount of cash available to make prepayments on our floor plan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$41.4 million, or 38.4%, in 2016, compared to 2015, as a result of the factors described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Income taxes decreased $15.9 million in 2016, compared to 2015. We provided for taxes at a 38.9% effective rate in 2016, compared to an effective rate of 38.73% in 2015. We expect our effective tax rate to be approximately 38.5% to 39.0% of pretax income in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$252.4 million, or 5.3%, in 2015, compared to 2014.</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Aftermarket Services revenues increased $66.8 million, or 5.1%, in 2015, compared to 2014. This increase was the result of acquisitions in 2014 and overall strong demand for repair and maintenance of vehicles.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from sales of new and used commercial vehicles increased $164.9 million, or 5.2%, in 2015, compared to 2014.</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sold 16,874 Class 8 commercial vehicles in 2015, a 6.6% increase compared to 15,833 heavy-duty commercial vehicles in 2014. According to A.C.T. Research, U.S. Class 8 retail sales totaled 253,000 in 2015, an increase of approximately 12.9%, compared to 2014. Our share of the U.S. Class 8 truck market decreased to approximately 6.7% in 2015, from 7.1% in 2014.</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sold 11,241 medium-duty commercial vehicles, including 1,140 buses, in 2015, a 13.3% increase compared to 9,922 medium-duty commercial vehicles, including 1,504 buses, in 2014. According to A.C.T. Research, U.S. Class 4 through 7 retail sales totaled 218,350 in 2015, an increase of approximately 8.3%, compared to 2014. In 2015, we achieved a 5.2% share of the Class 4 through 7 market in the U.S.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sold 1,665 light-duty vehicles in 2015, a 2.3% decrease compared to 1,704 light-duty vehicles in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sold 7,922 used commercial vehicles in 2015, a 0.4% increase compared to 7,893 used commercial vehicles in 2014.</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$22.3 million, or 12.6%, in 2015, compared to 2014. The increase in lease and rental revenues was primarily due to the increased number of units put into service in the lease and rental fleet.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increased $1.2 million, or 5.8%, in 2015, compared to 2014. The increase in finance and insurance revenue was primarily a result of the increase in finance penetration rates and increased activity in our insurance business.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income decreased $2.8 million, or 15.2% in 2015, compared to 2014. Other income consists primarily of the gain on sale realized on commercial vehicles from the lease and rental fleet, document fees related to commercial vehicle sales and income from CCTTS, our joint venture.</w:t>
      </w: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Gross profit increased $28.9 million, or 3.8%, in 2015, compared to 2014. Gross profit as a percentage of sales decreased to 15.8% in 2015, from 16.0% in 2014, primarily as a result of the decrease in overall commercial vehicle sales margins in 2015.</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Gross margins from our Aftermarket Services operations increased to 36.4% in 2015, from 36.0% in 2014. Gross profit for Aftermarket Services increased to $503.3 million in 2015, from $473.3 million in 2014. Historically, parts operations’ gross margins range from 27% to 28% and service and body shop operations range from 67% to 68%. Gross profits from parts sales represented 55.5% of total gross profit for Aftermarket Services operations in 2015 and 55.2% in 2014. Service and body shop operations represented 44.5% of total gross profit for Aftermarket Services operations in 2015 and 44.8% 2014.</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Gross margins on Class 8 commercial vehicle sales decreased to 6.5% in 2015, from 7.1% in 2014. This decrease was attributable to the sales mix in 2015, which consisted of more sales to large fleet customers, a lower margin revenue item. We recorded a net charge to cost of sales of $1.5 million to increase our new Class 8 commercial vehicle valuation allowance in 2015, compared to $1.1 million in 2014.</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Gross margins on medium-duty commercial vehicle sales increased to 5.9% in 2015, from 5.6% in 2014. We recorded a net charge to cost of sales of $1.9 million to increase our new medium-duty commercial vehicle valuation allowance in 2015, compared to $1.6 million in 2014.</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Gross margins on used commercial vehicle sales increased to 9.6% in 2015, from 9.0% in 2014. We recorded a net charge to cost of sales of $4.7 million to increase our used commercial vehicle valuation allowance in 2015, compared to $5.0 million in 2014.</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margins from commercial vehicle lease and rental sales decreased to 11.5% in 2015, from 13.9% in 2014. This decrease was primarily related to the decrease in drilling activity in the energy sector and related business activity and the decrease in demand for Class 8 commercial vehicles in rental operations due to overcapacity.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SG&amp;A expenses increased $45.6 million, or 7.9%, in 2015, compared to 2014. SG&amp;A expenses as a percentage of total revenues increased to 12.4% in 2015, from 12.1%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Depreciation and amortization expense increased $3.1 million, or 7.5%, in 2015 compared to 2014. This increase was primarily due to the construction of new dealerships, dealership expansions and acquisitions. In 2014 we initiated a plan to sell our corporate aircraft and determined that the carrying value of the corporate aircraft was no longer recoverable. We recognized a $3.4 million pre-tax non-cash asset impairment charge during the year ended December 31, 2014. The impairment loss was included in depreciation and amortization expense on the Consolidated Statements of Income. This corporate aircraft was sold in connection with the purchase of a replacement aircraft in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interest expense increased $2.3 million, or 20.3%, in 2015, compared to 2014. This increase in interest expense was primarily related to higher commercial vehicle inventory levels and decreased prepayments on our Floor Plan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decreased $22.7 million in 2015, compared to 2014, as a result of the factors described above.</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taxes decreased $8.8 million in 2015, compared to 2014. We provided for taxes at a 38.73% effective rate in 2015, compared to an effective rate of 38.75%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December 31, 2016, we had working capital of approximately $118.3 million, including $82.0 million in cash, available to fund our operations. We believe that these funds are sufficient to meet our operating requirements for at least the next twelve months. From time to time, we utilize our excess cash on hand to pay down outstanding borrowings under our Floor Plan Credit Agreement, and the resulting interest earned is recognized as an offset to our gross interest expense under the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December 31, 2016, however, $12.0 million was pledged to secure various letters of credit related to self-insurance products, leaving $5.5 million available for future borrowings as of December 31, 2016.</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real estate debt and floor plan financing agreements require us to satisfy various financial ratios such as the debt-to-worth ratio, leverage ratio and the fixed charge coverage ratio and certain requirements for tangible net worth and GAAP net worth. As of December 31, 2016, we were in compliance with all debt covenants related to debt secured by real estate, lease and rental units and our floor plan credit agreements. We do not anticipate any breach of the covenants in the foreseeable future.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commercial vehicles worth approximately $150.0 million to $160.0 million for our leasing operations during 2017, depending on customer demand, all of which will be financed. We also expect to make capital expenditures for recurring items such as computers, shop tools and equipment and vehicles of approximately $20.0 million to $25.0 million during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purchased real estate in Las Vegas, Nevada at a cost of $4.7 million in February 2017.</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30, 2016, we announced that our Board of Directors authorized the repurchase, from time to time, of up to an aggregate of $40.0 million shares of Class A Common Stock and/or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The stock repurchase program expires on November 30, 2017, and may be suspended or discontinued at any time.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 70% to 80% of the appraised value of such facility.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December 31, 2016, except that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and cash equivalents increased by $17.2 million during the year ended December 31, 2016, compared to the year ended December 31, 2015, and decreased by $126.6 million during the year ended December 31, 2015, compared to the year ended December 31, 2014. The major components of these changes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2016, operating activities resulted in net cash provided by operations of $521.2 million. Net cash provided by operating activities primarily consisted of $40.6 million in net income, as well as non-cash adjustments related to depreciation and amortization of $157.6 million, impairment of assets of $8.2 million, deferred income taxes of $8.3 million and stock-based compensation of $12.9 million. See Note 21 of the Notes to Consolidated Financial Statements for a detailed discussion of the impairment of assets. Cash used in operating activities included an aggregate of $295.0 million net change in operating assets and liabilities. Included in the net change in operating assets and liabilities were cash inflows of $1.7 million from a decrease in accounts receivable, $291.8 million from decreases in inventory, $31.7 million from the decrease in other current assets and $4.0 million from the net increase in floor plan, trade borrowings, which were offset by cash outflows of $4.0 million from a decrease in customer deposits, and $22.6 million from decreases in accounts payable and accrued liabilities. The majority of commercial vehicle inventory is financed through our floor plan credit agreements.</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2015, operating activities resulted in net cash provided by operations of $227.3 million. Net cash provided by operating activities primarily consisted of $66.1 million in net income, as well as non-cash adjustments related to depreciation and amortization of $144.9 million, deferred income taxes of $31.6 million and stock-based compensation of $12.4 million. Cash used in operating activities included an aggregate of $28.6 million net change in operating assets and liabilities. Included in the net change in operating assets and liabilities were cash inflows of $11.9 million from a decrease in accounts receivable and $18.7 million from decreases in inventory, net of acquisitions, which were offset by cash outflows of $3.7 million from an increase in other current assets, $17.0 million from the net decrease in floor plan, trade borrowings, $22.4 million from a decrease in customer deposits, and $16.2 million from decreases in accounts payable and accrued liabilities.</w:t>
      </w:r>
    </w:p>
    <w:p>
      <w:pPr>
        <w:spacing w:after="0" w:line="178"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December 31, 2016, the interest rate on the wholesale financing agreement was 5.25% before considering the applicable incentives. As of December 31, 2016, we had an outstanding balance of approximately $66.4 million under the Ford Motor Credit Company wholesale financing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2016, cash used in investing activities was $189.4 million. Cash flows used in investing activities consist primarily of cash used for capital expenditures and business acquisitions. Capital expenditures of $197.0 million consisted primarily of $67.0 million for purchases of property and equipment and improvements to our existing dealership facilities and $130.0 million for additional units for the rental and leasing operations, which were directly offset by borrowings of long-term debt. We expect to purchase or lease commercial vehicles worth approximately $150.0 million to $160.0 million for our leasing operations in 2017, depending on customer demand, all of which will be financed. During 2017, we expect to make capital expenditures for recurring items such as computers, shop equipment and vehicles of $20.0 million to $25.0 million.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2015, cash used in investing activities was $436.2 million. Cash flows used in investing activities consist primarily of cash used for capital expenditures and business acquisitions. Capital expenditures of $367.8 million consisted primarily of $190.2 million for purchases of property and equipment and improvements to our existing dealership facilities and $177.6 million for additional units for the rental and leasing operations, which were directly offset by borrowings of long-term debt. Cash used for business acquisitions was $69.0 million during the year ended December 31, 2015. See Note 15 of the Notes to Consolidated Financial Statements for a detailed discussion of the business acquisitions.</w:t>
      </w: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flows provided by financing activities include borrowings and repayments of long-term debt and net payments of floor plan notes payable. During 2016, we used $314.6 million for financing activities. The cash outflows consisted primarily of $188.4 million used for principal repayments of long-term debt and capital lease obligations, $211.8 million used for net payments on floor plan notes payable, non-trade and $43.5 million used to purchase 934,171 shares of Rush Class A common stock and 1,033,834 shares of Rush Class B common stock during 2016. These cash outflows were partially offset by borrowings of $121.2 million of long-term debt and $8.3 million from the issuance of shares related to equity compensation plans. The borrowings of long-term debt were related to purchasing units for the rental and leasing operations.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2015, we generated $82.4 million in net cash flow from financing activities, primarily related to borrowings of $218.0 million of long-term debt, $31.6 million from net draws on floor plan notes payable, non-trade and $3.8 million from the issuance of shares related to equity compensation plans. These cash inflows were partially offset by cash outflows of $169.2 million used for principal repayments of long-term debt and capital lease obligations and $1.5 million used to purchase 56,077 shares of Rush Class B common stock during 2015. The borrowings of long-term debt were primarily related to purchasing units for the rental and leasing operations.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During 2016, we financed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w:t>
      </w:r>
    </w:p>
    <w:p>
      <w:pPr>
        <w:spacing w:after="0" w:line="2" w:lineRule="exact"/>
        <w:rPr>
          <w:sz w:val="20"/>
          <w:szCs w:val="20"/>
          <w:color w:val="auto"/>
        </w:rPr>
      </w:pPr>
    </w:p>
    <w:p>
      <w:pPr>
        <w:jc w:val="both"/>
        <w:ind w:firstLine="8"/>
        <w:spacing w:after="0" w:line="268" w:lineRule="auto"/>
        <w:tabs>
          <w:tab w:leader="none" w:pos="2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(i) 2.0% of the aggregate revolving loan commitments if such termination occurs on or before January 1, 2018; (ii) 1.0% of the aggregate revolving loan commitments if such termination occurs after January 1, 2018 and on or prior to July 1, 2018; and (iii) $500,000 if such termination occurs after July 1, 2018 and prior to June 30, 2019, subject to specified limited exceptions. On December 31, 2016, we had approximately $548.1 million outstanding under the Floor Plan Credit Agreement. The average daily outstanding borrowings under the Floor Plan Credit Agreement were $632.8 million during the twelve months ended December 31, 2016.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days. If the commercial vehicle is not sold within the interest-free period, we then finance the commercial vehicle under the Floor Plan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291,000 in 2006. Through geographic expansion, concentration on higher margin Aftermarket Services and diversification of our customer base, we have attempted to reduce the negative impact of adverse general economic conditions or cyclical trends affecting the Class 8 commercial vehicle industry on our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20" w:right="40" w:firstLine="648"/>
        <w:spacing w:after="0" w:line="279"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certain contractual obligations that will impact our short and long-term liquidity. At December 31, 2016, such obligations were as follows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8"/>
          </w:tcPr>
          <w:p>
            <w:pPr>
              <w:jc w:val="center"/>
              <w:ind w:left="750"/>
              <w:spacing w:after="0"/>
              <w:rPr>
                <w:sz w:val="20"/>
                <w:szCs w:val="20"/>
                <w:color w:val="auto"/>
              </w:rPr>
            </w:pPr>
            <w:r>
              <w:rPr>
                <w:rFonts w:ascii="Arial" w:cs="Arial" w:eastAsia="Arial" w:hAnsi="Arial"/>
                <w:sz w:val="18"/>
                <w:szCs w:val="18"/>
                <w:b w:val="1"/>
                <w:bCs w:val="1"/>
                <w:color w:val="auto"/>
                <w:w w:val="89"/>
              </w:rPr>
              <w:t>Payments Due by Period</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2"/>
              </w:rPr>
              <w:t>Less than 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2"/>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years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Long-term debt obligations (1)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603,220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130,717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248,579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Capital lease obligations(2)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92,526</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35,921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27,913</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11,663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Liability related to asset held for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9"/>
              </w:rPr>
              <w:t>Operating lease obligations(3)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44,275</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5,987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Floor plan debt obligation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646,945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646,945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Interest obligations (4)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71,008</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25,588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9,073</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4,498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1,481,772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850,912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327,320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225,951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Refer to Note 8 of Notes to Consolidated Financial Statements.</w:t>
      </w:r>
    </w:p>
    <w:p>
      <w:pPr>
        <w:spacing w:after="0" w:line="279" w:lineRule="exact"/>
        <w:rPr>
          <w:rFonts w:ascii="Arial" w:cs="Arial" w:eastAsia="Arial" w:hAnsi="Arial"/>
          <w:sz w:val="18"/>
          <w:szCs w:val="18"/>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 Amounts include interest.</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w:t>
      </w:r>
    </w:p>
    <w:p>
      <w:pPr>
        <w:spacing w:after="0" w:line="225" w:lineRule="exact"/>
        <w:rPr>
          <w:rFonts w:ascii="Arial" w:cs="Arial" w:eastAsia="Arial" w:hAnsi="Arial"/>
          <w:sz w:val="18"/>
          <w:szCs w:val="18"/>
          <w:color w:val="auto"/>
        </w:rPr>
      </w:pPr>
    </w:p>
    <w:p>
      <w:pPr>
        <w:jc w:val="both"/>
        <w:ind w:firstLine="8"/>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computing interest expense, we used our weighted average interest rate outstanding on fixed rate debt to estimate our interest expense on fixed rate debt. We used our weighted average variable interest rate on outstanding variable rate debt at December 31, 2016, and added 0.25 percent per year to estimate our interest expense on variable rate debt.</w:t>
      </w:r>
    </w:p>
    <w:p>
      <w:pPr>
        <w:spacing w:after="0" w:line="181" w:lineRule="exact"/>
        <w:rPr>
          <w:rFonts w:ascii="Arial" w:cs="Arial" w:eastAsia="Arial" w:hAnsi="Arial"/>
          <w:sz w:val="18"/>
          <w:szCs w:val="18"/>
          <w:color w:val="auto"/>
        </w:rPr>
      </w:pPr>
    </w:p>
    <w:p>
      <w:pPr>
        <w:jc w:val="both"/>
        <w:ind w:firstLine="8"/>
        <w:spacing w:after="0" w:line="259" w:lineRule="auto"/>
        <w:tabs>
          <w:tab w:leader="none" w:pos="4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2016, related to our construction contract for a facility in Houston, Texas, our purchase of real estate in Las Vegas, Nevada in February 2017 and our contract with IBM for management services related to the SAP enterprise software and dealership management system and SAP America, Inc. with respect to the software license agreement for the SAP enterprise software and dealership management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December 31, 2016, we had floor plan borrowings and variable interest rate real estate debt of approximately $755.6 million. Assuming an increase or decrease in LIBOR of 100 basis points, annual interest expense could correspondingly increase or decrease by approximately $7.6 million.</w:t>
      </w:r>
    </w:p>
    <w:p>
      <w:pPr>
        <w:spacing w:after="0" w:line="171"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December 31, 2016, we hold auction rate securities, with underlying tax-exempt municipal bonds that mature in 2030, that have a fair value of $6.2 million. Given the current market conditions in the auction rate securities market, if we determine that the fair value of these securities temporarily decreases by an additional 10%, our equity could correspondingly decrease by approximately $620,000. If it is determined that the fair value of these securities is other-than-temporarily impaired by 10%, we could record a loss on our Consolidated Statements of Income of approximately $620,000. For further discussion of the risks related to our auction rate securities, see Note 9 – Financial Instruments and Fair Value of the Notes to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20" w:type="dxa"/>
            <w:vAlign w:val="bottom"/>
          </w:tcPr>
          <w:p>
            <w:pPr>
              <w:spacing w:after="0"/>
              <w:rPr>
                <w:sz w:val="20"/>
                <w:szCs w:val="20"/>
                <w:color w:val="auto"/>
              </w:rPr>
            </w:pPr>
          </w:p>
        </w:tc>
      </w:tr>
      <w:tr>
        <w:trPr>
          <w:trHeight w:val="392"/>
        </w:trPr>
        <w:tc>
          <w:tcPr>
            <w:tcW w:w="934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41</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12"/>
        </w:trPr>
        <w:tc>
          <w:tcPr>
            <w:tcW w:w="75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Report of Independent Registered Public Accounting Firm on Internal Control over Financial Reporting</w:t>
              </w:r>
            </w:hyperlink>
          </w:p>
        </w:tc>
        <w:tc>
          <w:tcPr>
            <w:tcW w:w="1840" w:type="dxa"/>
            <w:vAlign w:val="bottom"/>
            <w:gridSpan w:val="3"/>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74</w:t>
            </w: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Balance Sheets as of December 31, 2016 and 2015</w:t>
              </w:r>
            </w:hyperlink>
          </w:p>
        </w:tc>
        <w:tc>
          <w:tcPr>
            <w:tcW w:w="4680" w:type="dxa"/>
            <w:vAlign w:val="bottom"/>
            <w:gridSpan w:val="6"/>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42</w:t>
            </w:r>
          </w:p>
        </w:tc>
      </w:tr>
      <w:tr>
        <w:trPr>
          <w:trHeight w:val="412"/>
        </w:trPr>
        <w:tc>
          <w:tcPr>
            <w:tcW w:w="9340" w:type="dxa"/>
            <w:vAlign w:val="bottom"/>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Income for the Years Ended December 31, 2016, 2015 and 2014</w:t>
              </w:r>
            </w:hyperlink>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43</w:t>
            </w:r>
          </w:p>
        </w:tc>
      </w:tr>
      <w:tr>
        <w:trPr>
          <w:trHeight w:val="20"/>
        </w:trPr>
        <w:tc>
          <w:tcPr>
            <w:tcW w:w="316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12"/>
        </w:trPr>
        <w:tc>
          <w:tcPr>
            <w:tcW w:w="78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Comprehensive Income for the Years Ended December 31, 2016, 2015 and 2014</w:t>
              </w:r>
            </w:hyperlink>
          </w:p>
        </w:tc>
        <w:tc>
          <w:tcPr>
            <w:tcW w:w="1500" w:type="dxa"/>
            <w:vAlign w:val="bottom"/>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44</w:t>
            </w:r>
          </w:p>
        </w:tc>
      </w:tr>
      <w:tr>
        <w:trPr>
          <w:trHeight w:val="412"/>
        </w:trPr>
        <w:tc>
          <w:tcPr>
            <w:tcW w:w="934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Shareholders’ Equity for the Years Ended December 31, 2016, 2015 and 2014</w:t>
              </w:r>
            </w:hyperlink>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45</w:t>
            </w:r>
          </w:p>
        </w:tc>
      </w:tr>
      <w:tr>
        <w:trPr>
          <w:trHeight w:val="412"/>
        </w:trPr>
        <w:tc>
          <w:tcPr>
            <w:tcW w:w="7640" w:type="dxa"/>
            <w:vAlign w:val="bottom"/>
            <w:tcBorders>
              <w:top w:val="single" w:sz="8" w:color="0000EE"/>
            </w:tcBorders>
            <w:gridSpan w:val="7"/>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Consolidated Statements of Cash Flows for the Years Ended December 31, 2016, 2015 and 2014</w:t>
              </w:r>
            </w:hyperlink>
          </w:p>
        </w:tc>
        <w:tc>
          <w:tcPr>
            <w:tcW w:w="1700" w:type="dxa"/>
            <w:vAlign w:val="bottom"/>
            <w:gridSpan w:val="2"/>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46</w:t>
            </w:r>
          </w:p>
        </w:tc>
      </w:tr>
      <w:tr>
        <w:trPr>
          <w:trHeight w:val="412"/>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24"/>
                <w:szCs w:val="24"/>
                <w:color w:val="auto"/>
              </w:rPr>
            </w:pPr>
          </w:p>
        </w:tc>
        <w:tc>
          <w:tcPr>
            <w:tcW w:w="2380" w:type="dxa"/>
            <w:vAlign w:val="bottom"/>
            <w:gridSpan w:val="4"/>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47</w:t>
            </w:r>
          </w:p>
        </w:tc>
      </w:tr>
      <w:tr>
        <w:trPr>
          <w:trHeight w:val="696"/>
        </w:trPr>
        <w:tc>
          <w:tcPr>
            <w:tcW w:w="6660" w:type="dxa"/>
            <w:vAlign w:val="bottom"/>
            <w:gridSpan w:val="4"/>
          </w:tcPr>
          <w:p>
            <w:pPr>
              <w:ind w:left="562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05"/>
        </w:trPr>
        <w:tc>
          <w:tcPr>
            <w:tcW w:w="3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61"/>
        </w:trPr>
        <w:tc>
          <w:tcPr>
            <w:tcW w:w="3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Rush Enterprises, Inc. and subsidiaries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Rush Enterprises, Inc. and subsidiaries (“the Company”) as of December 31, 2016 and 2015, and the related consolidated statements of income, comprehensive income, shareholders’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Rush Enterprises, Inc. and subsidiaries at December 31, 2016 and 2015, and the consolidated results of their operations and their cash flows for each of the three years in the period ended December 31, 2016,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Rush Enterprises, Inc.’s internal control over financial reporting as of December 31, 2016, based on criteria established in Internal Control-Integrated Framework issued by the Committee of Sponsoring Organizations of the Treadway Commission (2013 framework) and our report dated March 1, 2017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840,304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2,603,047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2,852,008</w:t>
            </w: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646,945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directly associated with assets held for sale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97,844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472,503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2016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89"/>
              </w:rPr>
              <w:t>authorized; 30,007,088 Class A shares and 9,245,447 Class B shares outstanding in 2016; and 30,303,818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Class A shares and 10,093,305 Class B shares outstanding in 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89"/>
              </w:rPr>
              <w:t>Treasury stock, at cost: 934,171 class A shares and 3,650,491 class B shares in 2016 and 2,616,657 class B</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shares in 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(86,882)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862,825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2,603,047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2,640,019</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3,360,808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3,195,873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1,382,447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199,867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15,461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4,979,733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2,463,124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3,138,754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Parts and service sales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851,438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879,141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176,891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3,496,602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4,194,786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3,971,310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587,778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619,268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(13,963)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107,803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40,582</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66,053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79,957</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40,582</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66,053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 before tax and net of reclassification adjustments: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Change in fair value of available-for-sale securities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tax</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expense related to components of other comprehensive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40,601</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66,208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Common Stock</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Par</w:t>
            </w:r>
          </w:p>
        </w:tc>
        <w:tc>
          <w:tcPr>
            <w:tcW w:w="10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Treasury</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Retained</w:t>
            </w:r>
          </w:p>
        </w:tc>
        <w:tc>
          <w:tcPr>
            <w:tcW w:w="130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Class A</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Class B</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Earnings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243,154</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 (30,821)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$ 453,836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(1,202)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$ 665,381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 and stock awards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(including tax benefit of $5,207)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16,216</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Stock-based compensation related to stock</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w w:val="97"/>
              </w:rPr>
              <w:t>options, restricted shares and employee stock</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11,343</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4"/>
              </w:rPr>
              <w:t>Issuance of common stock under employee stock</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1,462</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 business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(12,253)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79,957</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79,957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Balance, December 31, 2014</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29,889</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9,999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272,486</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 (41,904)</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$ 533,793</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$ 764,339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Stock options exercised and stock awards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(including tax expense of $337)</w:t>
            </w: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1,933</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 stock</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options, restricted shares and employee stock</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12,384</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68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common stock under employee stock</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2,063</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(1,464)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v</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66,053</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66,053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Balance, December 31, 2015</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30,304</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10,093</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430</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288,294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 (43,368)</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$ 599,846</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$ 844,897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Stock options exercised and stock awards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(including tax expense of $294)</w:t>
            </w:r>
          </w:p>
        </w:tc>
        <w:tc>
          <w:tcPr>
            <w:tcW w:w="68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6,152</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 stock</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options, restricted shares and employee stock</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12,875</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common stock under employee stock</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(934)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(43,514)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40,582</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2016</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30,007</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9,245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438</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309,127</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 (86,882)</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$ 640,428</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$ 862,825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right"/>
              <w:ind w:right="205"/>
              <w:spacing w:after="0"/>
              <w:rPr>
                <w:sz w:val="20"/>
                <w:szCs w:val="20"/>
                <w:color w:val="auto"/>
              </w:rPr>
            </w:pPr>
            <w:r>
              <w:rPr>
                <w:rFonts w:ascii="Arial" w:cs="Arial" w:eastAsia="Arial" w:hAnsi="Arial"/>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40,582</w:t>
            </w: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66,053</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79,957</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144,935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126,452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sale of property and equipment, net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Loss on impairment of assets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7"/>
              </w:rPr>
              <w:t>Stock-based compensation expense related to employee stock options and</w:t>
            </w:r>
          </w:p>
        </w:tc>
        <w:tc>
          <w:tcPr>
            <w:tcW w:w="36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employee stock purchases</w:t>
            </w:r>
          </w:p>
        </w:tc>
        <w:tc>
          <w:tcPr>
            <w:tcW w:w="36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12,384</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Provision for deferred income tax expense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31,645</w:t>
            </w: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25,229</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Excess tax expense (benefit) from stock-based compensation</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(5,207)</w:t>
            </w: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Acquired research and development</w:t>
            </w: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accounts receivable, net</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11,921</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(67,664)</w:t>
            </w: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Change in inventories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291,773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18,664</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(151,911)</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prepaid expenses and other, net</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(3,690)</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(13,215)</w:t>
            </w: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Change in trade accounts payable</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(22,411)</w:t>
            </w: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(4,154)</w:t>
            </w: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24,180</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draws on floor plan notes payable – trade, net</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(17,005)</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44,870</w:t>
            </w: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Change in customer deposits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(4,020)</w:t>
            </w: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(22,371)</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(13,802)</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accrued expenses</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(12,013)</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26,856</w:t>
            </w:r>
          </w:p>
        </w:tc>
      </w:tr>
      <w:tr>
        <w:trPr>
          <w:trHeight w:val="20"/>
        </w:trPr>
        <w:tc>
          <w:tcPr>
            <w:tcW w:w="2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521,170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227,250</w:t>
            </w: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88,937</w:t>
            </w: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(196,965)</w:t>
            </w: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(367,790)</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(260,820)</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3,319</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(69,013)</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(157,626)</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(4,708)</w:t>
            </w: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(3,025)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(189,410)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(436,234)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(416,416)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draws on floor plan notes payable – non-trade, net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(211,802)</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31,568</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121,188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218,026</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214,622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(164,940)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(154,685)</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(112,828)</w:t>
            </w: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(23,479)</w:t>
            </w: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(14,506)</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(12,531)</w:t>
            </w: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Proceeds from issuance of shares relating to employee stock options and employee</w:t>
            </w:r>
          </w:p>
        </w:tc>
        <w:tc>
          <w:tcPr>
            <w:tcW w:w="36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purchases</w:t>
            </w:r>
          </w:p>
        </w:tc>
        <w:tc>
          <w:tcPr>
            <w:tcW w:w="36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3,766</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Excess tax (expense) benefit from stock-based compensation</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(43,514)</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(1,464)</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(12,253)</w:t>
            </w:r>
          </w:p>
        </w:tc>
      </w:tr>
      <w:tr>
        <w:trPr>
          <w:trHeight w:val="20"/>
        </w:trPr>
        <w:tc>
          <w:tcPr>
            <w:tcW w:w="2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(314,581)</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82,368</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301,637</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17,179</w:t>
            </w: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(126,616)</w:t>
            </w: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191,463</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217,305</w:t>
            </w:r>
          </w:p>
        </w:tc>
        <w:tc>
          <w:tcPr>
            <w:tcW w:w="1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191,463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41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37,904</w:t>
            </w: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35,356</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29,539</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taxes (refunded) paid, net</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(10,939)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29,795</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issued related to business acquisition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320"/>
              <w:spacing w:after="0" w:line="196" w:lineRule="exact"/>
              <w:rPr>
                <w:sz w:val="20"/>
                <w:szCs w:val="20"/>
                <w:color w:val="auto"/>
              </w:rPr>
            </w:pPr>
            <w:r>
              <w:rPr>
                <w:rFonts w:ascii="Arial" w:cs="Arial" w:eastAsia="Arial" w:hAnsi="Arial"/>
                <w:sz w:val="18"/>
                <w:szCs w:val="18"/>
                <w:color w:val="auto"/>
              </w:rPr>
              <w:t>Assets acquired under capital leases</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24,207</w:t>
            </w:r>
          </w:p>
        </w:tc>
        <w:tc>
          <w:tcPr>
            <w:tcW w:w="8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41,021</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24,314</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ind w:right="7800" w:firstLine="8"/>
        <w:spacing w:after="0" w:line="501"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Receivables and Repossession Losses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 inventory and by the first-in, first-out method for parts and accessories. An allowance is provided when it is anticipated that cost will exceed net realizable value less a reasonable profit margin.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approximately $353,000 related to major capital projects during 2016. The cost, accumulated depreciation and amortization and estimated useful lives are summarized as follows (in thousands):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2"/>
              </w:rPr>
              <w:t>Estimated Life</w:t>
            </w:r>
          </w:p>
        </w:tc>
        <w:tc>
          <w:tcPr>
            <w:tcW w:w="20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(Years)</w:t>
            </w:r>
          </w:p>
        </w:tc>
        <w:tc>
          <w:tcPr>
            <w:tcW w:w="20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126,123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134,246</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377,070</w:t>
            </w: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313,706</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ind w:left="20"/>
              <w:spacing w:after="0"/>
              <w:rPr>
                <w:sz w:val="20"/>
                <w:szCs w:val="20"/>
                <w:color w:val="auto"/>
              </w:rPr>
            </w:pPr>
            <w:r>
              <w:rPr>
                <w:rFonts w:ascii="Arial" w:cs="Arial" w:eastAsia="Arial" w:hAnsi="Arial"/>
                <w:sz w:val="18"/>
                <w:szCs w:val="18"/>
                <w:color w:val="auto"/>
              </w:rPr>
              <w:t>- 39</w:t>
            </w:r>
          </w:p>
        </w:tc>
        <w:tc>
          <w:tcPr>
            <w:tcW w:w="2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26,925</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w:t>
            </w:r>
          </w:p>
        </w:tc>
        <w:tc>
          <w:tcPr>
            <w:tcW w:w="2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67,558</w:t>
            </w: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59,455</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ind w:left="20"/>
              <w:spacing w:after="0"/>
              <w:rPr>
                <w:sz w:val="20"/>
                <w:szCs w:val="20"/>
                <w:color w:val="auto"/>
              </w:rPr>
            </w:pPr>
            <w:r>
              <w:rPr>
                <w:rFonts w:ascii="Arial" w:cs="Arial" w:eastAsia="Arial" w:hAnsi="Arial"/>
                <w:sz w:val="18"/>
                <w:szCs w:val="18"/>
                <w:color w:val="auto"/>
              </w:rPr>
              <w:t>- 20</w:t>
            </w:r>
          </w:p>
        </w:tc>
        <w:tc>
          <w:tcPr>
            <w:tcW w:w="2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73,912</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2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73,156</w:t>
            </w: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74,761</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ind w:left="20"/>
              <w:spacing w:after="0"/>
              <w:rPr>
                <w:sz w:val="20"/>
                <w:szCs w:val="20"/>
                <w:color w:val="auto"/>
              </w:rPr>
            </w:pPr>
            <w:r>
              <w:rPr>
                <w:rFonts w:ascii="Arial" w:cs="Arial" w:eastAsia="Arial" w:hAnsi="Arial"/>
                <w:sz w:val="18"/>
                <w:szCs w:val="18"/>
                <w:color w:val="auto"/>
              </w:rPr>
              <w:t>- 15</w:t>
            </w:r>
          </w:p>
        </w:tc>
        <w:tc>
          <w:tcPr>
            <w:tcW w:w="2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832,661</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825,787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w:t>
            </w:r>
          </w:p>
        </w:tc>
        <w:tc>
          <w:tcPr>
            <w:tcW w:w="2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11,921</w:t>
            </w: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66,338</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(453,521)</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(403,819)</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39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3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1,135,805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1,172,824</w:t>
            </w:r>
          </w:p>
        </w:tc>
        <w:tc>
          <w:tcPr>
            <w:tcW w:w="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 recorded depreciation expense of $140.6 million and amortization expense of $17.0 million for the year ended December 31, 2016, and depreciation expense of $131.8 million and amortization expense of $13.1 million for the year ended December 31, 2015.</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2016, the Company had $81.5 million in lease and rental vehicles under various capital leases included in property and equipment, net of accumulated amortization of $28.7 million. The Company recorded depreciation and amortization expense of $106.3 million related to lease and rental vehicles in lease and rental cost of products sold for the year ended December 31, 2016 and $101.1 million for the year ended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Goodwill is the excess of the purchase price over the fair value of identifiable net assets acquired in business combinations accounted for under the purchase method. The Company tests goodwill for impairment annually during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The Company has deemed its reporting unit to be the Truck Segment, as all components of the Truck Segment are similar.</w:t>
      </w:r>
    </w:p>
    <w:p>
      <w:pPr>
        <w:spacing w:after="0" w:line="188"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6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No impairment write down was required in the fourth quarter of 2016. However, the Company cannot predict the occurrence of certain events that might adversely affect the reported value of goodwill in the future.</w:t>
      </w:r>
    </w:p>
    <w:p>
      <w:pPr>
        <w:spacing w:after="0" w:line="17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sets forth the change in the carrying amount of goodwill for the Company for the years ended December 31, 2016 and 2015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47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265,145</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Acquisitions and adjustments</w:t>
            </w:r>
          </w:p>
        </w:tc>
        <w:tc>
          <w:tcPr>
            <w:tcW w:w="4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4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285,041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Acquisitions and adjustments</w:t>
            </w:r>
          </w:p>
        </w:tc>
        <w:tc>
          <w:tcPr>
            <w:tcW w:w="4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4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290,191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83"/>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20" w:type="dxa"/>
            <w:vAlign w:val="bottom"/>
          </w:tcPr>
          <w:p>
            <w:pPr>
              <w:jc w:val="right"/>
              <w:ind w:right="2770"/>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28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capitalized costs of the Company’s SAP enterprise software and SAP dealership management system of $33.0 million, including capitalized interest, are recorded on the Consolidated Balance Sheet in Other Assets, net of accumulated amortization of $16.5 million. The SAP software is being amortized over a period of 15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relating to the SAP software, which is recognized in depreciation and amortization expense in the Consolidated Statements of Income, was $3.4 million for the year ended December 31, 2016, $3.3 million for the year ended December 31, 2015, and $3.2 million for the year ended December 31, 2014. The Company estimates that amortization expense relating to the SAP software will be approximately $3.4 million for each of the next five succeeding years.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December 31, 2016, and $7.9 million at December 31, 2015,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impairment write down was required in the fourth quarter of 2016.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income tax returns are periodically audited by U.S. federal, state and local tax authorities. These audits include questions regarding the Company’s tax filing positions, including the timing and amount of deductions. At any time, multiple tax years are subject to audit by the various tax authorities. In evaluating the tax benefits associated with the Company’s various tax filing positions, the Company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Statements of Income. Unfavorable settlement of any particular issue would require use of the Company’s cash and a charge to income tax expense. Favorable resolution would be recognized as a reduction to income tax expense at the time of resolution.</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Additionally, despite the Company’s belief that its tax return positions are consistent with applicable tax law, management expects that certain positions may be challenged by taxing authorities. Settlement of any challenge can result in no change, a complete disallowance, or some partial adjustment reached through negotiations. The Company records interest and penalties, if any, related to federal and state unrecognized tax benefits in income tax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on the sale of a vehicle is recognized when the Company and a customer execute a purchase contract, delivery has occurred and there are no significant uncertainties related to financing or the purchase price is paid by the customer. 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Finance income is recognized by the Company upon the sale of such finance contracts to the finance companies, net of a provision for estimated repossession losses and early repayment penalties.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 and rental income is recognized over the period of the related lease or rental agreement. Contingent rental income is recognized when it is earned. Parts and services revenue is earned at the time the Company sells the parts to its customers or at the time the Company completes, and the customer accepts, the service work order related to service provided to the customer’s vehicle.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Company’s new and used commercial vehicle operations and its parts operations, cost of sales consists primarily of the Company’s actual purchase price, less manufacturer’s incentives, for new and used commercial vehicles and parts. For the Company’s service and body shop operations, technician labor cost is the primary component of cost of sales. For the Company’s rental and leasing operations, cost of sales consists primarily of depreciation and amortization, rent, maintenance costs and interest expense on the lease and rental fleet owned and leased by the Company. There are no costs of sales associated with the Company’s finance and insurance revenue or other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sales taxes assessed by a governmental authority, that are directly imposed on a revenue-producing transaction, on a net (excluded from revenues)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expenses consist primarily of incentive based compensation for sales, finance and general management personnel, salaries for administrative personnel and expenses for rent, marketing, insurance, utilities, research and development and other general operating purposes.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the fair value that value may not be indicative of the fair value observed in a market transaction between a willing buyer and a willing seller.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35.63%</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51.51%</w:t>
            </w: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Weighted-average stock volatility</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35.63%</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40.90%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51.51%</w:t>
            </w: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Weighted-average fair value of stock options granted $</w:t>
            </w:r>
          </w:p>
        </w:tc>
        <w:tc>
          <w:tcPr>
            <w:tcW w:w="50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20"/>
                <w:szCs w:val="20"/>
                <w:color w:val="auto"/>
              </w:rPr>
            </w:pPr>
          </w:p>
        </w:tc>
        <w:tc>
          <w:tcPr>
            <w:tcW w:w="10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Advertising and marketing expense was $6.8 million for 2016, $8.8 million for 2015 and $8.7 million for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marketing expense is included in selling, general and administrative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$33.0 million at December 31, 2016, net of accumulated amortization of $16.5 million, and had $36.1 million, net of accumulated amortization of $13.4 million at December 31, 2015.</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 and Hedging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2012 until 2015, the Company utilized derivative financial instruments to manage its interest rate risk relating to the variability of cash flows and changes in the fair value of its financial instruments caused by movements in interest rates. The Company assessed hedge effectiveness at the inception and during the term of each hedge. Derivatives are reported at fair value on the accompanying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and December 31, 2015, the Company did not have any outstanding interest rate swap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various financial instruments that it must measure at fair value on a recurring basis, including certain available for sale securities and derivatives.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Level 3 includes unobservable inputs that reflect the Company’s assumptions about what factors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uses the acquisition method of accounting for the recognition of assets acquired and liabilities assumed with acquisitions at their estimated fair values as of the date of acquisition. Any excess consideration transferred over the estimated fair values of the identifiable net assets acquired is recorded as goodwill. While the Company uses its best estimates and assumptions to measure the fair value of the identifiable assets acquired and liabilities assumed at the acquisition date, the estimates are inherently uncertain and subject to refinement.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2016, the FASB issued Accounting Standards Update No.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which changes the accounting for certain aspects of share-based payments to employees. The new guidance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The standard also allows the Company to repurchase more of an employee’s shares for tax withholding purposes without triggering liability accounting, clarifies that all cash payments made on an employee’s behalf for withheld shares should be presented as a financing activity on its cash flows statement, and provides an accounting policy election to account for forfeitures as they occur. The new standard is effective for the Company beginning January 1, 2017. The Company does not expect the adoption to materially impact its consolidated financial statements.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The Company is currently evaluating the effect that adopting this standard will have on our financial statements and related disclosures.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amends the existing accounting standards for revenue recognition. ASU 2014-09 is based on principles that govern the recognition of revenue at an amount an entity expects to be entitled to when products are transferred to customers. ASU 2014-09 will be effective for the Company beginning in its first quarter of 2018, and early adoption is permitted. The ASU provides two transition methods: (i) retrospectively to each prior reporting period presented or (ii) retrospectively with the cumulative effect of initially applying this ASU recognized at the date of initial application.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Subsequently, the FASB issued the following standards related to ASU 2014-09: ASU No. 2016-08, “</w:t>
      </w:r>
      <w:r>
        <w:rPr>
          <w:rFonts w:ascii="Arial" w:cs="Arial" w:eastAsia="Arial" w:hAnsi="Arial"/>
          <w:sz w:val="16"/>
          <w:szCs w:val="16"/>
          <w:i w:val="1"/>
          <w:iCs w:val="1"/>
          <w:color w:val="auto"/>
        </w:rPr>
        <w:t>Revenue from Contracts with Customers (Topic 606):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ASU No. 2016-10, “</w:t>
      </w:r>
      <w:r>
        <w:rPr>
          <w:rFonts w:ascii="Arial" w:cs="Arial" w:eastAsia="Arial" w:hAnsi="Arial"/>
          <w:sz w:val="16"/>
          <w:szCs w:val="16"/>
          <w:i w:val="1"/>
          <w:iCs w:val="1"/>
          <w:color w:val="auto"/>
        </w:rPr>
        <w:t>Revenue from Contracts with Customers (Topic 606): Identifying Performance Obligations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Licensing</w:t>
      </w:r>
      <w:r>
        <w:rPr>
          <w:rFonts w:ascii="Arial" w:cs="Arial" w:eastAsia="Arial" w:hAnsi="Arial"/>
          <w:sz w:val="17"/>
          <w:szCs w:val="17"/>
          <w:color w:val="auto"/>
        </w:rPr>
        <w:t>”; and ASU No. 2016-12, “</w:t>
      </w:r>
      <w:r>
        <w:rPr>
          <w:rFonts w:ascii="Arial" w:cs="Arial" w:eastAsia="Arial" w:hAnsi="Arial"/>
          <w:sz w:val="17"/>
          <w:szCs w:val="17"/>
          <w:i w:val="1"/>
          <w:iCs w:val="1"/>
          <w:color w:val="auto"/>
        </w:rPr>
        <w:t>Revenue from Contracts with Customers (Topic 606): Narrow-Scope Improvements and Practical Expedients.”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will adopt ASU 2014-09 on January 1, 2018. In 2016, the Company established a cross-functional team with representatives from its major revenue streams to review our current accounting policies and practices, assess the effect of the standard on our revenue contracts and identify potential differences. In addition, the Company is in the process of evaluating changes to its business processes and controls to support recognition and disclosure under the new standard. While the Company is currently assessing the impact of the new standard, its revenue is primarily generated from the sale of finished products to customers. Those sales predominantly contain a single delivery element and revenue is recognized at a single point in time when ownership, risks and benefits transfer. The timing of revenue recognition for these transactions is not expected to be significantly impacted by the new standard. The Company continues to review the impact of this standard on potential disclosure changes in its financial statements as well as which transition approach will be applied.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8200" w:firstLine="8"/>
        <w:spacing w:after="0" w:line="56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SUPPLIER CONCENTRATION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Major Suppliers and Dealership Agreements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market. The agreements allow the Company to use the Manufacturers’ names, trade symbols and intellectual property and expire as follows:</w:t>
      </w:r>
    </w:p>
    <w:p>
      <w:pPr>
        <w:spacing w:after="0" w:line="241"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33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Manufacturer</w:t>
            </w:r>
          </w:p>
        </w:tc>
        <w:tc>
          <w:tcPr>
            <w:tcW w:w="2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Dates</w:t>
            </w:r>
          </w:p>
        </w:tc>
      </w:tr>
      <w:tr>
        <w:trPr>
          <w:trHeight w:val="210"/>
        </w:trPr>
        <w:tc>
          <w:tcPr>
            <w:tcW w:w="33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Peterbilt</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2017 through March 2019</w:t>
            </w:r>
          </w:p>
        </w:tc>
      </w:tr>
      <w:tr>
        <w:trPr>
          <w:trHeight w:val="216"/>
        </w:trPr>
        <w:tc>
          <w:tcPr>
            <w:tcW w:w="3360" w:type="dxa"/>
            <w:vAlign w:val="bottom"/>
          </w:tcPr>
          <w:p>
            <w:pPr>
              <w:jc w:val="center"/>
              <w:ind w:left="30"/>
              <w:spacing w:after="0"/>
              <w:rPr>
                <w:sz w:val="20"/>
                <w:szCs w:val="20"/>
                <w:color w:val="auto"/>
              </w:rPr>
            </w:pPr>
            <w:r>
              <w:rPr>
                <w:rFonts w:ascii="Arial" w:cs="Arial" w:eastAsia="Arial" w:hAnsi="Arial"/>
                <w:sz w:val="18"/>
                <w:szCs w:val="18"/>
                <w:color w:val="auto"/>
                <w:w w:val="92"/>
              </w:rPr>
              <w:t>International</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December 2017 through March 2021</w:t>
            </w:r>
          </w:p>
        </w:tc>
      </w:tr>
      <w:tr>
        <w:trPr>
          <w:trHeight w:val="216"/>
        </w:trPr>
        <w:tc>
          <w:tcPr>
            <w:tcW w:w="33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Isuzu</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360" w:type="dxa"/>
            <w:vAlign w:val="bottom"/>
          </w:tcPr>
          <w:p>
            <w:pPr>
              <w:jc w:val="center"/>
              <w:ind w:left="30"/>
              <w:spacing w:after="0"/>
              <w:rPr>
                <w:sz w:val="20"/>
                <w:szCs w:val="20"/>
                <w:color w:val="auto"/>
              </w:rPr>
            </w:pPr>
            <w:r>
              <w:rPr>
                <w:rFonts w:ascii="Arial" w:cs="Arial" w:eastAsia="Arial" w:hAnsi="Arial"/>
                <w:sz w:val="18"/>
                <w:szCs w:val="18"/>
                <w:color w:val="auto"/>
                <w:w w:val="97"/>
              </w:rPr>
              <w:t>Hino</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3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Ford</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360" w:type="dxa"/>
            <w:vAlign w:val="bottom"/>
          </w:tcPr>
          <w:p>
            <w:pPr>
              <w:jc w:val="center"/>
              <w:ind w:left="50"/>
              <w:spacing w:after="0"/>
              <w:rPr>
                <w:sz w:val="20"/>
                <w:szCs w:val="20"/>
                <w:color w:val="auto"/>
              </w:rPr>
            </w:pPr>
            <w:r>
              <w:rPr>
                <w:rFonts w:ascii="Arial" w:cs="Arial" w:eastAsia="Arial" w:hAnsi="Arial"/>
                <w:sz w:val="18"/>
                <w:szCs w:val="18"/>
                <w:color w:val="auto"/>
                <w:w w:val="95"/>
              </w:rPr>
              <w:t>Blue Bird</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July 2017</w:t>
            </w:r>
          </w:p>
        </w:tc>
      </w:tr>
      <w:tr>
        <w:trPr>
          <w:trHeight w:val="216"/>
        </w:trPr>
        <w:tc>
          <w:tcPr>
            <w:tcW w:w="33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IC Bus</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2017 through March 2021</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purchases its new Peterbilt vehicles from Peterbilt and most of the parts sold at its Peterbilt dealerships from PACCAR, Inc., the parent company of Peterbilt, at prevailing prices charged to all franchised dealers. Sales of new Peterbilt trucks accounted for approximately 61.0% of the Company’s new vehicle sales for the year ended December 31, 2016, 59.6% of the Company’s new vehicle sales for the year ended December 31, 2015, and 63.5% of the Company’s new vehicle sales for the year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purchases its new and used commercial vehicle inventories with the assistance of floor plan financing programs as described in Note 7 to these Notes to Consolidated Financial Statements.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acquires lease and rental vehicles with the assistance of financing agreements with PACCAR Leasing Company, Bank of America and Wells Fargo. The financing agreements are secured by a lien on the acquired vehicle. The terms of the financing agreements are similar to the corresponding lease agreements with the Company’s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The Company’s cash and cash equivalents may be uninsured or in deposit accounts that exceed the Federal Deposit Insurance Corporation insurance limit.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w:t>
            </w:r>
          </w:p>
        </w:tc>
        <w:tc>
          <w:tcPr>
            <w:tcW w:w="19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83,482</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76,601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Trade receivables other than vehicles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42,876</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43,916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8,095</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Other accounts receivable</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22,409</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28,810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 for bad debt and warranty claims</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156,199</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156,977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596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80" w:type="dxa"/>
            <w:vAlign w:val="bottom"/>
            <w:gridSpan w:val="5"/>
          </w:tcPr>
          <w:p>
            <w:pPr>
              <w:spacing w:after="0"/>
              <w:rPr>
                <w:sz w:val="20"/>
                <w:szCs w:val="20"/>
                <w:color w:val="auto"/>
              </w:rPr>
            </w:pPr>
            <w:r>
              <w:rPr>
                <w:rFonts w:ascii="Arial" w:cs="Arial" w:eastAsia="Arial" w:hAnsi="Arial"/>
                <w:sz w:val="18"/>
                <w:szCs w:val="18"/>
                <w:color w:val="auto"/>
              </w:rPr>
              <w:t>The Company’s inventories, net, consisted of the following (in thousands):</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19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575,879</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770,861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Used commercial vehicles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71,429</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86,960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187,419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201,868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15,564</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(9,987)</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5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840,304</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VALUATION ACCOUNTS:</w:t>
            </w:r>
          </w:p>
        </w:tc>
        <w:tc>
          <w:tcPr>
            <w:tcW w:w="3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Valuation and allowance accounts include the following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2"/>
              </w:rPr>
              <w:t>Net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9"/>
              </w:rPr>
              <w:t>Balance</w:t>
            </w: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87"/>
              </w:rPr>
              <w:t>Charged to</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92"/>
              </w:rPr>
              <w:t>Beginning</w:t>
            </w: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86"/>
              </w:rPr>
              <w:t>Costs and</w:t>
            </w:r>
          </w:p>
        </w:tc>
        <w:tc>
          <w:tcPr>
            <w:tcW w:w="26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Net Write-</w:t>
            </w:r>
          </w:p>
        </w:tc>
        <w:tc>
          <w:tcPr>
            <w:tcW w:w="26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color w:val="auto"/>
                <w:w w:val="87"/>
              </w:rPr>
              <w:t>End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of Year</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Expenses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Offs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of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Reserve for accounts receivable</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7,291</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Reserve for commercial vehicle inventory</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6,541</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Reserve for accounts receivable</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5,067</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Reserve for commercial vehicle inventory</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10,644</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Reserve for accounts receivable</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4,416</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2,547</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Reserve for commercial vehicle inventory</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7,395</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240" w:top="118" w:right="899" w:bottom="1440" w:gutter="0" w:footer="0" w:header="0"/>
        </w:sect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240" w:top="118" w:right="899" w:bottom="1440"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Receivables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a majority of its customer accounts receivable on a non-recourse basis to a third-party that is responsible for qualifying the customer for credit at the point of sale. If the third-party approves the customer for credit, then the third-party assumes all credit risk related to the transaction. For accounts receivable that the Company does not sell or that are sold with recourse to the Company, an allowance for doubtful receivables is provided after considering historical loss experience and other factors that might affect the collection of such accounts receivable.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an allowance for uncollectible warranty receivables. The Company evaluates the collectability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after it is determined that a receivable will not be fully collected.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170" w:lineRule="exact"/>
        <w:rPr>
          <w:sz w:val="20"/>
          <w:szCs w:val="20"/>
          <w:color w:val="auto"/>
        </w:rPr>
      </w:pPr>
    </w:p>
    <w:p>
      <w:pPr>
        <w:ind w:right="6480" w:firstLine="8"/>
        <w:spacing w:after="0" w:line="501"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jc w:val="both"/>
        <w:spacing w:after="0" w:line="286" w:lineRule="auto"/>
        <w:rPr>
          <w:sz w:val="20"/>
          <w:szCs w:val="20"/>
          <w:color w:val="auto"/>
        </w:rPr>
      </w:pPr>
      <w:r>
        <w:rPr>
          <w:rFonts w:ascii="Arial" w:cs="Arial" w:eastAsia="Arial" w:hAnsi="Arial"/>
          <w:sz w:val="17"/>
          <w:szCs w:val="17"/>
          <w:color w:val="auto"/>
        </w:rPr>
        <w:t>Floor plan notes are financing agreements to facilitate the Company’s purchase of new and used commercial vehicle inventory. These notes are collateralized by the inventory purchased and accounts receivable arising from the sale thereof. The Company’s Floor Plan Credit Agreement provides for a loan commitment of up to $875.0 million and has the interest rate benchmarked to LIBOR, as defined in the agreement.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under the Company’s Floor Plan Credit Agreement is the three month LIBOR rate plus 1.51%. The interest rate applicable to the Company’s Floor Plan Credit Agreement was approximately 2.44% at December 31, 2016. The Company utilizes its excess cash on hand to pay down its outstanding borrowings under its Floor Plan Credit Agreement, and the resulting interest earned is recognized as an offset to the Company’s gross interest expense under the Floor Plan Credit Agreement. The Company is required to pay a monthly working capital fee equal to 0.16% per annum multiplied by the amount of voluntary prepayments of new and used inventory loans.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finances substantially all of the purchase price of its new commercial vehicle inventory, and the loan value of its used commercial vehicle inventory, under its Floor Plan Credit Agreement, under which BMO Harris pays the manufacturer directly with respect to new commercial vehicles. Amounts borrowed under the Company’s Floor Plan Credit Agreement are due when the related commercial vehicle inventory (collateral) is sold and the sales proceeds are collected by the Company. The Company’s Floor Plan Credit Agreement expires June 30, 2019, although BMO Harris has the right to terminate the Floor Plan Credit Agreement at any time upon 120 days’ written notice. The Company may terminate the Floor Plan Credit Agreement at any time, although if it does so, it must pay a prepayment processing fee equal to: (i) 2.0% of the aggregate revolving loan commitments if such termination occurs on or before January 1, 2018; (ii) 1.0% of the aggregate revolving loan commitments if such termination occurs after January 1, 2018 and on or prior to July 1, 2018; and (iii) $500,000 if such termination occurs after July 1, 2018 and prior to June 30, 2019, subject to specified limited exceptions. On December 31, 2016, the Company had approximately $548.1 million outstanding under its Floor Plan Credit Agreement.</w:t>
      </w:r>
    </w:p>
    <w:p>
      <w:pPr>
        <w:spacing w:after="0" w:line="3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2012, the Company entered into a wholesale financing agreement with Ford Motor Credit Company that provides for the financing of, and is collateralized by, the Company’s new Ford vehicle inventory. This wholesale financing agreement bears interest at a rate of Prime plus 150 basis points minus certain incentives and rebates; however, the prime rate is defined to be a minimum of 3.75%. As of December 31, 2016, the interest rate on the wholesale financing agreement was 5.25% before considering the applicable incentives. On December 31, 2016, the Company had an outstanding balance of approximately $66.4 million under the Ford Motor Credit Company wholesale financing agreement.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weighted average interest rate for floor plan notes payable was 1.58% for the year ended December 31, 2016, and 1.47% for the year ended December 31, 2015, which is net of interest related to prepayments of new and used inventory loans.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Assets pledged as collateral were as follows (in thousands):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4"/>
              </w:rPr>
              <w:t>Inventories, new and used vehicles at cost based on specific identification, net of allowance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642,205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Vehicle sale related accounts receivable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83,482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76,601</w:t>
            </w: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725,687</w:t>
            </w:r>
          </w:p>
        </w:tc>
        <w:tc>
          <w:tcPr>
            <w:tcW w:w="20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927,881</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Floor plan notes payable related to vehicles</w:t>
            </w:r>
          </w:p>
        </w:tc>
        <w:tc>
          <w:tcPr>
            <w:tcW w:w="960" w:type="dxa"/>
            <w:vAlign w:val="bottom"/>
            <w:gridSpan w:val="2"/>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646,945</w:t>
            </w:r>
          </w:p>
        </w:tc>
        <w:tc>
          <w:tcPr>
            <w:tcW w:w="20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854,758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$17.5 million. There were no advances outstanding under this secured line of credit at December 31, 2016; however, $12.0 million was pledged to secure various letters of credit related to self-insurance products, leaving $5.5 million available for future borrowings as of December 31,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57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20" w:type="dxa"/>
            <w:vAlign w:val="bottom"/>
            <w:gridSpan w:val="4"/>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Fixed interest rate term notes</w:t>
            </w:r>
          </w:p>
        </w:tc>
        <w:tc>
          <w:tcPr>
            <w:tcW w:w="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603,220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(130,717)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(151,024)</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Total long-term debt, net of current maturities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472,503</w:t>
            </w:r>
          </w:p>
        </w:tc>
        <w:tc>
          <w:tcPr>
            <w:tcW w:w="16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As of December 31, 2016, debt maturities were as follows (in thousands):</w:t>
            </w:r>
          </w:p>
        </w:tc>
        <w:tc>
          <w:tcPr>
            <w:tcW w:w="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2020</w:t>
            </w: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rates on the Company’s variable interest rate notes are based on various LIBOR benchmark rates. The interest rates on the notes range from approximately 2.3% to 2.7% on December 31, 2016. Payments on the notes range from approximately $3,111 to $125,833 per month, plus interest. Maturities of these notes range from May 2017 to June 2025.</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fixed interest rate notes had interest rates that ranged from approximately 2.75% to 7.61% on December 31, 2016. Payments on the notes range from $255 to $27,607 per month. Maturities of these notes range from January 2017 to October 2024.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proceeds from the issuance of the notes were used primarily to acquire land, buildings and improvements, transportation equipment and leasing vehicles.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are secured by the assets acquired with the proceeds of such notes.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long-term real estate debt agreements and floor plan financing arrangements require the Company to satisfy various financial ratios such as the debt to worth ratio, leverage ratio, the fixed charge coverage ratio and certain requirements for tangible net worth and GAAP net worth. As of December 31, 2016, the Company was in compliance with all debt covenants. The Company does not anticipate any breach of the covenants in the foreseeable future.</w:t>
      </w:r>
    </w:p>
    <w:p>
      <w:pPr>
        <w:spacing w:after="0" w:line="147"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FAIR VALUE</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December 31, 2016, and 2015. The carrying value of current assets and current liabilities approximates the fair value due to the short maturity of these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2016, the Company held auction rate securities with underlying tax-exempt municipal bonds that mature in 2030 and have a fair value of $6.2 million and a cost basis of $6.7 million. As of December 31, 2015, the Company held auction rate securities with underlying tax-exempt municipal bonds that mature in 2030 and have a fair value of $6.7 million and a cost basis of $7.2 million. The issuer redeemed $150,000 of the auction rate securities during the second quarter of 2014, $275,000 during the second quarter of 2015, $250,000 during the second quarter of 2016, and $200,000 during the third quarter of 2016. These bonds have credit wrap insurance and a credit rating of A by a major credit rating agency.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The Company valued the auction rate securities at December 31, 2016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66"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12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0"/>
              </w:rPr>
              <w:t>At December 31, 2016</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1"/>
              </w:rPr>
              <w:t>At December 31, 2015</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980" w:type="dxa"/>
            <w:vAlign w:val="bottom"/>
          </w:tcPr>
          <w:p>
            <w:pPr>
              <w:jc w:val="center"/>
              <w:ind w:left="70"/>
              <w:spacing w:after="0" w:line="191" w:lineRule="exact"/>
              <w:rPr>
                <w:sz w:val="20"/>
                <w:szCs w:val="20"/>
                <w:color w:val="auto"/>
              </w:rPr>
            </w:pPr>
            <w:r>
              <w:rPr>
                <w:rFonts w:ascii="Arial" w:cs="Arial" w:eastAsia="Arial" w:hAnsi="Arial"/>
                <w:sz w:val="18"/>
                <w:szCs w:val="18"/>
                <w:b w:val="1"/>
                <w:bCs w:val="1"/>
                <w:color w:val="auto"/>
                <w:w w:val="88"/>
              </w:rPr>
              <w:t>Level 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center"/>
              <w:ind w:right="410"/>
              <w:spacing w:after="0" w:line="191" w:lineRule="exact"/>
              <w:rPr>
                <w:sz w:val="20"/>
                <w:szCs w:val="20"/>
                <w:color w:val="auto"/>
              </w:rPr>
            </w:pPr>
            <w:r>
              <w:rPr>
                <w:rFonts w:ascii="Arial" w:cs="Arial" w:eastAsia="Arial" w:hAnsi="Arial"/>
                <w:sz w:val="18"/>
                <w:szCs w:val="18"/>
                <w:b w:val="1"/>
                <w:bCs w:val="1"/>
                <w:color w:val="auto"/>
                <w:w w:val="91"/>
              </w:rPr>
              <w:t>Level 2</w:t>
            </w:r>
          </w:p>
        </w:tc>
        <w:tc>
          <w:tcPr>
            <w:tcW w:w="86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6"/>
                <w:szCs w:val="16"/>
                <w:color w:val="auto"/>
              </w:rPr>
            </w:pPr>
          </w:p>
        </w:tc>
        <w:tc>
          <w:tcPr>
            <w:tcW w:w="860" w:type="dxa"/>
            <w:vAlign w:val="bottom"/>
            <w:gridSpan w:val="4"/>
          </w:tcPr>
          <w:p>
            <w:pPr>
              <w:jc w:val="right"/>
              <w:ind w:right="20"/>
              <w:spacing w:after="0" w:line="191" w:lineRule="exact"/>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left="130"/>
              <w:spacing w:after="0" w:line="191" w:lineRule="exact"/>
              <w:rPr>
                <w:sz w:val="20"/>
                <w:szCs w:val="20"/>
                <w:color w:val="auto"/>
              </w:rPr>
            </w:pPr>
            <w:r>
              <w:rPr>
                <w:rFonts w:ascii="Arial" w:cs="Arial" w:eastAsia="Arial" w:hAnsi="Arial"/>
                <w:sz w:val="18"/>
                <w:szCs w:val="18"/>
                <w:b w:val="1"/>
                <w:bCs w:val="1"/>
                <w:color w:val="auto"/>
                <w:w w:val="91"/>
              </w:rPr>
              <w:t>Level 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8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Inputs</w:t>
            </w: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Inputs</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Inputs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6,231</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Loss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ind w:left="360"/>
              <w:spacing w:after="0"/>
              <w:rPr>
                <w:sz w:val="20"/>
                <w:szCs w:val="20"/>
                <w:color w:val="auto"/>
              </w:rPr>
            </w:pPr>
            <w:r>
              <w:rPr>
                <w:rFonts w:ascii="Arial" w:cs="Arial" w:eastAsia="Arial" w:hAnsi="Arial"/>
                <w:sz w:val="18"/>
                <w:szCs w:val="18"/>
                <w:b w:val="1"/>
                <w:bCs w:val="1"/>
                <w:color w:val="auto"/>
              </w:rPr>
              <w:t>Cost Basis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b w:val="1"/>
                <w:bCs w:val="1"/>
                <w:color w:val="auto"/>
                <w:w w:val="91"/>
              </w:rPr>
              <w:t>Amount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rPr>
              <w:t>OCI</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Investment in auction rate securities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6,700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140"/>
              <w:spacing w:after="0"/>
              <w:rPr>
                <w:sz w:val="20"/>
                <w:szCs w:val="20"/>
                <w:color w:val="auto"/>
              </w:rPr>
            </w:pPr>
            <w:r>
              <w:rPr>
                <w:rFonts w:ascii="Arial" w:cs="Arial" w:eastAsia="Arial" w:hAnsi="Arial"/>
                <w:sz w:val="18"/>
                <w:szCs w:val="18"/>
                <w:color w:val="auto"/>
              </w:rPr>
              <w:t>469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auction rate securities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7,150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January 2012, the Company entered into swap agreements to hedge against the potential impact of increases in interest rates on its floating-rate debt instruments. All interest rate swap contracts expired by July 1, 2015, therefore, at December 31, 2016 and 2015, the Company did not have any interest rate swap contracts. Swap agreements that hedge exposures to changes in interest rates exposed the Company to credit risk and market risk.</w:t>
      </w:r>
    </w:p>
    <w:p>
      <w:pPr>
        <w:spacing w:after="0" w:line="16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These swap contracts were designated as cash flow hedges to pay fixed rates of interest and received a floating interest rate based on LIBOR. The fixed interest rates specified in the interest rate swap contracts became effective on or about January 1, 2012. The Company’s interest rate swaps qualified for cash flow hedge accounting treatment. Unrealized gains or losses were recorded in Accumulated Other Comprehensive Income (Loss) on the Consolidated Balance Sheets. Amounts received or paid under the contracts were recognized as interest expense over the life of the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derivative instruments described above are on the accompanying Consolidated Statements of Income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Loss Reclassified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Gain (Loss) Recognized in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from Accumulated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OCI on Derivatives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(Effective Portion)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(Effective Portion)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during the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during the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2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Location of Loss</w:t>
            </w: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91"/>
        </w:trPr>
        <w:tc>
          <w:tcPr>
            <w:tcW w:w="2600" w:type="dxa"/>
            <w:vAlign w:val="bottom"/>
          </w:tcPr>
          <w:p>
            <w:pPr>
              <w:spacing w:after="0"/>
              <w:rPr>
                <w:sz w:val="16"/>
                <w:szCs w:val="16"/>
                <w:color w:val="auto"/>
              </w:rPr>
            </w:pPr>
          </w:p>
        </w:tc>
        <w:tc>
          <w:tcPr>
            <w:tcW w:w="14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28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11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6"/>
                <w:szCs w:val="16"/>
                <w:color w:val="auto"/>
              </w:rPr>
            </w:pP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4"/>
        </w:trPr>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5"/>
              </w:rPr>
              <w:t>−</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w:t>
            </w:r>
          </w:p>
        </w:tc>
        <w:tc>
          <w:tcPr>
            <w:tcW w:w="100" w:type="dxa"/>
            <w:vAlign w:val="bottom"/>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5"/>
              </w:rPr>
              <w:t>−</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702"/>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jc w:val="right"/>
              <w:ind w:right="215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26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2016, the Company instituted plans to consolidate its dealership network. In 2016, the Company recorded an impairment charge related to the value of the real estate in the affected locations in the amount of $7.5 million. The Company also classified certain excess real estate as held for sale, which resulted in an additional impairment charge.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measurements for the Company’s long-lived assets are based on Level 3 inputs. Fair values were based on evaluations by a third-party real estate broker that utilized its knowledge and historical experience in real estate markets and transactions. During the third and fourth quarter of 2016, the Company sold four properties with a fair value of $6.1 million. The Company is actively marketing the remaining real estate held for sale.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long-lived assets measured and recorded at fair value on a nonrecurring basis (in thousands):</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Measurements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Using Significant</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Loss During the</w:t>
            </w: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7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 2016</w:t>
            </w: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2016</w:t>
            </w:r>
          </w:p>
        </w:tc>
      </w:tr>
      <w:tr>
        <w:trPr>
          <w:trHeight w:val="210"/>
        </w:trPr>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assets held for sale, see Note 21 – Restructuring Costs of the Notes to Consolidated Financial Statements. The loss was reported in selling, general and administrative expenses in the Consolidated Statements of Income and Comprehensive Income and was reported under the Truck Segment for 2016.</w:t>
      </w:r>
    </w:p>
    <w:p>
      <w:pPr>
        <w:spacing w:after="0" w:line="181" w:lineRule="exact"/>
        <w:rPr>
          <w:sz w:val="20"/>
          <w:szCs w:val="20"/>
          <w:color w:val="auto"/>
        </w:rPr>
      </w:pPr>
    </w:p>
    <w:p>
      <w:pPr>
        <w:ind w:right="9100" w:firstLine="8"/>
        <w:spacing w:after="0" w:line="501" w:lineRule="auto"/>
        <w:tabs>
          <w:tab w:leader="none" w:pos="45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LEASING ACTIVITIES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Vehicle Leases as Lessee</w:t>
      </w:r>
    </w:p>
    <w:p>
      <w:pPr>
        <w:jc w:val="both"/>
        <w:spacing w:after="0" w:line="272" w:lineRule="auto"/>
        <w:rPr>
          <w:sz w:val="20"/>
          <w:szCs w:val="20"/>
          <w:color w:val="auto"/>
        </w:rPr>
      </w:pPr>
      <w:r>
        <w:rPr>
          <w:rFonts w:ascii="Arial" w:cs="Arial" w:eastAsia="Arial" w:hAnsi="Arial"/>
          <w:sz w:val="17"/>
          <w:szCs w:val="17"/>
          <w:color w:val="auto"/>
        </w:rPr>
        <w:t>The Company leases vehicles, as lessee, primarily over periods ranging from one to ten years under operating lease and capital lease arrangements. Generally, the Company is required to incur all operating costs and pay a minimum rental. The Company usually guarantees the residual value of vehicles under operating lease and capital lease arrangements. At December 31, 2016, the Company guaranteed vehicle residual values of $0.5 million under operating lease arrangements and $34.0 million under capital lease arrangements. Historically, the Company purchases these vehicles at the end of the lease term and recognizes a gain on the subsequent sale of the vehicle. The residual values are not reflected in the future minimum lease payments for operating leases. Vehicle lease expenses were approximately $1.3 million for the year ended December 31, 2016, $2.4 million for the year ended December 31, 2015, and $4.1 million for the year ended December 31, 2014.</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below, these vehicles are then subleased by the Company to customers under various agreements. Future minimum sublease rentals to be received by the Company under non-cancelable subleases, as described below, are $75.2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capital and non-cancelable vehicle leases as of December 31, 2016, are as follows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Capital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Leases</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Leases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2018</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17,657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1060" w:type="dxa"/>
            <w:vAlign w:val="bottom"/>
          </w:tcPr>
          <w:p>
            <w:pPr>
              <w:jc w:val="right"/>
              <w:ind w:right="89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92,522</w:t>
            </w:r>
          </w:p>
        </w:tc>
        <w:tc>
          <w:tcPr>
            <w:tcW w:w="12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2,967</w:t>
            </w:r>
          </w:p>
        </w:tc>
        <w:tc>
          <w:tcPr>
            <w:tcW w:w="80" w:type="dxa"/>
            <w:vAlign w:val="bottom"/>
          </w:tcPr>
          <w:p>
            <w:pPr>
              <w:spacing w:after="0"/>
              <w:rPr>
                <w:sz w:val="18"/>
                <w:szCs w:val="18"/>
                <w:color w:val="auto"/>
              </w:rPr>
            </w:pPr>
          </w:p>
        </w:tc>
      </w:tr>
      <w:tr>
        <w:trPr>
          <w:trHeight w:val="20"/>
        </w:trPr>
        <w:tc>
          <w:tcPr>
            <w:tcW w:w="57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amount representing interest</w:t>
            </w:r>
          </w:p>
        </w:tc>
        <w:tc>
          <w:tcPr>
            <w:tcW w:w="10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4"/>
              </w:rPr>
              <w:t>(8,029)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net minimum capital lease payments</w:t>
            </w: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84,493</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(14,449)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Obligations under capital leases less current portion</w:t>
            </w:r>
          </w:p>
        </w:tc>
        <w:tc>
          <w:tcPr>
            <w:tcW w:w="1060" w:type="dxa"/>
            <w:vAlign w:val="bottom"/>
            <w:tcBorders>
              <w:bottom w:val="single" w:sz="8" w:color="auto"/>
            </w:tcBorders>
          </w:tcPr>
          <w:p>
            <w:pPr>
              <w:jc w:val="right"/>
              <w:ind w:right="89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70,044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Vehicle Leases as Lessor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leases both owned and leased vehicles to customers, through its PacLease and Idealease franchises, primarily over periods of one to ten years, under operating lease arrangements, which require a minimum rental payment and a contingent rental payment based on mileage. Rental income during the year ended December 31, 2016, consisted of minimum rental payments of approximately $182.1 million and contingent rental payments of $27.8 million. Rental income during the year ended December 31, 2015, consisted of minimum rental payments of approximately $175.0 million and contingent rental payments of $27.4 million. Rental income during the year ended December 31, 2014, consisted of minimum rental payments of approximately $154.8 million and contingent rental payments of $24.5 million. Minimum rental payments to be received for non-cancelable leases and subleases in effect at December 31, 2016, are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the Company had $570.1 million of lease vehicles included in property and equipment, net of accumulated depreciation of $262.6 million. As of December 31, 2015, the Company had $592.0 million of lease vehicles included in property and equipment, net of accumulated depreciation of $233.8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Leases - Land and Buildings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various assets under operating leases with expiration dates ranging from February 2017 through May 2045. Monthly rental payments range from approximately $275 per month to $46,479 per month. Rental expense was $10.3 million for the year ended December 31, 2016, $11.8 million for the year ended December 31, 2015, and $12.8 million for the year ended December 31, 2014. Future minimum lease payments under non-cancelable leases at December 31, 2015, are as follows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SHARE BASED COMPENSATION AND EMPLOYEE BENEFIT PLANS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On May 17, 2016, the Company’s shareholders approved the amendment and restatement of the Employee Stock Purchase Plan to increase the number of shares of Class A Common Stock authorized for issuance thereunder by 500,000 shares. Under the Employee Stock Purchase Plan, there are approximately 528,000 shares remaining of the 1,400,000 shares of the Company’s Class A Common Stock that have been reserved for issuance. The Company issued 137,360 shares under the Employee Stock Purchase Plan during the year ended December 31, 2016 and 85,263 shares during the year ended December 31, 2015. Of the 6,180 employees eligible to participate, 1,011 elected to participate in the plan as of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awards that may be granted under the plan to include Class A Common Stock awards. The Director Plan was also amended on May 18, 2010 to reduce the number of shares reserved for issuance under the plan by 1,000,000 shares of Class A Common Stock.</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Director Plan is designed to attract and retain highly qualified non-employee directors. Prior to 2008,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Currently, each non-employee director receives a grant of the Company’s Class A Common Stock, or up to 40% cash, equivalent to a compensation value of $125,000. In 2015, three non-employee directors received a grant of 4,725 shares of the Company’s Class A Common Stock, one non-employee director received a grant of 3,780 shares of the Company’s Class A Common Stock and $25,000 cash and three non-employee directors received a grant of 2,835 shares of the Company’s Class A Common Stock and $50,000 cash, for total compensation equivalent to $125,000 each. In 2016, two non-employee directors received a grant of 6,145 shares of the Company’s Class A Common Stock and four non-employee director received a grant of 3,687 shares of the Company’s Class A Common Stock and $50,000 cash, for total compensation equivalent to $125,000 each. Under the Director Plan, there are approximately 165,000 shares remaining for issuance of the 500,000 shares of the Company’s Class A Common Stock that have been reserved for issuance. The Company granted 27,038 shares of Class A Common Stock under the Director Plan during the year ended December 31, 2016 and 26,460 shares of Class A Common Stock under the Director Plan during the year ended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 The 2007 Incentive Plan was amended and restated on May 20, 2014 to increase the number of shares available for issuance under the plan to 6,050,000 shares of Class A Common Stock and 1,450,000 shares of Class B Common Stock.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6,050,000 shares of Class A Common Stock and 1,450,000 shares of Class B Common Stock reserved for issuance upon exercise of any awards granted under the Company’s 2007 Incentive Plan. As of December 31, 2016, approximately 856,000 shares of Class A Common Stock and 539,000 shares of Class B Common Stock are available for issuance upon the exercise of any awards granted under the Company’s 2007 Incentive Plan. The Company issues new shares of its Class A or Class B Common Stock upon the exercise of stock options or vesting of restricted stock units. During the year ended December 31, 2016, the Company granted 493,088 options to purchase Class A Common Stock and 268,890 restricted Class B Common Stock units under the 2007 Incentive Plan. During the year ended December 31, 2015, the Company granted 485,838 options to purchase Class A Common Stock and 259,490 restricted Class B Common Stock units under the 2007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Stock-based compensation expense related to stock options, restricted stock awards, restricted stock units and employee stock purchases was $12.9 million for the year ended December 31, 2016, $12.4 million for the year ended December 31, 2015, and $11.3 million for the year ended December 31, 2014.</w:t>
      </w:r>
    </w:p>
    <w:p>
      <w:pPr>
        <w:spacing w:after="0" w:line="12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Cash received from options exercised and shares purchased under all share-based payment arrangements was $6.5 million for the year ended December 31, 2016, $4.3 million for the year ended December 31, 2015, and $12.5 million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year ended December 31, 2016,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Intrinsic</w:t>
            </w:r>
          </w:p>
        </w:tc>
      </w:tr>
      <w:tr>
        <w:trPr>
          <w:trHeight w:val="230"/>
        </w:trPr>
        <w:tc>
          <w:tcPr>
            <w:tcW w:w="5200" w:type="dxa"/>
            <w:vAlign w:val="bottom"/>
            <w:tcBorders>
              <w:bottom w:val="single" w:sz="8" w:color="auto"/>
            </w:tcBorders>
          </w:tcPr>
          <w:p>
            <w:pPr>
              <w:ind w:left="230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Price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Life (in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January 1, 2016</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3,475,115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493,088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(466,877)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of Outstanding Options at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3,489,826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36,573,365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200" w:type="dxa"/>
            <w:vAlign w:val="bottom"/>
          </w:tcPr>
          <w:p>
            <w:pPr>
              <w:spacing w:after="0" w:line="196" w:lineRule="exact"/>
              <w:rPr>
                <w:sz w:val="20"/>
                <w:szCs w:val="20"/>
                <w:color w:val="auto"/>
              </w:rPr>
            </w:pPr>
            <w:r>
              <w:rPr>
                <w:rFonts w:ascii="Arial" w:cs="Arial" w:eastAsia="Arial" w:hAnsi="Arial"/>
                <w:sz w:val="18"/>
                <w:szCs w:val="18"/>
                <w:color w:val="auto"/>
              </w:rPr>
              <w:t>Expected to vest after December 31, 2016</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1,823,896</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24.79</w:t>
            </w:r>
          </w:p>
        </w:tc>
        <w:tc>
          <w:tcPr>
            <w:tcW w:w="152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7.63</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9"/>
              </w:rPr>
              <w:t>12,969,933</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at December 31, 2016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1,608,248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17.48</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88"/>
              </w:rPr>
              <w:t>23,198,547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aggregate intrinsic value in the preceding table represents the total pretax intrinsic value, based on the weighted-average of the closing price as of December 30, 2016, of the Company’s Class A common of $31.90. The total intrinsic value of options exercised was $4.8 million during the year ended December 31, 2016, $2.6 million during the year ended December 31, 2015, and $18.7 million during the year ended December 31, 2014.</w:t>
      </w:r>
    </w:p>
    <w:p>
      <w:pPr>
        <w:spacing w:after="0" w:line="16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 summary of the status of the number of shares underlying Company’s non-vested stock options as of December 31, 2016, and changes during the year ended December 31, 2016,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90"/>
              </w:rPr>
              <w:t>Grant Date</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8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Non-vested Shares</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Fair Value</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3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2016</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1,919,873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493,088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(527,883)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(3,500)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1140"/>
              <w:spacing w:after="0"/>
              <w:rPr>
                <w:sz w:val="20"/>
                <w:szCs w:val="20"/>
                <w:color w:val="auto"/>
              </w:rPr>
            </w:pPr>
            <w:r>
              <w:rPr>
                <w:rFonts w:ascii="Arial" w:cs="Arial" w:eastAsia="Arial" w:hAnsi="Arial"/>
                <w:sz w:val="18"/>
                <w:szCs w:val="18"/>
                <w:color w:val="auto"/>
              </w:rPr>
              <w:t>Non-vested at December 31, 2016</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1,881,578</w:t>
            </w:r>
          </w:p>
        </w:tc>
        <w:tc>
          <w:tcPr>
            <w:tcW w:w="12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80" w:type="dxa"/>
            <w:vAlign w:val="bottom"/>
            <w:vMerge w:val="restart"/>
          </w:tcPr>
          <w:p>
            <w:pPr>
              <w:jc w:val="right"/>
              <w:ind w:right="9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total fair value of vested options was $5.6 million during the year ended December 31, 2016, $5.1 million during the year ended December 31, 2015, and $3.3 million during the year ended December 31, 2014. The weighted-average grant date fair value of options granted was $6.54 per share during the year ended December 31, 2016, $11.27 per share during the year ended December 31, 2015, and $15.86 per share during the year ended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granted restricted stock units to certain of its employees under the 2007 Incentive Plan and unrestricted stock awards to its non-employee directors under the Director Plan during the year ended December 31, 2016. The restricted stock units granted to employees vest in three equal installments on the first, second and third anniversary of the grant date and are forfeited in the event the recipient’s employment or relationship with the Company is terminated prior to vesting. The fair value of the restricted stock units to the Company’s employees is amortized to expense on a straight-line basis over the restricted stock’s vesting period. The shares granted to non-employee directors are expensed on the grant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non-vested restricted stock units outstanding at December 31, 2016: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Aggregate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Stock Awards and Units</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Life (in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shares at January 1, 2016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483,335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268,890</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(233,052)</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Outstanding Non-vested at December 31, 2016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519,173</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w w:val="97"/>
              </w:rPr>
              <w:t>16,561,618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Expected to vest after December 31, 2016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516,649</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w w:val="97"/>
              </w:rPr>
              <w:t>16,481,103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fair value of the shares issued upon the vesting of stock awards during the year ended December 31, 2016 was $5.7 million. The weighted-average grant date fair value of stock awards and units granted was $17.57 per share during the year ended December 31, 2016, $24.75 per share during the year ended December 31, 2015, and $26.81 per share during the year ended December 31, 2014.</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2016, there was $13.3 million of total unrecognized compensation cost related to unvested share-based compensation arrangements granted under the Incentive Plan and the 2007 Incentive Plan. That cost is expected to be recognized over a weighted-average period of 2.2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Effective February 1, 2012,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$6.5 million during the year ended December 31, 2016, $6.2 million during the year ended December 31, 2015, and $5.2 million during the year ended December 31, 2014.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225"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On November 6, 2010 the Board of Directors of the Company adopted the Rush Enterprises, Inc. Deferred Compensation Plan (the “Deferred Compensation Plan”) pursuant to which selected employees and directors may elect to defer a portion of their annual compensation.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$7.2 million on December 31, 2016 and $4.9 million on December 31, 2015. The related cash surrender value of the life insurance contracts was $6.8 million on December 31, 2016 and $4.8 million on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post-employment benefits.</w:t>
      </w:r>
    </w:p>
    <w:p>
      <w:pPr>
        <w:spacing w:after="0" w:line="22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Each share of Class A Common Stock ranks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8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 -</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available to common shareholders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40,582</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66,053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79,957</w:t>
            </w:r>
          </w:p>
        </w:tc>
        <w:tc>
          <w:tcPr>
            <w:tcW w:w="0" w:type="dxa"/>
            <w:vAlign w:val="bottom"/>
          </w:tcPr>
          <w:p>
            <w:pPr>
              <w:spacing w:after="0"/>
              <w:rPr>
                <w:sz w:val="1"/>
                <w:szCs w:val="1"/>
                <w:color w:val="auto"/>
              </w:rPr>
            </w:pPr>
          </w:p>
        </w:tc>
      </w:tr>
      <w:tr>
        <w:trPr>
          <w:trHeight w:val="197"/>
        </w:trPr>
        <w:tc>
          <w:tcPr>
            <w:tcW w:w="57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Denominator-</w:t>
            </w:r>
          </w:p>
        </w:tc>
        <w:tc>
          <w:tcPr>
            <w:tcW w:w="9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for basic earnings per share – weighted average shares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39,938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40,271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39,783</w:t>
            </w: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40" w:type="dxa"/>
            <w:vAlign w:val="bottom"/>
          </w:tcPr>
          <w:p>
            <w:pPr>
              <w:ind w:left="160"/>
              <w:spacing w:after="0" w:line="195" w:lineRule="exact"/>
              <w:rPr>
                <w:sz w:val="20"/>
                <w:szCs w:val="20"/>
                <w:color w:val="auto"/>
              </w:rPr>
            </w:pPr>
            <w:r>
              <w:rPr>
                <w:rFonts w:ascii="Arial" w:cs="Arial" w:eastAsia="Arial" w:hAnsi="Arial"/>
                <w:sz w:val="18"/>
                <w:szCs w:val="18"/>
                <w:color w:val="auto"/>
                <w:w w:val="96"/>
              </w:rPr>
              <w:t>Denominator for diluted earnings per share - adjusted weighted average</w:t>
            </w:r>
          </w:p>
        </w:tc>
        <w:tc>
          <w:tcPr>
            <w:tcW w:w="9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40,603</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0"/>
              </w:rPr>
              <w:t>41,093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40,894</w:t>
            </w:r>
          </w:p>
        </w:tc>
        <w:tc>
          <w:tcPr>
            <w:tcW w:w="0" w:type="dxa"/>
            <w:vAlign w:val="bottom"/>
          </w:tcPr>
          <w:p>
            <w:pPr>
              <w:spacing w:after="0"/>
              <w:rPr>
                <w:sz w:val="1"/>
                <w:szCs w:val="1"/>
                <w:color w:val="auto"/>
              </w:rPr>
            </w:pPr>
          </w:p>
        </w:tc>
      </w:tr>
      <w:tr>
        <w:trPr>
          <w:trHeight w:val="190"/>
        </w:trPr>
        <w:tc>
          <w:tcPr>
            <w:tcW w:w="5740" w:type="dxa"/>
            <w:vAlign w:val="bottom"/>
          </w:tcPr>
          <w:p>
            <w:pPr>
              <w:ind w:left="320"/>
              <w:spacing w:after="0" w:line="190" w:lineRule="exact"/>
              <w:rPr>
                <w:sz w:val="20"/>
                <w:szCs w:val="20"/>
                <w:color w:val="auto"/>
              </w:rPr>
            </w:pPr>
            <w:r>
              <w:rPr>
                <w:rFonts w:ascii="Arial" w:cs="Arial" w:eastAsia="Arial" w:hAnsi="Arial"/>
                <w:sz w:val="18"/>
                <w:szCs w:val="18"/>
                <w:color w:val="auto"/>
              </w:rPr>
              <w:t>shares and assumed conversions</w:t>
            </w:r>
          </w:p>
        </w:tc>
        <w:tc>
          <w:tcPr>
            <w:tcW w:w="9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98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4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1.61</w:t>
            </w:r>
          </w:p>
        </w:tc>
        <w:tc>
          <w:tcPr>
            <w:tcW w:w="4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2016, 2015 and 2014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1760" w:type="dxa"/>
            <w:vAlign w:val="bottom"/>
            <w:gridSpan w:val="2"/>
          </w:tcPr>
          <w:p>
            <w:pPr>
              <w:jc w:val="right"/>
              <w:ind w:right="510"/>
              <w:spacing w:after="0"/>
              <w:rPr>
                <w:sz w:val="20"/>
                <w:szCs w:val="20"/>
                <w:color w:val="auto"/>
              </w:rPr>
            </w:pPr>
            <w:r>
              <w:rPr>
                <w:rFonts w:ascii="Arial" w:cs="Arial" w:eastAsia="Arial" w:hAnsi="Arial"/>
                <w:sz w:val="18"/>
                <w:szCs w:val="18"/>
                <w:color w:val="auto"/>
              </w:rPr>
              <w:t>2015</w:t>
            </w:r>
          </w:p>
        </w:tc>
        <w:tc>
          <w:tcPr>
            <w:tcW w:w="1700" w:type="dxa"/>
            <w:vAlign w:val="bottom"/>
            <w:gridSpan w:val="2"/>
          </w:tcPr>
          <w:p>
            <w:pPr>
              <w:jc w:val="right"/>
              <w:ind w:right="51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Anti-dilutive options – weighted average</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945"/>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60" w:type="dxa"/>
            <w:vAlign w:val="bottom"/>
          </w:tcPr>
          <w:p>
            <w:pPr>
              <w:jc w:val="right"/>
              <w:ind w:right="85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9460" w:firstLine="8"/>
        <w:spacing w:after="0" w:line="563" w:lineRule="auto"/>
        <w:tabs>
          <w:tab w:leader="none" w:pos="45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 for Income Taxes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tax provisions are summarized as follows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color w:val="auto"/>
                <w:w w:val="88"/>
              </w:rPr>
              <w:t>Year Ended December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15,236</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7,513</w:t>
            </w:r>
          </w:p>
        </w:tc>
        <w:tc>
          <w:tcPr>
            <w:tcW w:w="18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Federal</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8,260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25,867</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41,750</w:t>
            </w: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taxes based on the federal statutory rates and the provisions (benefits) for income taxes are summarized as follows (in thousands):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color w:val="auto"/>
                <w:w w:val="88"/>
              </w:rPr>
              <w:t>Year Ended December 31,</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040" w:type="dxa"/>
            <w:vAlign w:val="bottom"/>
            <w:gridSpan w:val="2"/>
            <w:shd w:val="clear" w:color="auto" w:fill="CCEEFF"/>
          </w:tcPr>
          <w:p>
            <w:pPr>
              <w:jc w:val="right"/>
              <w:ind w:right="87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23,255</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37,733</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gridSpan w:val="2"/>
          </w:tcPr>
          <w:p>
            <w:pPr>
              <w:jc w:val="right"/>
              <w:ind w:right="87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25,867</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41,750</w:t>
            </w:r>
          </w:p>
        </w:tc>
        <w:tc>
          <w:tcPr>
            <w:tcW w:w="160" w:type="dxa"/>
            <w:vAlign w:val="bottom"/>
          </w:tcPr>
          <w:p>
            <w:pPr>
              <w:spacing w:after="0"/>
              <w:rPr>
                <w:sz w:val="18"/>
                <w:szCs w:val="18"/>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taxes recorded in other comprehensive income and paid in capital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w w:val="88"/>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Income tax expense (benefit) related to components of</w:t>
            </w: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Change in fair value of cash flow swaps</w:t>
            </w:r>
          </w:p>
        </w:tc>
        <w:tc>
          <w:tcPr>
            <w:tcW w:w="1140" w:type="dxa"/>
            <w:vAlign w:val="bottom"/>
            <w:gridSpan w:val="2"/>
          </w:tcPr>
          <w:p>
            <w:pPr>
              <w:jc w:val="right"/>
              <w:ind w:right="97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Change in fair value of available-for-sale securities</w:t>
            </w: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tcPr>
          <w:p>
            <w:pPr>
              <w:jc w:val="right"/>
              <w:ind w:right="97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Paid in capital – stock based compensation</w:t>
            </w:r>
          </w:p>
        </w:tc>
        <w:tc>
          <w:tcPr>
            <w:tcW w:w="1140" w:type="dxa"/>
            <w:vAlign w:val="bottom"/>
            <w:gridSpan w:val="2"/>
          </w:tcPr>
          <w:p>
            <w:pPr>
              <w:jc w:val="right"/>
              <w:ind w:right="97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294</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(5,207)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3"/>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66</w:t>
            </w:r>
          </w:p>
        </w:tc>
        <w:tc>
          <w:tcPr>
            <w:tcW w:w="4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net deferred income tax liabilities included in the balance sheet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(5,074)</w:t>
            </w: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(6,039)</w:t>
            </w:r>
          </w:p>
        </w:tc>
      </w:tr>
      <w:tr>
        <w:trPr>
          <w:trHeight w:val="216"/>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(31,263)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(30,993)</w:t>
            </w:r>
          </w:p>
        </w:tc>
      </w:tr>
      <w:tr>
        <w:trPr>
          <w:trHeight w:val="216"/>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(11,655)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(10,719)</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(3,610)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(3,685)</w:t>
            </w:r>
          </w:p>
        </w:tc>
      </w:tr>
      <w:tr>
        <w:trPr>
          <w:trHeight w:val="216"/>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net operating loss carry forward</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State tax credit</w:t>
            </w: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r>
      <w:tr>
        <w:trPr>
          <w:trHeight w:val="216"/>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Difference between book and tax basis- Depreciation and amortization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256,352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244,716</w:t>
            </w:r>
          </w:p>
        </w:tc>
      </w:tr>
      <w:tr>
        <w:trPr>
          <w:trHeight w:val="210"/>
        </w:trPr>
        <w:tc>
          <w:tcPr>
            <w:tcW w:w="6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188,535</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197,331</w:t>
            </w:r>
          </w:p>
        </w:tc>
        <w:tc>
          <w:tcPr>
            <w:tcW w:w="140" w:type="dxa"/>
            <w:vAlign w:val="bottom"/>
          </w:tcPr>
          <w:p>
            <w:pPr>
              <w:spacing w:after="0"/>
              <w:rPr>
                <w:sz w:val="18"/>
                <w:szCs w:val="18"/>
                <w:color w:val="auto"/>
              </w:rPr>
            </w:pP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188,987</w:t>
            </w: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2016, the Company had approximately $44.6 million in state net operating loss carry forwards that expire from 2016 through 2036. The Company has a valuation allowance of $255,000 associated with state net operating losses. The valuation allowance decreased by $197,000 due to uncertainty regarding the ability to utilize the losses.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had unrecognized income tax benefits totaling $2.4 million as a component of accrued liabilities at December 31, 2016, and $2.3 million at December 31, 2015,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2016, 2015 and 2014, the Company recognized approximately $34,800, $11,600, and $17,500 in interest. No amounts were accrued for penalties. The Company had approximately $145,000, $110,100 and $98,500 for the payment of interest accrued at December 31, 2016, 2015 and 2014,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December 31, 2016, the tax years ended December 31, 2013 through 2016 remained subject to audit by federal tax authorities and the tax years ended December 31, 2012 through 2016, remained subject to audit by state tax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unrecognized tax benefits is as follows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Gross increases – tax positions in current year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692</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 tax positions in a prior year</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Reductions due to lapse of statute of limitations</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(447)</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(273)</w:t>
            </w:r>
          </w:p>
        </w:tc>
      </w:tr>
      <w:tr>
        <w:trPr>
          <w:trHeight w:val="21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at end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2,401</w:t>
            </w:r>
          </w:p>
        </w:tc>
        <w:tc>
          <w:tcPr>
            <w:tcW w:w="400" w:type="dxa"/>
            <w:vAlign w:val="bottom"/>
            <w:tcBorders>
              <w:bottom w:val="single" w:sz="8" w:color="auto"/>
            </w:tcBorders>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2,332</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r>
    </w:tbl>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purchase obligations of approximately $8.1 million at December 31, 2016 related to the Company’s construction contracts for a facility in Houston, Texas and a real estate purchase agreement for Las Vegas, Nevada. The Company also has contractual obligations of $14.9 million with IBM for management services related to the Company’s SAP enterprise software and dealership management system and SAP America, Inc. with respect to the Software License Agreement for the SAP enterprise software and dealership management system.</w:t>
      </w:r>
    </w:p>
    <w:p>
      <w:pPr>
        <w:spacing w:after="0" w:line="18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27, 2016, we acquired certain assets of Transwest Truck Center Las Vegas, LLC, which included a Ford truck franchise in Las Vegas, Nevada. The transaction was valued at approximately $0.8 million, with the purchase price paid in cash.</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28, 2015, in connection with the divestiture of the Company’s Peterbilt dealership in Charlotte, North Carolina, the Company acquired certain assets of Peterbilt of Las Vegas, Inc., which operated a commercial vehicle dealership in Las Vegas, Nevada. This location is operating as a Rush Truck Center and is a full-service Peterbilt dealership. The acquisition also included a PacLease commercial vehicle rental and leasing business. The dealership swap was a like-kind exchange for tax purposes and enabled the Company to be consistent with its strategy of not having dealerships representing multiple Class 8 manufacturers in the same market as the Company continues to operate a facility representing International, Hino and Isuzu trucks in Charlotte. The sale price for the assets in Charlotte, North Carolina was approximately $6.4 million, which was offset by floor plan and accounts payable of $5.9 million.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for the assets in Las Vegas, Nevada was approximately $3.4 million, which was paid in cash. The operations of Peterbilt of Las Vegas, Inc.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 lease assets</w:t>
            </w: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(16,925)</w:t>
            </w: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4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July 27, 2015, the Company acquired certain assets of Dallas Truck Center, Inc., which included real estate and used truck inventory, in Dallas, Texas.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location is operating as Rig Tough Used Trucks, Dallas. The transaction was valued at approximately $3.3 million, with the purchase price paid in cash.</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4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4, 2015, the Company acquired certain assets of Yancey Truck Centers, LLC, which operated commercial vehicle dealerships in Albany, Blackshear, Tifton, Valdosta, Augusta, Columbus and Macon, Georgia. Certain of these locations are operating as Rush Truck Centers and offer commercial vehicle sales, parts and service for International trucks. The acquisition also included an Idealease commercial vehicle rental and leasing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purchase price for the assets, goodwill, franchise rights and dealership properties was approximately $30.1 million, which was paid in cash. The operations of Yancey Truck Centers, LLC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6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Yancey Truck Centers, LLC acquisition will be amortized over 15 years for tax purposes.</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On February 9, 2015, the Company acquired certain assets of Effingham Truck Sales, Inc. The acquisition included International commercial truck dealerships and an Idealease commercial vehicle rental and leasing business in Effingham and Mount Vernon, Illinois.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purchase price for the assets, membership interests, goodwill, and dealership properties was approximately $25.3 million, which was paid in cash. The operations of Effingham Truck Sales, Inc.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4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Effingham Truck Sales, Inc. acquisition will be amortized over 15 years for tax purposes.</w:t>
      </w:r>
    </w:p>
    <w:p>
      <w:pPr>
        <w:spacing w:after="0" w:line="22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accumulated other comprehensive loss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Available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Cash Flow</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for Sale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Swaps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Securities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2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Changes in fair value</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as of December 31, 2015</w:t>
            </w:r>
          </w:p>
        </w:tc>
        <w:tc>
          <w:tcPr>
            <w:tcW w:w="2460" w:type="dxa"/>
            <w:vAlign w:val="bottom"/>
            <w:gridSpan w:val="2"/>
          </w:tcPr>
          <w:p>
            <w:pPr>
              <w:jc w:val="right"/>
              <w:ind w:right="1017"/>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 into income</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0"/>
        </w:trPr>
        <w:tc>
          <w:tcPr>
            <w:tcW w:w="4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60" w:type="dxa"/>
            <w:vAlign w:val="bottom"/>
            <w:gridSpan w:val="2"/>
          </w:tcPr>
          <w:p>
            <w:pPr>
              <w:jc w:val="right"/>
              <w:ind w:right="877"/>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0" w:type="dxa"/>
            <w:vAlign w:val="bottom"/>
            <w:shd w:val="clear" w:color="auto" w:fill="808080"/>
          </w:tcPr>
          <w:p>
            <w:pPr>
              <w:spacing w:after="0"/>
              <w:rPr>
                <w:sz w:val="5"/>
                <w:szCs w:val="5"/>
                <w:color w:val="auto"/>
              </w:rPr>
            </w:pPr>
          </w:p>
        </w:tc>
        <w:tc>
          <w:tcPr>
            <w:tcW w:w="38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w w:val="98"/>
              </w:rPr>
              <w:t>Year Ended</w:t>
            </w: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w w:val="93"/>
              </w:rPr>
              <w:t>December 31, 2016</w:t>
            </w:r>
          </w:p>
        </w:tc>
        <w:tc>
          <w:tcPr>
            <w:tcW w:w="18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December 31, 2015</w:t>
            </w:r>
          </w:p>
        </w:tc>
        <w:tc>
          <w:tcPr>
            <w:tcW w:w="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w w:val="91"/>
              </w:rPr>
              <w:t>December 31, 2014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7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700"/>
              <w:spacing w:after="0"/>
              <w:rPr>
                <w:sz w:val="20"/>
                <w:szCs w:val="20"/>
                <w:color w:val="auto"/>
              </w:rPr>
            </w:pPr>
            <w:r>
              <w:rPr>
                <w:rFonts w:ascii="Arial" w:cs="Arial" w:eastAsia="Arial" w:hAnsi="Arial"/>
                <w:sz w:val="18"/>
                <w:szCs w:val="18"/>
                <w:color w:val="auto"/>
                <w:w w:val="75"/>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7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5"/>
              </w:rPr>
              <w:t>−</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700"/>
              <w:spacing w:after="0"/>
              <w:rPr>
                <w:sz w:val="20"/>
                <w:szCs w:val="20"/>
                <w:color w:val="auto"/>
              </w:rPr>
            </w:pPr>
            <w:r>
              <w:rPr>
                <w:rFonts w:ascii="Arial" w:cs="Arial" w:eastAsia="Arial" w:hAnsi="Arial"/>
                <w:sz w:val="18"/>
                <w:szCs w:val="18"/>
                <w:color w:val="auto"/>
                <w:w w:val="75"/>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7220" w:hanging="652"/>
        <w:spacing w:after="0" w:line="308" w:lineRule="auto"/>
        <w:tabs>
          <w:tab w:leader="none" w:pos="46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UNAUDITED QUARTERLY FINANCIAL DATA</w:t>
      </w:r>
      <w:r>
        <w:rPr>
          <w:rFonts w:ascii="Arial" w:cs="Arial" w:eastAsia="Arial" w:hAnsi="Arial"/>
          <w:sz w:val="17"/>
          <w:szCs w:val="17"/>
          <w:color w:val="auto"/>
        </w:rPr>
        <w:t>: (In thousands, except per share amounts.)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Fourth</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1,070,840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1,026,462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1,096,041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183,270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180,478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181,316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1,193,535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917,878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1,294,076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193,622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207,633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208,008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175,684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our dealerships, when making decisions about resources to be allocated to the segment and assessing its performance.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2016, 2015 or 2014.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December 31, 2016, 2015 and 2014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Truck</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All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gridSpan w:val="2"/>
            <w:vMerge w:val="restart"/>
          </w:tcPr>
          <w:p>
            <w:pPr>
              <w:jc w:val="right"/>
              <w:ind w:right="349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Segment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4,199,348</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7"/>
              </w:rPr>
              <w:t>Segment income (loss) from continuing operations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before taxes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67,364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66,449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2,570,016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287,631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Borders>
              <w:bottom w:val="single" w:sz="8" w:color="auto"/>
            </w:tcBorders>
            <w:shd w:val="clear" w:color="auto" w:fill="CCEEFF"/>
          </w:tcPr>
          <w:p>
            <w:pPr>
              <w:jc w:val="right"/>
              <w:ind w:right="3490"/>
              <w:spacing w:after="0"/>
              <w:rPr>
                <w:sz w:val="20"/>
                <w:szCs w:val="20"/>
                <w:color w:val="auto"/>
              </w:rPr>
            </w:pPr>
            <w:r>
              <w:rPr>
                <w:rFonts w:ascii="Arial" w:cs="Arial" w:eastAsia="Arial" w:hAnsi="Arial"/>
                <w:sz w:val="18"/>
                <w:szCs w:val="18"/>
                <w:b w:val="1"/>
                <w:bCs w:val="1"/>
                <w:color w:val="auto"/>
                <w:w w:val="79"/>
              </w:rPr>
              <w:t>2015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4,964,642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15,091</w:t>
            </w:r>
          </w:p>
        </w:tc>
        <w:tc>
          <w:tcPr>
            <w:tcW w:w="1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4,979,733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122,907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income (loss) from continuing operations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before taxes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109,583</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(1,780)</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2,818,255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367,482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920" w:type="dxa"/>
            <w:vAlign w:val="bottom"/>
            <w:tcBorders>
              <w:bottom w:val="single" w:sz="8" w:color="auto"/>
            </w:tcBorders>
          </w:tcPr>
          <w:p>
            <w:pPr>
              <w:jc w:val="right"/>
              <w:ind w:right="3490"/>
              <w:spacing w:after="0"/>
              <w:rPr>
                <w:sz w:val="20"/>
                <w:szCs w:val="20"/>
                <w:color w:val="auto"/>
              </w:rPr>
            </w:pPr>
            <w:r>
              <w:rPr>
                <w:rFonts w:ascii="Arial" w:cs="Arial" w:eastAsia="Arial" w:hAnsi="Arial"/>
                <w:sz w:val="18"/>
                <w:szCs w:val="18"/>
                <w:b w:val="1"/>
                <w:bCs w:val="1"/>
                <w:color w:val="auto"/>
                <w:w w:val="79"/>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4,708,978</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18,378</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40,283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7"/>
              </w:rPr>
              <w:t>Segment income (loss) from continuing operations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before taxes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131,035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130,543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2,646,018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262,585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u w:val="single" w:color="auto"/>
          <w:color w:val="auto"/>
        </w:rPr>
        <w:t>ASSET IMPAIRMENT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fourth quarter of 2014, the Company initiated a plan to sell its corporate aircraft and met all of the initial criteria of ASC 360, “Property, Plant and Equipment” to classify the corporate asset as an asset held for sale. It was determined that the carrying value of the corporate aircraft was no longer recoverable, and the Company recognized a $3.4 million in pre-tax non-cash asset impairment charge during the twelve months ended December 31, 2014. As a result, the Company adjusted the carrying value of its corporate aircraft to its estimated fair market value less costs to sell in accordance with ASC 820, “Fair Value Measurement.” The impairment loss is included in depreciation and amortization expense as of December 31, 2014, on the Consolidated Statements of Income. This aircraft was sold in connection with the purchase of a replacement aircraft in 2015 and no additional loss was incurred.</w:t>
      </w:r>
    </w:p>
    <w:p>
      <w:pPr>
        <w:spacing w:after="0" w:line="16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2014, the Company entered into a loan agreement with CCTTS, a related party, that provides for advances up to $16.0 million to finance commercial vehicle inventory. Borrowings under this loan agreement bear interest at the three month LIBOR rate plus 4.0% and the interest is payable monthly. Amounts advanced under the loan agreement are due when the related commercial vehicle inventory is sold by the related party. The Company had a $10.2 million receivable under the loan agreement at December 31, 2016 and $10.6 million at December 31, 2015.</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2016, the Company instituted plans to consolidate its dealership network. The Company incurred pre-tax expense of approximately $9.0 million related to costs associated with the restructuring activities, including asset impairment charges.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restructuring costs included $3.2 million associated with impairment charges to certain fixed assets and the value of the real estate underlying the affected locations, which was reported in selling, general and administrative expenses in the Consolidated Statements of Income and Comprehensive Income. See Note 9 – Financial Instruments and Fair Value, for further discussion on the impairment charge related to the value of real estate in the affected locations. The restructuring costs also included $0.7 million associated with severance benefits for the reduction of approximately 100 employees, lease cancellation fees and contract termination costs that were reported as selling, general and administrative expenses in the Consolidated Statements of Income and Comprehensive Income.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classified certain excess real estate as held for sale, which resulted in an impairment charge of $5.0 million that was reported in selling, general and administrative expenses in the Consolidated Statements of Income and Comprehensive Income for 2016.</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third and fourth quarters of 2016, the Company sold four of the properties with a fair value of $6.1 million. As of December 31, 2016, the remaining real estate associated with the dealership consolidation and owned by the Company and the Company’s excess real estate is included in assets held for sale on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costs and the assets held for sale are reported under the Truck Segment.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2016,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2016 that have materially affected, or are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2016,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2016, based on those criteria.</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2016. The report, which expresses an unqualified opinion on the effectiveness of the Company’s internal control over financial reporting as of December 31, 2016, is included in this Item 9A under the heading “Attestation Report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Rush Enterprises, Inc.</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Rush Enterprises, Inc. and subsidiaries’ internal control over financial reporting as of December 31, 2016, based on criteria established in Internal Control − Integrated Framework issued by the Committee of Sponsoring Organizations of the Treadway Commission (2013 Framework) (the COSO criteria). Rush Enterprises,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Rush Enterprises, Inc. and subsidiaries maintained, in all material respects, effective internal control over financial reporting as of December 31, 2016,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Rush Enterprises, Inc. and subsidiaries as of December 31, 2016, and 2015, and the related consolidated statements of income, comprehensive income, shareholders’ equity, and cash flows for each of the three years in the period ended December 31, 2016, of Rush Enterprises, Inc. and subsidiaries and our report dated March 1, 2017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2017 Annual Meeting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Arial" w:cs="Arial" w:eastAsia="Arial" w:hAnsi="Arial"/>
          <w:sz w:val="18"/>
          <w:szCs w:val="18"/>
          <w:u w:val="single" w:color="auto"/>
          <w:color w:val="auto"/>
        </w:rPr>
        <w:t>www.rushenterprises.com</w:t>
      </w:r>
      <w:r>
        <w:rPr>
          <w:rFonts w:ascii="Arial" w:cs="Arial" w:eastAsia="Arial" w:hAnsi="Arial"/>
          <w:sz w:val="18"/>
          <w:szCs w:val="18"/>
          <w:color w:val="auto"/>
        </w:rPr>
        <w:t xml:space="preserve"> (This website address is not intended to function as a hyperlink, and the information contained in our website is not incorporated in to this report or otherwise made part of this report). We intend to satisfy the disclosure requirements under Item 5.05 of Form 8-K regarding an amendment to, or waiver from, a provision of this code of ethics, if any, by posting such information on our website set forth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2017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Item 12 of Form 10-K, other than the equity compensation plan information set forth below, is incorporated herein by reference to such information included in the Company’s Proxy Statement for the 2017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Compensation Plan Information Table provides information as of December 31, 2016, with respect to shares of Class A and Class B Common Stock that may be issued under our existing equity compensation plans, including the Rush Enterprises, Inc. 2006 Non-Employee Director Stock Plan, the Rush Enterprises, Inc. 2007 Long-Term Incentive Plan, The Rush Enterprises, Inc. Long-Term Incentive Plan, as amended (adopted by the Company’s shareholders in May 1996).</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8"/>
        </w:trPr>
        <w:tc>
          <w:tcPr>
            <w:tcW w:w="5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Number of securities</w:t>
            </w:r>
          </w:p>
        </w:tc>
      </w:tr>
      <w:tr>
        <w:trPr>
          <w:trHeight w:val="216"/>
        </w:trPr>
        <w:tc>
          <w:tcPr>
            <w:tcW w:w="5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remaining</w:t>
            </w:r>
          </w:p>
        </w:tc>
      </w:tr>
      <w:tr>
        <w:trPr>
          <w:trHeight w:val="216"/>
        </w:trPr>
        <w:tc>
          <w:tcPr>
            <w:tcW w:w="5020" w:type="dxa"/>
            <w:vAlign w:val="bottom"/>
          </w:tcPr>
          <w:p>
            <w:pPr>
              <w:spacing w:after="0"/>
              <w:rPr>
                <w:sz w:val="18"/>
                <w:szCs w:val="18"/>
                <w:color w:val="auto"/>
              </w:rPr>
            </w:pPr>
          </w:p>
        </w:tc>
        <w:tc>
          <w:tcPr>
            <w:tcW w:w="2280" w:type="dxa"/>
            <w:vAlign w:val="bottom"/>
          </w:tcPr>
          <w:p>
            <w:pPr>
              <w:jc w:val="center"/>
              <w:ind w:left="470"/>
              <w:spacing w:after="0"/>
              <w:rPr>
                <w:sz w:val="20"/>
                <w:szCs w:val="20"/>
                <w:color w:val="auto"/>
              </w:rPr>
            </w:pPr>
            <w:r>
              <w:rPr>
                <w:rFonts w:ascii="Arial" w:cs="Arial" w:eastAsia="Arial" w:hAnsi="Arial"/>
                <w:sz w:val="18"/>
                <w:szCs w:val="18"/>
                <w:color w:val="auto"/>
                <w:w w:val="92"/>
              </w:rPr>
              <w:t>Number of securities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available for future</w:t>
            </w:r>
          </w:p>
        </w:tc>
      </w:tr>
      <w:tr>
        <w:trPr>
          <w:trHeight w:val="216"/>
        </w:trPr>
        <w:tc>
          <w:tcPr>
            <w:tcW w:w="5020" w:type="dxa"/>
            <w:vAlign w:val="bottom"/>
          </w:tcPr>
          <w:p>
            <w:pPr>
              <w:spacing w:after="0"/>
              <w:rPr>
                <w:sz w:val="18"/>
                <w:szCs w:val="18"/>
                <w:color w:val="auto"/>
              </w:rPr>
            </w:pPr>
          </w:p>
        </w:tc>
        <w:tc>
          <w:tcPr>
            <w:tcW w:w="2280" w:type="dxa"/>
            <w:vAlign w:val="bottom"/>
          </w:tcPr>
          <w:p>
            <w:pPr>
              <w:jc w:val="center"/>
              <w:ind w:left="470"/>
              <w:spacing w:after="0"/>
              <w:rPr>
                <w:sz w:val="20"/>
                <w:szCs w:val="20"/>
                <w:color w:val="auto"/>
              </w:rPr>
            </w:pPr>
            <w:r>
              <w:rPr>
                <w:rFonts w:ascii="Arial" w:cs="Arial" w:eastAsia="Arial" w:hAnsi="Arial"/>
                <w:sz w:val="18"/>
                <w:szCs w:val="18"/>
                <w:color w:val="auto"/>
                <w:w w:val="89"/>
              </w:rPr>
              <w:t>to be</w:t>
            </w:r>
          </w:p>
        </w:tc>
        <w:tc>
          <w:tcPr>
            <w:tcW w:w="2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color w:val="auto"/>
                <w:w w:val="88"/>
              </w:rPr>
              <w:t>Weighted-average</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issuance under</w:t>
            </w:r>
          </w:p>
        </w:tc>
      </w:tr>
      <w:tr>
        <w:trPr>
          <w:trHeight w:val="216"/>
        </w:trPr>
        <w:tc>
          <w:tcPr>
            <w:tcW w:w="5020" w:type="dxa"/>
            <w:vAlign w:val="bottom"/>
          </w:tcPr>
          <w:p>
            <w:pPr>
              <w:spacing w:after="0"/>
              <w:rPr>
                <w:sz w:val="18"/>
                <w:szCs w:val="18"/>
                <w:color w:val="auto"/>
              </w:rPr>
            </w:pPr>
          </w:p>
        </w:tc>
        <w:tc>
          <w:tcPr>
            <w:tcW w:w="2280" w:type="dxa"/>
            <w:vAlign w:val="bottom"/>
          </w:tcPr>
          <w:p>
            <w:pPr>
              <w:jc w:val="center"/>
              <w:ind w:left="470"/>
              <w:spacing w:after="0"/>
              <w:rPr>
                <w:sz w:val="20"/>
                <w:szCs w:val="20"/>
                <w:color w:val="auto"/>
              </w:rPr>
            </w:pPr>
            <w:r>
              <w:rPr>
                <w:rFonts w:ascii="Arial" w:cs="Arial" w:eastAsia="Arial" w:hAnsi="Arial"/>
                <w:sz w:val="18"/>
                <w:szCs w:val="18"/>
                <w:color w:val="auto"/>
                <w:w w:val="87"/>
              </w:rPr>
              <w:t>issued upon exercise</w:t>
            </w:r>
          </w:p>
        </w:tc>
        <w:tc>
          <w:tcPr>
            <w:tcW w:w="2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color w:val="auto"/>
                <w:w w:val="86"/>
              </w:rPr>
              <w:t>exercise</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equity compensation</w:t>
            </w:r>
          </w:p>
        </w:tc>
      </w:tr>
      <w:tr>
        <w:trPr>
          <w:trHeight w:val="216"/>
        </w:trPr>
        <w:tc>
          <w:tcPr>
            <w:tcW w:w="5020" w:type="dxa"/>
            <w:vAlign w:val="bottom"/>
          </w:tcPr>
          <w:p>
            <w:pPr>
              <w:spacing w:after="0"/>
              <w:rPr>
                <w:sz w:val="18"/>
                <w:szCs w:val="18"/>
                <w:color w:val="auto"/>
              </w:rPr>
            </w:pPr>
          </w:p>
        </w:tc>
        <w:tc>
          <w:tcPr>
            <w:tcW w:w="2280" w:type="dxa"/>
            <w:vAlign w:val="bottom"/>
          </w:tcPr>
          <w:p>
            <w:pPr>
              <w:jc w:val="center"/>
              <w:ind w:left="470"/>
              <w:spacing w:after="0"/>
              <w:rPr>
                <w:sz w:val="20"/>
                <w:szCs w:val="20"/>
                <w:color w:val="auto"/>
              </w:rPr>
            </w:pPr>
            <w:r>
              <w:rPr>
                <w:rFonts w:ascii="Arial" w:cs="Arial" w:eastAsia="Arial" w:hAnsi="Arial"/>
                <w:sz w:val="18"/>
                <w:szCs w:val="18"/>
                <w:color w:val="auto"/>
              </w:rPr>
              <w:t>of</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1"/>
              </w:rPr>
              <w:t>price of outstanding</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plans as of</w:t>
            </w:r>
          </w:p>
        </w:tc>
      </w:tr>
      <w:tr>
        <w:trPr>
          <w:trHeight w:val="216"/>
        </w:trPr>
        <w:tc>
          <w:tcPr>
            <w:tcW w:w="5020" w:type="dxa"/>
            <w:vAlign w:val="bottom"/>
          </w:tcPr>
          <w:p>
            <w:pPr>
              <w:spacing w:after="0"/>
              <w:rPr>
                <w:sz w:val="18"/>
                <w:szCs w:val="18"/>
                <w:color w:val="auto"/>
              </w:rPr>
            </w:pPr>
          </w:p>
        </w:tc>
        <w:tc>
          <w:tcPr>
            <w:tcW w:w="2280" w:type="dxa"/>
            <w:vAlign w:val="bottom"/>
          </w:tcPr>
          <w:p>
            <w:pPr>
              <w:jc w:val="center"/>
              <w:ind w:left="450"/>
              <w:spacing w:after="0"/>
              <w:rPr>
                <w:sz w:val="20"/>
                <w:szCs w:val="20"/>
                <w:color w:val="auto"/>
              </w:rPr>
            </w:pPr>
            <w:r>
              <w:rPr>
                <w:rFonts w:ascii="Arial" w:cs="Arial" w:eastAsia="Arial" w:hAnsi="Arial"/>
                <w:sz w:val="18"/>
                <w:szCs w:val="18"/>
                <w:color w:val="auto"/>
                <w:w w:val="90"/>
              </w:rPr>
              <w:t>outstanding options,</w:t>
            </w:r>
          </w:p>
        </w:tc>
        <w:tc>
          <w:tcPr>
            <w:tcW w:w="2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color w:val="auto"/>
                <w:w w:val="91"/>
              </w:rPr>
              <w:t>options,</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December 31, 2016</w:t>
            </w:r>
          </w:p>
        </w:tc>
      </w:tr>
      <w:tr>
        <w:trPr>
          <w:trHeight w:val="216"/>
        </w:trPr>
        <w:tc>
          <w:tcPr>
            <w:tcW w:w="5020" w:type="dxa"/>
            <w:vAlign w:val="bottom"/>
          </w:tcPr>
          <w:p>
            <w:pPr>
              <w:spacing w:after="0"/>
              <w:rPr>
                <w:sz w:val="18"/>
                <w:szCs w:val="18"/>
                <w:color w:val="auto"/>
              </w:rPr>
            </w:pPr>
          </w:p>
        </w:tc>
        <w:tc>
          <w:tcPr>
            <w:tcW w:w="2280" w:type="dxa"/>
            <w:vAlign w:val="bottom"/>
          </w:tcPr>
          <w:p>
            <w:pPr>
              <w:jc w:val="center"/>
              <w:ind w:left="450"/>
              <w:spacing w:after="0"/>
              <w:rPr>
                <w:sz w:val="20"/>
                <w:szCs w:val="20"/>
                <w:color w:val="auto"/>
              </w:rPr>
            </w:pPr>
            <w:r>
              <w:rPr>
                <w:rFonts w:ascii="Arial" w:cs="Arial" w:eastAsia="Arial" w:hAnsi="Arial"/>
                <w:sz w:val="18"/>
                <w:szCs w:val="18"/>
                <w:color w:val="auto"/>
                <w:w w:val="89"/>
              </w:rPr>
              <w:t>warrants</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0"/>
              </w:rPr>
              <w:t>warrants and rights</w:t>
            </w: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(excluding</w:t>
            </w:r>
          </w:p>
        </w:tc>
      </w:tr>
      <w:tr>
        <w:trPr>
          <w:trHeight w:val="216"/>
        </w:trPr>
        <w:tc>
          <w:tcPr>
            <w:tcW w:w="5020" w:type="dxa"/>
            <w:vAlign w:val="bottom"/>
          </w:tcPr>
          <w:p>
            <w:pPr>
              <w:spacing w:after="0"/>
              <w:rPr>
                <w:sz w:val="18"/>
                <w:szCs w:val="18"/>
                <w:color w:val="auto"/>
              </w:rPr>
            </w:pPr>
          </w:p>
        </w:tc>
        <w:tc>
          <w:tcPr>
            <w:tcW w:w="2280" w:type="dxa"/>
            <w:vAlign w:val="bottom"/>
          </w:tcPr>
          <w:p>
            <w:pPr>
              <w:jc w:val="center"/>
              <w:ind w:left="450"/>
              <w:spacing w:after="0"/>
              <w:rPr>
                <w:sz w:val="20"/>
                <w:szCs w:val="20"/>
                <w:color w:val="auto"/>
              </w:rPr>
            </w:pPr>
            <w:r>
              <w:rPr>
                <w:rFonts w:ascii="Arial" w:cs="Arial" w:eastAsia="Arial" w:hAnsi="Arial"/>
                <w:sz w:val="18"/>
                <w:szCs w:val="18"/>
                <w:color w:val="auto"/>
                <w:w w:val="89"/>
              </w:rPr>
              <w:t>and rights as of</w:t>
            </w:r>
          </w:p>
        </w:tc>
        <w:tc>
          <w:tcPr>
            <w:tcW w:w="2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color w:val="auto"/>
                <w:w w:val="86"/>
              </w:rPr>
              <w:t>as of</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securities reflected</w:t>
            </w:r>
          </w:p>
        </w:tc>
      </w:tr>
      <w:tr>
        <w:trPr>
          <w:trHeight w:val="216"/>
        </w:trPr>
        <w:tc>
          <w:tcPr>
            <w:tcW w:w="5020" w:type="dxa"/>
            <w:vAlign w:val="bottom"/>
          </w:tcPr>
          <w:p>
            <w:pPr>
              <w:spacing w:after="0"/>
              <w:rPr>
                <w:sz w:val="18"/>
                <w:szCs w:val="18"/>
                <w:color w:val="auto"/>
              </w:rPr>
            </w:pPr>
          </w:p>
        </w:tc>
        <w:tc>
          <w:tcPr>
            <w:tcW w:w="2280" w:type="dxa"/>
            <w:vAlign w:val="bottom"/>
          </w:tcPr>
          <w:p>
            <w:pPr>
              <w:jc w:val="center"/>
              <w:ind w:left="450"/>
              <w:spacing w:after="0"/>
              <w:rPr>
                <w:sz w:val="20"/>
                <w:szCs w:val="20"/>
                <w:color w:val="auto"/>
              </w:rPr>
            </w:pPr>
            <w:r>
              <w:rPr>
                <w:rFonts w:ascii="Arial" w:cs="Arial" w:eastAsia="Arial" w:hAnsi="Arial"/>
                <w:sz w:val="18"/>
                <w:szCs w:val="18"/>
                <w:color w:val="auto"/>
                <w:w w:val="89"/>
              </w:rPr>
              <w:t>December 31, 2016</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2016</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in column (a))</w:t>
            </w:r>
          </w:p>
        </w:tc>
      </w:tr>
      <w:tr>
        <w:trPr>
          <w:trHeight w:val="230"/>
        </w:trPr>
        <w:tc>
          <w:tcPr>
            <w:tcW w:w="5020" w:type="dxa"/>
            <w:vAlign w:val="bottom"/>
          </w:tcPr>
          <w:p>
            <w:pPr>
              <w:ind w:left="2280"/>
              <w:spacing w:after="0"/>
              <w:rPr>
                <w:sz w:val="20"/>
                <w:szCs w:val="20"/>
                <w:color w:val="auto"/>
              </w:rPr>
            </w:pPr>
            <w:r>
              <w:rPr>
                <w:rFonts w:ascii="Arial" w:cs="Arial" w:eastAsia="Arial" w:hAnsi="Arial"/>
                <w:sz w:val="18"/>
                <w:szCs w:val="18"/>
                <w:color w:val="auto"/>
              </w:rPr>
              <w:t>Plan Category</w:t>
            </w:r>
          </w:p>
        </w:tc>
        <w:tc>
          <w:tcPr>
            <w:tcW w:w="2280" w:type="dxa"/>
            <w:vAlign w:val="bottom"/>
          </w:tcPr>
          <w:p>
            <w:pPr>
              <w:jc w:val="center"/>
              <w:ind w:left="470"/>
              <w:spacing w:after="0"/>
              <w:rPr>
                <w:sz w:val="20"/>
                <w:szCs w:val="20"/>
                <w:color w:val="auto"/>
              </w:rPr>
            </w:pPr>
            <w:r>
              <w:rPr>
                <w:rFonts w:ascii="Arial" w:cs="Arial" w:eastAsia="Arial" w:hAnsi="Arial"/>
                <w:sz w:val="18"/>
                <w:szCs w:val="18"/>
                <w:color w:val="auto"/>
                <w:w w:val="90"/>
              </w:rPr>
              <w:t>(a)</w:t>
            </w:r>
          </w:p>
        </w:tc>
        <w:tc>
          <w:tcPr>
            <w:tcW w:w="200" w:type="dxa"/>
            <w:vAlign w:val="bottom"/>
          </w:tcPr>
          <w:p>
            <w:pPr>
              <w:spacing w:after="0"/>
              <w:rPr>
                <w:sz w:val="20"/>
                <w:szCs w:val="20"/>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color w:val="auto"/>
                <w:w w:val="99"/>
              </w:rPr>
              <w:t>(b)</w:t>
            </w: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3,500,342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21.36</w:t>
            </w:r>
          </w:p>
        </w:tc>
        <w:tc>
          <w:tcPr>
            <w:tcW w:w="1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1,021,043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3,500,342</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1,021,043</w:t>
            </w:r>
            <w:r>
              <w:rPr>
                <w:rFonts w:ascii="Arial" w:cs="Arial" w:eastAsia="Arial" w:hAnsi="Arial"/>
                <w:sz w:val="25"/>
                <w:szCs w:val="25"/>
                <w:color w:val="auto"/>
                <w:vertAlign w:val="superscript"/>
              </w:rPr>
              <w:t>(1)</w:t>
            </w:r>
          </w:p>
        </w:tc>
      </w:tr>
    </w:tbl>
    <w:p>
      <w:pPr>
        <w:spacing w:after="0" w:line="256" w:lineRule="exact"/>
        <w:rPr>
          <w:sz w:val="20"/>
          <w:szCs w:val="20"/>
          <w:color w:val="auto"/>
        </w:rPr>
      </w:pPr>
    </w:p>
    <w:p>
      <w:pPr>
        <w:jc w:val="both"/>
        <w:ind w:left="220" w:right="100" w:hanging="215"/>
        <w:spacing w:after="0" w:line="277" w:lineRule="auto"/>
        <w:rPr>
          <w:sz w:val="20"/>
          <w:szCs w:val="20"/>
          <w:color w:val="auto"/>
        </w:rPr>
      </w:pPr>
      <w:r>
        <w:rPr>
          <w:rFonts w:ascii="Arial" w:cs="Arial" w:eastAsia="Arial" w:hAnsi="Arial"/>
          <w:sz w:val="18"/>
          <w:szCs w:val="18"/>
          <w:color w:val="auto"/>
        </w:rPr>
        <w:t>(1)Includes 1,527,701 shares that may be issued in the form of restricted stock under the Rush Enterprises, Inc. 2006 Non-Employee Director Stock Plan and the Rush Enterprises, Inc. 2007 Long-Term Incentive Plan.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Number of securities</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remaining</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 securities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available for future</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 be</w:t>
            </w:r>
          </w:p>
        </w:tc>
        <w:tc>
          <w:tcPr>
            <w:tcW w:w="1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Weighted-average</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issuance under</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issued upon exercise</w:t>
            </w:r>
          </w:p>
        </w:tc>
        <w:tc>
          <w:tcPr>
            <w:tcW w:w="1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exercise</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equity compensation</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price of outstanding</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plans as of</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 options,</w:t>
            </w:r>
          </w:p>
        </w:tc>
        <w:tc>
          <w:tcPr>
            <w:tcW w:w="1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options,</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December 31, 2016</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warrants</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(excluding</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and rights as of</w:t>
            </w:r>
          </w:p>
        </w:tc>
        <w:tc>
          <w:tcPr>
            <w:tcW w:w="1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as of</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securities reflected</w:t>
            </w: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December 31, 2016</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December 31, 2016</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in column (a))</w:t>
            </w:r>
          </w:p>
        </w:tc>
      </w:tr>
      <w:tr>
        <w:trPr>
          <w:trHeight w:val="230"/>
        </w:trPr>
        <w:tc>
          <w:tcPr>
            <w:tcW w:w="160" w:type="dxa"/>
            <w:vAlign w:val="bottom"/>
          </w:tcPr>
          <w:p>
            <w:pPr>
              <w:spacing w:after="0"/>
              <w:rPr>
                <w:sz w:val="20"/>
                <w:szCs w:val="20"/>
                <w:color w:val="auto"/>
              </w:rPr>
            </w:pPr>
          </w:p>
        </w:tc>
        <w:tc>
          <w:tcPr>
            <w:tcW w:w="5580" w:type="dxa"/>
            <w:vAlign w:val="bottom"/>
          </w:tcPr>
          <w:p>
            <w:pPr>
              <w:ind w:left="2280"/>
              <w:spacing w:after="0"/>
              <w:rPr>
                <w:sz w:val="20"/>
                <w:szCs w:val="20"/>
                <w:color w:val="auto"/>
              </w:rPr>
            </w:pPr>
            <w:r>
              <w:rPr>
                <w:rFonts w:ascii="Arial" w:cs="Arial" w:eastAsia="Arial" w:hAnsi="Arial"/>
                <w:sz w:val="18"/>
                <w:szCs w:val="18"/>
                <w:color w:val="auto"/>
              </w:rPr>
              <w:t>Plan Category</w:t>
            </w:r>
          </w:p>
        </w:tc>
        <w:tc>
          <w:tcPr>
            <w:tcW w:w="10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(b)</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w:t>
            </w:r>
          </w:p>
        </w:tc>
      </w:tr>
      <w:tr>
        <w:trPr>
          <w:trHeight w:val="210"/>
        </w:trPr>
        <w:tc>
          <w:tcPr>
            <w:tcW w:w="16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508,657</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6"/>
              </w:rPr>
              <w:t>539,442</w:t>
            </w:r>
          </w:p>
        </w:tc>
        <w:tc>
          <w:tcPr>
            <w:tcW w:w="1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508,657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920"/>
              <w:spacing w:after="0" w:line="216" w:lineRule="exact"/>
              <w:rPr>
                <w:sz w:val="20"/>
                <w:szCs w:val="20"/>
                <w:color w:val="auto"/>
              </w:rPr>
            </w:pPr>
            <w:r>
              <w:rPr>
                <w:rFonts w:ascii="Arial" w:cs="Arial" w:eastAsia="Arial" w:hAnsi="Arial"/>
                <w:sz w:val="16"/>
                <w:szCs w:val="16"/>
                <w:color w:val="auto"/>
                <w:w w:val="94"/>
              </w:rPr>
              <w:t>539,442</w:t>
            </w:r>
            <w:r>
              <w:rPr>
                <w:rFonts w:ascii="Arial" w:cs="Arial" w:eastAsia="Arial" w:hAnsi="Arial"/>
                <w:sz w:val="25"/>
                <w:szCs w:val="25"/>
                <w:color w:val="auto"/>
                <w:w w:val="94"/>
                <w:vertAlign w:val="superscript"/>
              </w:rPr>
              <w:t>(1)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539,442 shares that may be issued in the form of restricted stock under the Rush Enterprises, Inc. 2007 Long-Term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2017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2017 Annual Meeting of Shareholders.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440" w:type="dxa"/>
            <w:vAlign w:val="bottom"/>
            <w:gridSpan w:val="3"/>
          </w:tcPr>
          <w:p>
            <w:pPr>
              <w:ind w:left="4340"/>
              <w:spacing w:after="0"/>
              <w:rPr>
                <w:sz w:val="20"/>
                <w:szCs w:val="20"/>
                <w:color w:val="auto"/>
              </w:rPr>
            </w:pPr>
            <w:r>
              <w:rPr>
                <w:rFonts w:ascii="Arial" w:cs="Arial" w:eastAsia="Arial" w:hAnsi="Arial"/>
                <w:sz w:val="18"/>
                <w:szCs w:val="18"/>
                <w:b w:val="1"/>
                <w:bCs w:val="1"/>
                <w:color w:val="auto"/>
              </w:rPr>
              <w:t>Identification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22"/>
        </w:trPr>
        <w:tc>
          <w:tcPr>
            <w:tcW w:w="880" w:type="dxa"/>
            <w:vAlign w:val="bottom"/>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w w:val="95"/>
              </w:rPr>
              <w:t>Restated Articles of Incorporation of Rush Enterprises, Inc. (incorporated herein by reference to Exhibit 3.1 of the Company’s Quarterly</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418"/>
        </w:trPr>
        <w:tc>
          <w:tcPr>
            <w:tcW w:w="880" w:type="dxa"/>
            <w:vAlign w:val="bottom"/>
          </w:tcPr>
          <w:p>
            <w:pPr>
              <w:ind w:lef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3.1 of the Company’s Current Report on</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rPr>
              <w:t>Form 8-K (File No. 000-20797) filed May 21, 2013)</w:t>
            </w:r>
          </w:p>
        </w:tc>
      </w:tr>
      <w:tr>
        <w:trPr>
          <w:trHeight w:val="418"/>
        </w:trPr>
        <w:tc>
          <w:tcPr>
            <w:tcW w:w="880" w:type="dxa"/>
            <w:vAlign w:val="bottom"/>
          </w:tcPr>
          <w:p>
            <w:pPr>
              <w:ind w:lef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w w:val="93"/>
              </w:rPr>
              <w:t>Specimen of certificate representing Common Stock (now Class B Common Stock), $.01 par value, of Rush Enterprises, Inc. (incorporated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rPr>
              <w:t>herein by reference to Exhibit 4.1 of the Company’s Registration Statement No. 333-03346 on Form S-1 filed April 10, 1996)</w:t>
            </w:r>
          </w:p>
        </w:tc>
      </w:tr>
      <w:tr>
        <w:trPr>
          <w:trHeight w:val="418"/>
        </w:trPr>
        <w:tc>
          <w:tcPr>
            <w:tcW w:w="880" w:type="dxa"/>
            <w:vAlign w:val="bottom"/>
          </w:tcPr>
          <w:p>
            <w:pPr>
              <w:ind w:lef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w w:val="93"/>
              </w:rPr>
              <w:t>Specimen of certificate representing Class A Common Stock, $.01 par value, of the Registrant (incorporated herein by reference to Exhibit</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rPr>
              <w:t>4.1 of the Company’s Registration Statement on Form 8-A filed July 9, 2002)</w:t>
            </w:r>
          </w:p>
        </w:tc>
      </w:tr>
      <w:tr>
        <w:trPr>
          <w:trHeight w:val="418"/>
        </w:trPr>
        <w:tc>
          <w:tcPr>
            <w:tcW w:w="880" w:type="dxa"/>
            <w:vAlign w:val="bottom"/>
          </w:tcPr>
          <w:p>
            <w:pPr>
              <w:ind w:left="1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w w:val="91"/>
              </w:rPr>
              <w:t>Right of First Refusal dated December 19, 2012 between Peterbilt Motors Company and W. Marvin Rush (incorporated herein by reference to</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rPr>
              <w:t>Exhibit 10.2 of the Company’s Current Report on Form 8-K (File No. 000-20797) filed December 20, 2012)</w:t>
            </w:r>
          </w:p>
        </w:tc>
      </w:tr>
      <w:tr>
        <w:trPr>
          <w:trHeight w:val="418"/>
        </w:trPr>
        <w:tc>
          <w:tcPr>
            <w:tcW w:w="880" w:type="dxa"/>
            <w:vAlign w:val="bottom"/>
          </w:tcPr>
          <w:p>
            <w:pPr>
              <w:ind w:left="18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w w:val="97"/>
              </w:rPr>
              <w:t>Right of First Refusal dated December 19, 2012 between Peterbilt Motors Company and W.M. “Rusty” Rush (incorporated herein by</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rPr>
              <w:t>reference to Exhibit 10. of the Company’s Current Report on Form 8-K (File No. 000-20797) filed December 20, 2012)</w:t>
            </w:r>
          </w:p>
        </w:tc>
      </w:tr>
      <w:tr>
        <w:trPr>
          <w:trHeight w:val="418"/>
        </w:trPr>
        <w:tc>
          <w:tcPr>
            <w:tcW w:w="880" w:type="dxa"/>
            <w:vAlign w:val="bottom"/>
          </w:tcPr>
          <w:p>
            <w:pPr>
              <w:ind w:left="18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w w:val="91"/>
              </w:rPr>
              <w:t>Rush Enterprises, Inc. Long-Term Incentive Plan, as amended (incorporated herein by reference to Exhibit 4.1 of the Company’s Registration</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rPr>
              <w:t>Statement No. 333-117305 on Form S-8 filed July 12, 2004)</w:t>
            </w:r>
          </w:p>
        </w:tc>
      </w:tr>
      <w:tr>
        <w:trPr>
          <w:trHeight w:val="418"/>
        </w:trPr>
        <w:tc>
          <w:tcPr>
            <w:tcW w:w="880" w:type="dxa"/>
            <w:vAlign w:val="bottom"/>
          </w:tcPr>
          <w:p>
            <w:pPr>
              <w:ind w:left="1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w w:val="92"/>
              </w:rPr>
              <w:t>Form of Rush Enterprises, Inc. Long-Term Incentive Plan Stock Option Agreement (incorporated herein by reference to Exhibit 10.85 of the</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3"/>
          </w:tcPr>
          <w:p>
            <w:pPr>
              <w:ind w:left="140"/>
              <w:spacing w:after="0"/>
              <w:rPr>
                <w:sz w:val="20"/>
                <w:szCs w:val="20"/>
                <w:color w:val="auto"/>
              </w:rPr>
            </w:pPr>
            <w:r>
              <w:rPr>
                <w:rFonts w:ascii="Arial" w:cs="Arial" w:eastAsia="Arial" w:hAnsi="Arial"/>
                <w:sz w:val="18"/>
                <w:szCs w:val="18"/>
                <w:color w:val="auto"/>
              </w:rPr>
              <w:t>Company’s Registration Statement No. 333-03346 on Form S-1 filed April 10, 1996)</w:t>
            </w:r>
          </w:p>
        </w:tc>
      </w:tr>
      <w:tr>
        <w:trPr>
          <w:trHeight w:val="729"/>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0" w:type="dxa"/>
            <w:vAlign w:val="bottom"/>
            <w:gridSpan w:val="2"/>
          </w:tcPr>
          <w:p>
            <w:pPr>
              <w:ind w:left="4600"/>
              <w:spacing w:after="0"/>
              <w:rPr>
                <w:sz w:val="20"/>
                <w:szCs w:val="20"/>
                <w:color w:val="auto"/>
              </w:rPr>
            </w:pPr>
            <w:r>
              <w:rPr>
                <w:rFonts w:ascii="Arial" w:cs="Arial" w:eastAsia="Arial" w:hAnsi="Arial"/>
                <w:sz w:val="18"/>
                <w:szCs w:val="18"/>
                <w:color w:val="auto"/>
              </w:rPr>
              <w:t>77</w:t>
            </w:r>
          </w:p>
        </w:tc>
        <w:tc>
          <w:tcPr>
            <w:tcW w:w="4240" w:type="dxa"/>
            <w:vAlign w:val="bottom"/>
          </w:tcPr>
          <w:p>
            <w:pPr>
              <w:spacing w:after="0"/>
              <w:rPr>
                <w:sz w:val="24"/>
                <w:szCs w:val="24"/>
                <w:color w:val="auto"/>
              </w:rPr>
            </w:pPr>
          </w:p>
        </w:tc>
      </w:tr>
      <w:tr>
        <w:trPr>
          <w:trHeight w:val="105"/>
        </w:trPr>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61"/>
        </w:trPr>
        <w:tc>
          <w:tcPr>
            <w:tcW w:w="8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34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Rush Enterprises, Inc. 2004 Employee Stock Purchase Plan, as amended (as Amended and Restated Effective February 23, 2016)</w:t>
      </w:r>
    </w:p>
    <w:p>
      <w:pPr>
        <w:spacing w:after="0" w:line="225" w:lineRule="exact"/>
        <w:rPr>
          <w:sz w:val="20"/>
          <w:szCs w:val="20"/>
          <w:color w:val="auto"/>
        </w:rPr>
      </w:pPr>
    </w:p>
    <w:p>
      <w:pPr>
        <w:jc w:val="both"/>
        <w:ind w:left="1160" w:right="20" w:hanging="985"/>
        <w:spacing w:after="0" w:line="277"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Rush Enterprises, Inc. Amended and Restated 2006 Non-Employee Director Stock Plan (incorporated herein by reference to Exhibit 10.10 of the Company’s Form 10-K (File No. 000-20797) for the year ended December 31, 2010)</w:t>
      </w:r>
    </w:p>
    <w:p>
      <w:pPr>
        <w:spacing w:after="0" w:line="170" w:lineRule="exact"/>
        <w:rPr>
          <w:sz w:val="20"/>
          <w:szCs w:val="20"/>
          <w:color w:val="auto"/>
        </w:rPr>
      </w:pPr>
    </w:p>
    <w:p>
      <w:pPr>
        <w:jc w:val="both"/>
        <w:ind w:left="1160" w:right="20" w:hanging="985"/>
        <w:spacing w:after="0" w:line="277"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Rush Enterprises, Inc. 2006 Non-Employee Director Stock Option Agreement (incorporated herein by reference to Exhibit 4.4 of the Company’s Registration Statement No. 333-138556 on Form S-8 filed November 9, 2006)</w:t>
      </w:r>
    </w:p>
    <w:p>
      <w:pPr>
        <w:spacing w:after="0" w:line="170" w:lineRule="exact"/>
        <w:rPr>
          <w:sz w:val="20"/>
          <w:szCs w:val="20"/>
          <w:color w:val="auto"/>
        </w:rPr>
      </w:pPr>
    </w:p>
    <w:p>
      <w:pPr>
        <w:jc w:val="both"/>
        <w:ind w:left="1160" w:hanging="985"/>
        <w:spacing w:after="0" w:line="277"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Rush Enterprises, Inc. 2006 Non-Employee Director Stock Plan Restricted Stock Unit Award Agreement (incorporated herein by reference to Exhibit 10.1 of the Company’s Form 10-Q (File No. 000-20797) for the quarter ended June 30, 2012)</w:t>
      </w:r>
    </w:p>
    <w:p>
      <w:pPr>
        <w:spacing w:after="0" w:line="170" w:lineRule="exact"/>
        <w:rPr>
          <w:sz w:val="20"/>
          <w:szCs w:val="20"/>
          <w:color w:val="auto"/>
        </w:rPr>
      </w:pPr>
    </w:p>
    <w:p>
      <w:pPr>
        <w:jc w:val="both"/>
        <w:ind w:left="1160" w:hanging="985"/>
        <w:spacing w:after="0" w:line="277"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Rush Enterprises, Inc. Amended and Restated 2007 Long-Term Incentive Plan (incorporated herein by reference to Exhibit 10.1 of the Company’s Current Report on Form 8-K (File No. 000-20797) filed July 24, 2014)</w:t>
      </w:r>
    </w:p>
    <w:p>
      <w:pPr>
        <w:spacing w:after="0" w:line="170"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Rush Enterprises, Inc. 2007 Long-Term Incentive Plan Restricted Stock Unit Agreement (incorporated herein by reference to Exhibit</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10.1 of the Company’s Current Report on Form 8-K (File No. 000-20797) filed March 14, 2012)</w:t>
      </w:r>
    </w:p>
    <w:p>
      <w:pPr>
        <w:spacing w:after="0" w:line="211" w:lineRule="exact"/>
        <w:rPr>
          <w:sz w:val="20"/>
          <w:szCs w:val="20"/>
          <w:color w:val="auto"/>
        </w:rPr>
      </w:pPr>
    </w:p>
    <w:p>
      <w:pPr>
        <w:jc w:val="both"/>
        <w:ind w:left="1160" w:hanging="985"/>
        <w:spacing w:after="0" w:line="277"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Rush Enterprises, Inc. 2007 Long-Term Incentive Plan Stock Option Agreement (incorporated herein by reference to Exhibit 4.4 of the Company’s Form S-8 (File No. 333-144821) filed July 24, 2007)</w:t>
      </w:r>
    </w:p>
    <w:p>
      <w:pPr>
        <w:spacing w:after="0" w:line="170" w:lineRule="exact"/>
        <w:rPr>
          <w:sz w:val="20"/>
          <w:szCs w:val="20"/>
          <w:color w:val="auto"/>
        </w:rPr>
      </w:pPr>
    </w:p>
    <w:p>
      <w:pPr>
        <w:jc w:val="both"/>
        <w:ind w:left="1160" w:hanging="985"/>
        <w:spacing w:after="0" w:line="277"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dealer agreement between Peterbilt Motors Company and Rush Truck Centers (incorporated herein by reference to Exhibit 10.18 of the Company’s Form 10-K (File No. 000-20797) for the year ended December 31, 1999)</w:t>
      </w:r>
    </w:p>
    <w:p>
      <w:pPr>
        <w:spacing w:after="0" w:line="170" w:lineRule="exact"/>
        <w:rPr>
          <w:sz w:val="20"/>
          <w:szCs w:val="20"/>
          <w:color w:val="auto"/>
        </w:rPr>
      </w:pPr>
    </w:p>
    <w:p>
      <w:pPr>
        <w:jc w:val="both"/>
        <w:ind w:left="1160" w:hanging="985"/>
        <w:spacing w:after="0" w:line="286"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Amended and Restated Amendment to Dealer Sales and Service Agreements, dated December 19, 2012, by and among Peterbilt Motors Company, a division of PACCAR, Inc., Rush Enterprises, Inc. and the subsidiaries of Rush Enterprises, Inc. named a party therein (incorporated herein by reference to Exhibit 10.1 of the Company's Form 8-K (File No. 000-20797) filed December 20, 2012)</w:t>
      </w:r>
    </w:p>
    <w:p>
      <w:pPr>
        <w:spacing w:after="0" w:line="166" w:lineRule="exact"/>
        <w:rPr>
          <w:sz w:val="20"/>
          <w:szCs w:val="20"/>
          <w:color w:val="auto"/>
        </w:rPr>
      </w:pPr>
    </w:p>
    <w:p>
      <w:pPr>
        <w:jc w:val="both"/>
        <w:ind w:left="1160" w:hanging="985"/>
        <w:spacing w:after="0" w:line="264"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Guaranty Agreement, dated December 31, 2010, by Rush Enterprises, Inc. and each other Guarantor party thereto in favor of General Electric Capital Corporation. (incorporated herein by reference to Exhibit 10.2 of the Company’s Current Report on Form 8-K (File No. 000-20797) filed January 6, 2011)</w:t>
      </w:r>
    </w:p>
    <w:p>
      <w:pPr>
        <w:spacing w:after="0" w:line="181" w:lineRule="exact"/>
        <w:rPr>
          <w:sz w:val="20"/>
          <w:szCs w:val="20"/>
          <w:color w:val="auto"/>
        </w:rPr>
      </w:pPr>
    </w:p>
    <w:p>
      <w:pPr>
        <w:jc w:val="both"/>
        <w:ind w:left="1160" w:hanging="985"/>
        <w:spacing w:after="0" w:line="272"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Amended and Restated Credit Agreement, dated January 31, 2012, among Rush Truck Centers of Alabama, Inc., Rush Truck Centers of Arizona, Inc., Rush Truck Centers of California, Inc., Rush Medium Duty Truck Centers of Colorado, Inc., Rush Truck Centers of Colorado, Inc., Rush Truck Centers of Florida, Inc., Rush Truck Centers of Georgia, Inc., Rush Truck Centers of New Mexico, Inc., Rush Truck Centers of Oklahoma, Inc., Rush Truck Centers of Tennessee, Inc., Rush Truck Centers of North Carolina, Inc., Rush Truck Centers of Idaho, Inc., Rush Truck Centers of Utah, Inc., and Rush Truck Centers of Oregon, Inc., Rush Truck Centers of Texas, L.P., Rush Enterprises, Inc., the Lenders party thereto, and General Electric Capital Corporation (incorporated herein by reference to Exhibit 10.1 of the Company’s Current Report on Form 8-K (File No. 000-20797) filed February 2, 2012)</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left="1160" w:hanging="985"/>
        <w:spacing w:after="0" w:line="272"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First Amendment to Credit Agreement, dated March 29, 2012, by and among Rush Truck Centers of Alabama, Inc., Rush Truck Centers of Arizona, Inc., Rush Truck Centers of California, Inc., Rush Medium Duty Truck Centers of Colorado, Inc., Rush Truck Centers of Colorado, Inc., Rush Truck Centers of Florida, Inc., Rush Truck Centers of Georgia, Inc., Rush Truck Centers of New Mexico, Inc., Rush Truck Centers of Oklahoma, Inc., Rush Truck Centers of Tennessee, Inc., Rush Truck Centers of North Carolina, Inc., Rush Truck Centers of Idaho, Inc., Rush Truck Centers of Utah, Inc., and Rush Truck Centers of Oregon, Inc., Rush Truck Centers of Texas, L.P., Rush Enterprises, Inc., the Lenders party thereto, and General Electric Capital Corporation (incorporated herein by reference to Exhibit 10.3 of the Company’s Form 10-Q (File No. 000-20797) for the quarter ended March 31, 2012)</w:t>
      </w:r>
    </w:p>
    <w:p>
      <w:pPr>
        <w:spacing w:after="0" w:line="178" w:lineRule="exact"/>
        <w:rPr>
          <w:sz w:val="20"/>
          <w:szCs w:val="20"/>
          <w:color w:val="auto"/>
        </w:rPr>
      </w:pPr>
    </w:p>
    <w:p>
      <w:pPr>
        <w:jc w:val="both"/>
        <w:ind w:left="1160" w:hanging="985"/>
        <w:spacing w:after="0" w:line="291"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Second Amendment to Credit Agreement, dated December 31, 2012, among Rush Truck Centers of Alabama, Inc., Rush Truck Centers of Arizona, Inc., Rush Truck Centers of California, Inc., Rush Medium Duty Truck Centers of Colorado, Inc., Rush Truck Centers of Colorado, Inc., Rush Truck Centers of Florida, Inc., Rush Truck Centers of Georgia, Inc., Rush Truck Centers of New Mexico, Inc., Rush Truck Centers of Oklahoma, Inc., Rush Truck Centers of Tennessee, Inc., Rush Truck Centers of North Carolina, Inc., Rush Truck Centers of Idaho, Inc., Rush Truck Centers of Utah, Inc., and Rush Truck Centers of Oregon, Inc., Rush Truck Centers of Texas, L.P., Rush Truck Centers of Ohio, Inc., Rush Enterprises, Inc., the Lenders party thereto, and General Electric Capital Corporation (incorporated herein by reference to Exhibit 10.1 of the Company’s Current Report on Form 8-K (File No. 000-20797) filed January 3, 2013)</w:t>
      </w:r>
    </w:p>
    <w:p>
      <w:pPr>
        <w:spacing w:after="0" w:line="167" w:lineRule="exact"/>
        <w:rPr>
          <w:sz w:val="20"/>
          <w:szCs w:val="20"/>
          <w:color w:val="auto"/>
        </w:rPr>
      </w:pPr>
    </w:p>
    <w:p>
      <w:pPr>
        <w:jc w:val="both"/>
        <w:ind w:left="1160" w:hanging="985"/>
        <w:spacing w:after="0" w:line="254"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Third Amendment to Credit Agreement, dated July 11, 2013, among Rush Truck Centers of Alabama, Inc., Rush Truck Centers of Arizona, Inc., Rush Truck Centers of California, Inc., Rush Medium Duty Truck Centers of Colorado, Inc., Rush Truck Centers of Colorado, Inc., Rush Truck Centers of Florida, Inc., Rush Truck Centers of Georgia, Inc., Rush Truck Centers of New Mexico, Inc., Rush Truck Centers of Oklahoma, Inc., Rush Truck Centers of Tennessee, Inc., Rush Truck Centers of North Carolina, Inc., Rush Truck Centers of Idaho, Inc., Rush Truck Centers of Utah, Inc., Rush Truck Centers of Oregon, Inc., Rush Truck Centers of Ohio, Inc., Rush Truck Centers of Kansas, Inc., Rush Truck Centers of Missouri, Inc., Rush Truck Centers of Texas, L.P., Rush Enterprises, Inc., the Lenders party thereto, and GE Capital Commercial Inc. (incorporated herein by reference to Exhibit 10.1 of the Company’s Current Report on Form 8-K (File No. 000-20797) filed July 16, 2013)</w:t>
      </w:r>
    </w:p>
    <w:p>
      <w:pPr>
        <w:spacing w:after="0" w:line="192" w:lineRule="exact"/>
        <w:rPr>
          <w:sz w:val="20"/>
          <w:szCs w:val="20"/>
          <w:color w:val="auto"/>
        </w:rPr>
      </w:pPr>
    </w:p>
    <w:p>
      <w:pPr>
        <w:jc w:val="both"/>
        <w:ind w:left="1160" w:hanging="985"/>
        <w:spacing w:after="0" w:line="264"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Fourth Amendment to Credit Agreement, dated as of June 30, 2015 by and among the Company, the Lenders signatory thereto and GE Capital Commercial Inc., as Administrative Agent for the Lenders (incorporated herein by reference to Exhibit 10.01 on the Company’s Current Report on Form 8-K (File No. 000-20797 filed July 7, 2015)</w:t>
      </w:r>
    </w:p>
    <w:p>
      <w:pPr>
        <w:spacing w:after="0" w:line="181" w:lineRule="exact"/>
        <w:rPr>
          <w:sz w:val="20"/>
          <w:szCs w:val="20"/>
          <w:color w:val="auto"/>
        </w:rPr>
      </w:pPr>
    </w:p>
    <w:p>
      <w:pPr>
        <w:jc w:val="both"/>
        <w:ind w:left="1160" w:hanging="985"/>
        <w:spacing w:after="0" w:line="264"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Second Amended and Restated Credit Agreement, dated as of September 15, 2015 by and among the Company, the Lenders signatory thereto and GE Capital Commercial Inc., as Administrative Agent for the Lenders (incorporated herein by reference to Exhibit 10.1 on the Company’s Current Report on Form 8-K (File No. 000-20797) filed September 21, 2015)</w:t>
      </w:r>
    </w:p>
    <w:p>
      <w:pPr>
        <w:spacing w:after="0" w:line="181" w:lineRule="exact"/>
        <w:rPr>
          <w:sz w:val="20"/>
          <w:szCs w:val="20"/>
          <w:color w:val="auto"/>
        </w:rPr>
      </w:pPr>
    </w:p>
    <w:p>
      <w:pPr>
        <w:jc w:val="both"/>
        <w:ind w:left="1160" w:hanging="985"/>
        <w:spacing w:after="0" w:line="264"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Third Amended and Restated Credit Agreement, dated as of July 7, 2016 by and among the Company, the Lenders signatory thereto and BMO Harris Bank N.A., as Administrative Agent and Collateral Agent (incorporated herein by reference to Exhibit 10.1 of the Company’s Current Report on Form 8-K (File No. 000-20797) filed July 8, 2016)</w:t>
      </w:r>
    </w:p>
    <w:p>
      <w:pPr>
        <w:spacing w:after="0" w:line="181" w:lineRule="exact"/>
        <w:rPr>
          <w:sz w:val="20"/>
          <w:szCs w:val="20"/>
          <w:color w:val="auto"/>
        </w:rPr>
      </w:pPr>
    </w:p>
    <w:p>
      <w:pPr>
        <w:jc w:val="both"/>
        <w:ind w:left="1160" w:right="20" w:hanging="985"/>
        <w:spacing w:after="0" w:line="342"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Letter from BMO Harris Bank N.A. to Company dated December 4, 2015 Providing Notice of Account Information and Address Changes (incorporated herein by reference to Exhibit 10.24 of the Company’s Form 10-K (File No. 000-20797) for the year ended December 31, 2015)</w:t>
      </w:r>
    </w:p>
    <w:p>
      <w:pPr>
        <w:spacing w:after="0" w:line="124" w:lineRule="exact"/>
        <w:rPr>
          <w:sz w:val="20"/>
          <w:szCs w:val="20"/>
          <w:color w:val="auto"/>
        </w:rPr>
      </w:pPr>
    </w:p>
    <w:p>
      <w:pPr>
        <w:jc w:val="both"/>
        <w:ind w:left="1160" w:hanging="985"/>
        <w:spacing w:after="0" w:line="277"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Rush Enterprises, Inc. Deferred Compensation Plan (incorporated herein by reference to Exhibit 10.1 of the Company’s Current Report on Form 8-K (File No. 000-20797) filed November 12, 2010)</w:t>
      </w:r>
    </w:p>
    <w:p>
      <w:pPr>
        <w:spacing w:after="0" w:line="170"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Form of Indemnity Agreement (incorporated herein by reference to Exhibit 10.1 of the Company’s Current Report on Form 8-K (File No.</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000-20797) filed January 7, 2015)</w:t>
      </w:r>
    </w:p>
    <w:p>
      <w:pPr>
        <w:spacing w:after="0" w:line="211"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Rush Enterprises, Inc. Executive Transition Plan (incorporated herein by reference to Exhibit 10.1 of the Company’s Current Report on Form</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8-K (File No. 000-20797) filed July 25, 2008)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10.26+</w:t>
            </w:r>
          </w:p>
        </w:tc>
        <w:tc>
          <w:tcPr>
            <w:tcW w:w="10380" w:type="dxa"/>
            <w:vAlign w:val="bottom"/>
          </w:tcPr>
          <w:p>
            <w:pPr>
              <w:ind w:left="120"/>
              <w:spacing w:after="0"/>
              <w:rPr>
                <w:sz w:val="20"/>
                <w:szCs w:val="20"/>
                <w:color w:val="auto"/>
              </w:rPr>
            </w:pPr>
            <w:r>
              <w:rPr>
                <w:rFonts w:ascii="Arial" w:cs="Arial" w:eastAsia="Arial" w:hAnsi="Arial"/>
                <w:sz w:val="18"/>
                <w:szCs w:val="18"/>
                <w:color w:val="auto"/>
                <w:w w:val="95"/>
              </w:rPr>
              <w:t>Retirement and Transition Agreement, dated May 20, 2013, by and between the Company and W. Marvin Rush (incorporated herein by</w:t>
            </w:r>
          </w:p>
        </w:tc>
      </w:tr>
      <w:tr>
        <w:trPr>
          <w:trHeight w:val="230"/>
        </w:trPr>
        <w:tc>
          <w:tcPr>
            <w:tcW w:w="860" w:type="dxa"/>
            <w:vAlign w:val="bottom"/>
          </w:tcPr>
          <w:p>
            <w:pPr>
              <w:spacing w:after="0"/>
              <w:rPr>
                <w:sz w:val="20"/>
                <w:szCs w:val="20"/>
                <w:color w:val="auto"/>
              </w:rPr>
            </w:pPr>
          </w:p>
        </w:tc>
        <w:tc>
          <w:tcPr>
            <w:tcW w:w="10380" w:type="dxa"/>
            <w:vAlign w:val="bottom"/>
          </w:tcPr>
          <w:p>
            <w:pPr>
              <w:ind w:left="120"/>
              <w:spacing w:after="0"/>
              <w:rPr>
                <w:sz w:val="20"/>
                <w:szCs w:val="20"/>
                <w:color w:val="auto"/>
              </w:rPr>
            </w:pPr>
            <w:r>
              <w:rPr>
                <w:rFonts w:ascii="Arial" w:cs="Arial" w:eastAsia="Arial" w:hAnsi="Arial"/>
                <w:sz w:val="18"/>
                <w:szCs w:val="18"/>
                <w:color w:val="auto"/>
              </w:rPr>
              <w:t>reference to Exhibit 10.1 of the Company’s Current Report on Form 8-K (File No. 000-20797) filed May 21, 2013)</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10380" w:type="dxa"/>
            <w:vAlign w:val="bottom"/>
          </w:tcPr>
          <w:p>
            <w:pPr>
              <w:ind w:left="12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tcPr>
          <w:p>
            <w:pPr>
              <w:ind w:left="12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120"/>
              <w:spacing w:after="0"/>
              <w:rPr>
                <w:sz w:val="20"/>
                <w:szCs w:val="20"/>
                <w:color w:val="auto"/>
              </w:rPr>
            </w:pPr>
            <w:r>
              <w:rPr>
                <w:rFonts w:ascii="Arial" w:cs="Arial" w:eastAsia="Arial" w:hAnsi="Arial"/>
                <w:sz w:val="18"/>
                <w:szCs w:val="18"/>
                <w:color w:val="auto"/>
                <w:w w:val="92"/>
              </w:rPr>
              <w:t>Certification of President and Chief Executive Officer pursuant to Rules 13a-14(a) and 15d-14(a), as adopted pursuant to Section 302 of the</w:t>
            </w:r>
          </w:p>
        </w:tc>
      </w:tr>
      <w:tr>
        <w:trPr>
          <w:trHeight w:val="230"/>
        </w:trPr>
        <w:tc>
          <w:tcPr>
            <w:tcW w:w="860" w:type="dxa"/>
            <w:vAlign w:val="bottom"/>
          </w:tcPr>
          <w:p>
            <w:pPr>
              <w:spacing w:after="0"/>
              <w:rPr>
                <w:sz w:val="20"/>
                <w:szCs w:val="20"/>
                <w:color w:val="auto"/>
              </w:rPr>
            </w:pPr>
          </w:p>
        </w:tc>
        <w:tc>
          <w:tcPr>
            <w:tcW w:w="10380" w:type="dxa"/>
            <w:vAlign w:val="bottom"/>
          </w:tcPr>
          <w:p>
            <w:pPr>
              <w:ind w:left="120"/>
              <w:spacing w:after="0"/>
              <w:rPr>
                <w:sz w:val="20"/>
                <w:szCs w:val="20"/>
                <w:color w:val="auto"/>
              </w:rPr>
            </w:pPr>
            <w:r>
              <w:rPr>
                <w:rFonts w:ascii="Arial" w:cs="Arial" w:eastAsia="Arial" w:hAnsi="Arial"/>
                <w:sz w:val="18"/>
                <w:szCs w:val="18"/>
                <w:color w:val="auto"/>
              </w:rPr>
              <w:t>Sarbanes-Oxley Act of 2002</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120"/>
              <w:spacing w:after="0"/>
              <w:rPr>
                <w:sz w:val="20"/>
                <w:szCs w:val="20"/>
                <w:color w:val="auto"/>
              </w:rPr>
            </w:pPr>
            <w:r>
              <w:rPr>
                <w:rFonts w:ascii="Arial" w:cs="Arial" w:eastAsia="Arial" w:hAnsi="Arial"/>
                <w:sz w:val="18"/>
                <w:szCs w:val="18"/>
                <w:color w:val="auto"/>
                <w:w w:val="91"/>
              </w:rPr>
              <w:t>Certification of Vice President and Chief Financial Officer pursuant to Rules 13a-14(a) and 15d-14(a), as adopted pursuant to Section 302 of</w:t>
            </w:r>
          </w:p>
        </w:tc>
      </w:tr>
      <w:tr>
        <w:trPr>
          <w:trHeight w:val="230"/>
        </w:trPr>
        <w:tc>
          <w:tcPr>
            <w:tcW w:w="860" w:type="dxa"/>
            <w:vAlign w:val="bottom"/>
          </w:tcPr>
          <w:p>
            <w:pPr>
              <w:spacing w:after="0"/>
              <w:rPr>
                <w:sz w:val="20"/>
                <w:szCs w:val="20"/>
                <w:color w:val="auto"/>
              </w:rPr>
            </w:pPr>
          </w:p>
        </w:tc>
        <w:tc>
          <w:tcPr>
            <w:tcW w:w="10380" w:type="dxa"/>
            <w:vAlign w:val="bottom"/>
          </w:tcPr>
          <w:p>
            <w:pPr>
              <w:ind w:left="120"/>
              <w:spacing w:after="0"/>
              <w:rPr>
                <w:sz w:val="20"/>
                <w:szCs w:val="20"/>
                <w:color w:val="auto"/>
              </w:rPr>
            </w:pPr>
            <w:r>
              <w:rPr>
                <w:rFonts w:ascii="Arial" w:cs="Arial" w:eastAsia="Arial" w:hAnsi="Arial"/>
                <w:sz w:val="18"/>
                <w:szCs w:val="18"/>
                <w:color w:val="auto"/>
              </w:rPr>
              <w:t>the Sarbanes-Oxley Act of 2002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1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1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660" w:right="100" w:hanging="652"/>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RUSH ENTERPRISES, INC.</w:t>
            </w:r>
          </w:p>
        </w:tc>
        <w:tc>
          <w:tcPr>
            <w:tcW w:w="2420" w:type="dxa"/>
            <w:vAlign w:val="bottom"/>
          </w:tcPr>
          <w:p>
            <w:pPr>
              <w:spacing w:after="0"/>
              <w:rPr>
                <w:sz w:val="20"/>
                <w:szCs w:val="20"/>
                <w:color w:val="auto"/>
              </w:rPr>
            </w:pPr>
          </w:p>
        </w:tc>
      </w:tr>
      <w:tr>
        <w:trPr>
          <w:trHeight w:val="608"/>
        </w:trPr>
        <w:tc>
          <w:tcPr>
            <w:tcW w:w="5900" w:type="dxa"/>
            <w:vAlign w:val="bottom"/>
            <w:gridSpan w:val="3"/>
          </w:tcPr>
          <w:p>
            <w:pPr>
              <w:spacing w:after="0"/>
              <w:rPr>
                <w:sz w:val="20"/>
                <w:szCs w:val="20"/>
                <w:color w:val="auto"/>
              </w:rPr>
            </w:pPr>
            <w:r>
              <w:rPr>
                <w:rFonts w:ascii="Arial" w:cs="Arial" w:eastAsia="Arial" w:hAnsi="Arial"/>
                <w:sz w:val="18"/>
                <w:szCs w:val="18"/>
                <w:color w:val="auto"/>
              </w:rPr>
              <w:t>By:   /s/  W. M.”RUSTY” RUSH</w:t>
            </w:r>
          </w:p>
        </w:tc>
        <w:tc>
          <w:tcPr>
            <w:tcW w:w="2420" w:type="dxa"/>
            <w:vAlign w:val="bottom"/>
          </w:tcPr>
          <w:p>
            <w:pPr>
              <w:ind w:left="940"/>
              <w:spacing w:after="0"/>
              <w:rPr>
                <w:sz w:val="20"/>
                <w:szCs w:val="20"/>
                <w:color w:val="auto"/>
              </w:rPr>
            </w:pPr>
            <w:r>
              <w:rPr>
                <w:rFonts w:ascii="Arial" w:cs="Arial" w:eastAsia="Arial" w:hAnsi="Arial"/>
                <w:sz w:val="18"/>
                <w:szCs w:val="18"/>
                <w:color w:val="auto"/>
                <w:w w:val="89"/>
              </w:rPr>
              <w:t>Date: March 1, 2017</w:t>
            </w:r>
          </w:p>
        </w:tc>
      </w:tr>
      <w:tr>
        <w:trPr>
          <w:trHeight w:val="222"/>
        </w:trPr>
        <w:tc>
          <w:tcPr>
            <w:tcW w:w="300" w:type="dxa"/>
            <w:vAlign w:val="bottom"/>
          </w:tcPr>
          <w:p>
            <w:pPr>
              <w:spacing w:after="0"/>
              <w:rPr>
                <w:sz w:val="19"/>
                <w:szCs w:val="19"/>
                <w:color w:val="auto"/>
              </w:rPr>
            </w:pPr>
          </w:p>
        </w:tc>
        <w:tc>
          <w:tcPr>
            <w:tcW w:w="2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 M. “Rusty” Rush</w:t>
            </w:r>
          </w:p>
        </w:tc>
        <w:tc>
          <w:tcPr>
            <w:tcW w:w="326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0"/>
        </w:trPr>
        <w:tc>
          <w:tcPr>
            <w:tcW w:w="300" w:type="dxa"/>
            <w:vAlign w:val="bottom"/>
          </w:tcPr>
          <w:p>
            <w:pPr>
              <w:spacing w:after="0"/>
              <w:rPr>
                <w:sz w:val="20"/>
                <w:szCs w:val="20"/>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President, Chief Executive Officer and Chairman of the Board</w:t>
            </w:r>
          </w:p>
        </w:tc>
        <w:tc>
          <w:tcPr>
            <w:tcW w:w="2420" w:type="dxa"/>
            <w:vAlign w:val="bottom"/>
          </w:tcPr>
          <w:p>
            <w:pPr>
              <w:spacing w:after="0"/>
              <w:rPr>
                <w:sz w:val="20"/>
                <w:szCs w:val="20"/>
                <w:color w:val="auto"/>
              </w:rPr>
            </w:pPr>
          </w:p>
        </w:tc>
      </w:tr>
    </w:tbl>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1560" w:type="dxa"/>
            <w:vAlign w:val="bottom"/>
            <w:gridSpan w:val="8"/>
          </w:tcPr>
          <w:p>
            <w:pPr>
              <w:spacing w:after="0"/>
              <w:rPr>
                <w:sz w:val="20"/>
                <w:szCs w:val="20"/>
                <w:color w:val="auto"/>
              </w:rPr>
            </w:pPr>
            <w:r>
              <w:rPr>
                <w:rFonts w:ascii="Arial" w:cs="Arial" w:eastAsia="Arial" w:hAnsi="Arial"/>
                <w:sz w:val="18"/>
                <w:szCs w:val="18"/>
                <w:color w:val="auto"/>
              </w:rPr>
              <w:t>Signature</w:t>
            </w:r>
          </w:p>
        </w:tc>
        <w:tc>
          <w:tcPr>
            <w:tcW w:w="5580" w:type="dxa"/>
            <w:vAlign w:val="bottom"/>
            <w:gridSpan w:val="3"/>
          </w:tcPr>
          <w:p>
            <w:pPr>
              <w:ind w:left="2460"/>
              <w:spacing w:after="0"/>
              <w:rPr>
                <w:sz w:val="20"/>
                <w:szCs w:val="20"/>
                <w:color w:val="auto"/>
              </w:rPr>
            </w:pPr>
            <w:r>
              <w:rPr>
                <w:rFonts w:ascii="Arial" w:cs="Arial" w:eastAsia="Arial" w:hAnsi="Arial"/>
                <w:sz w:val="18"/>
                <w:szCs w:val="18"/>
                <w:color w:val="auto"/>
              </w:rPr>
              <w:t>Capacity</w:t>
            </w:r>
          </w:p>
        </w:tc>
        <w:tc>
          <w:tcPr>
            <w:tcW w:w="1920" w:type="dxa"/>
            <w:vAlign w:val="bottom"/>
            <w:gridSpan w:val="2"/>
          </w:tcPr>
          <w:p>
            <w:pPr>
              <w:ind w:left="1580"/>
              <w:spacing w:after="0"/>
              <w:rPr>
                <w:sz w:val="20"/>
                <w:szCs w:val="20"/>
                <w:color w:val="auto"/>
              </w:rPr>
            </w:pPr>
            <w:r>
              <w:rPr>
                <w:rFonts w:ascii="Arial" w:cs="Arial" w:eastAsia="Arial" w:hAnsi="Arial"/>
                <w:sz w:val="18"/>
                <w:szCs w:val="18"/>
                <w:color w:val="auto"/>
                <w:w w:val="84"/>
              </w:rPr>
              <w:t>Date</w:t>
            </w: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12"/>
        </w:trPr>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/s/ W. M. “RUSTY” RUSH</w:t>
            </w:r>
          </w:p>
        </w:tc>
        <w:tc>
          <w:tcPr>
            <w:tcW w:w="880" w:type="dxa"/>
            <w:vAlign w:val="bottom"/>
            <w:gridSpan w:val="4"/>
          </w:tcPr>
          <w:p>
            <w:pPr>
              <w:spacing w:after="0"/>
              <w:rPr>
                <w:sz w:val="24"/>
                <w:szCs w:val="24"/>
                <w:color w:val="auto"/>
              </w:rPr>
            </w:pP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President, Chief Executive Officer and Chairman of the Board</w:t>
            </w: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March 1, 2017</w:t>
            </w:r>
          </w:p>
        </w:tc>
      </w:tr>
      <w:tr>
        <w:trPr>
          <w:trHeight w:val="237"/>
        </w:trPr>
        <w:tc>
          <w:tcPr>
            <w:tcW w:w="2940" w:type="dxa"/>
            <w:vAlign w:val="bottom"/>
            <w:gridSpan w:val="9"/>
          </w:tcPr>
          <w:p>
            <w:pPr>
              <w:ind w:left="40"/>
              <w:spacing w:after="0"/>
              <w:rPr>
                <w:sz w:val="20"/>
                <w:szCs w:val="20"/>
                <w:color w:val="auto"/>
              </w:rPr>
            </w:pPr>
            <w:r>
              <w:rPr>
                <w:rFonts w:ascii="Arial" w:cs="Arial" w:eastAsia="Arial" w:hAnsi="Arial"/>
                <w:sz w:val="18"/>
                <w:szCs w:val="18"/>
                <w:color w:val="auto"/>
              </w:rPr>
              <w:t>W. M. “Rusty” Rush</w:t>
            </w: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(Principal Executive Officer)</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8"/>
        </w:trPr>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STEVEN L. KELLER</w:t>
            </w:r>
          </w:p>
        </w:tc>
        <w:tc>
          <w:tcPr>
            <w:tcW w:w="860" w:type="dxa"/>
            <w:vAlign w:val="bottom"/>
            <w:gridSpan w:val="3"/>
          </w:tcPr>
          <w:p>
            <w:pPr>
              <w:spacing w:after="0"/>
              <w:rPr>
                <w:sz w:val="24"/>
                <w:szCs w:val="24"/>
                <w:color w:val="auto"/>
              </w:rPr>
            </w:pP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Senior Vice President, Chief Financial Officer and Treasurer</w:t>
            </w: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March 1, 2017</w:t>
            </w:r>
          </w:p>
        </w:tc>
      </w:tr>
      <w:tr>
        <w:trPr>
          <w:trHeight w:val="237"/>
        </w:trPr>
        <w:tc>
          <w:tcPr>
            <w:tcW w:w="2940" w:type="dxa"/>
            <w:vAlign w:val="bottom"/>
            <w:gridSpan w:val="9"/>
          </w:tcPr>
          <w:p>
            <w:pPr>
              <w:spacing w:after="0"/>
              <w:rPr>
                <w:sz w:val="20"/>
                <w:szCs w:val="20"/>
                <w:color w:val="auto"/>
              </w:rPr>
            </w:pPr>
            <w:r>
              <w:rPr>
                <w:rFonts w:ascii="Arial" w:cs="Arial" w:eastAsia="Arial" w:hAnsi="Arial"/>
                <w:sz w:val="18"/>
                <w:szCs w:val="18"/>
                <w:color w:val="auto"/>
              </w:rPr>
              <w:t>Steven L. Keller</w:t>
            </w: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(Principal Financial and Accounting Officer)</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8"/>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THOMAS A. AKIN</w:t>
            </w:r>
          </w:p>
        </w:tc>
        <w:tc>
          <w:tcPr>
            <w:tcW w:w="1240" w:type="dxa"/>
            <w:vAlign w:val="bottom"/>
            <w:gridSpan w:val="7"/>
          </w:tcPr>
          <w:p>
            <w:pPr>
              <w:spacing w:after="0"/>
              <w:rPr>
                <w:sz w:val="24"/>
                <w:szCs w:val="24"/>
                <w:color w:val="auto"/>
              </w:rPr>
            </w:pP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March 1, 2017</w:t>
            </w:r>
          </w:p>
        </w:tc>
      </w:tr>
      <w:tr>
        <w:trPr>
          <w:trHeight w:val="237"/>
        </w:trPr>
        <w:tc>
          <w:tcPr>
            <w:tcW w:w="2940" w:type="dxa"/>
            <w:vAlign w:val="bottom"/>
            <w:gridSpan w:val="9"/>
          </w:tcPr>
          <w:p>
            <w:pPr>
              <w:ind w:left="60"/>
              <w:spacing w:after="0"/>
              <w:rPr>
                <w:sz w:val="20"/>
                <w:szCs w:val="20"/>
                <w:color w:val="auto"/>
              </w:rPr>
            </w:pPr>
            <w:r>
              <w:rPr>
                <w:rFonts w:ascii="Arial" w:cs="Arial" w:eastAsia="Arial" w:hAnsi="Arial"/>
                <w:sz w:val="18"/>
                <w:szCs w:val="18"/>
                <w:color w:val="auto"/>
              </w:rPr>
              <w:t>Thomas A. Akin</w:t>
            </w:r>
          </w:p>
        </w:tc>
        <w:tc>
          <w:tcPr>
            <w:tcW w:w="2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8"/>
        </w:trPr>
        <w:tc>
          <w:tcPr>
            <w:tcW w:w="22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/s/ JAMES C. UNDERWOOD</w:t>
            </w:r>
          </w:p>
        </w:tc>
        <w:tc>
          <w:tcPr>
            <w:tcW w:w="720" w:type="dxa"/>
            <w:vAlign w:val="bottom"/>
            <w:gridSpan w:val="2"/>
          </w:tcPr>
          <w:p>
            <w:pPr>
              <w:spacing w:after="0"/>
              <w:rPr>
                <w:sz w:val="24"/>
                <w:szCs w:val="24"/>
                <w:color w:val="auto"/>
              </w:rPr>
            </w:pP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March 1, 2017</w:t>
            </w:r>
          </w:p>
        </w:tc>
      </w:tr>
      <w:tr>
        <w:trPr>
          <w:trHeight w:val="237"/>
        </w:trPr>
        <w:tc>
          <w:tcPr>
            <w:tcW w:w="2940" w:type="dxa"/>
            <w:vAlign w:val="bottom"/>
            <w:gridSpan w:val="9"/>
          </w:tcPr>
          <w:p>
            <w:pPr>
              <w:spacing w:after="0"/>
              <w:rPr>
                <w:sz w:val="20"/>
                <w:szCs w:val="20"/>
                <w:color w:val="auto"/>
              </w:rPr>
            </w:pPr>
            <w:r>
              <w:rPr>
                <w:rFonts w:ascii="Arial" w:cs="Arial" w:eastAsia="Arial" w:hAnsi="Arial"/>
                <w:sz w:val="18"/>
                <w:szCs w:val="18"/>
                <w:color w:val="auto"/>
              </w:rPr>
              <w:t>James C. Underwood</w:t>
            </w:r>
          </w:p>
        </w:tc>
        <w:tc>
          <w:tcPr>
            <w:tcW w:w="2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8"/>
        </w:trPr>
        <w:tc>
          <w:tcPr>
            <w:tcW w:w="2940" w:type="dxa"/>
            <w:vAlign w:val="bottom"/>
            <w:gridSpan w:val="9"/>
          </w:tcPr>
          <w:p>
            <w:pPr>
              <w:spacing w:after="0"/>
              <w:rPr>
                <w:sz w:val="20"/>
                <w:szCs w:val="20"/>
                <w:color w:val="auto"/>
              </w:rPr>
            </w:pPr>
            <w:r>
              <w:rPr>
                <w:rFonts w:ascii="Arial" w:cs="Arial" w:eastAsia="Arial" w:hAnsi="Arial"/>
                <w:sz w:val="18"/>
                <w:szCs w:val="18"/>
                <w:color w:val="auto"/>
              </w:rPr>
              <w:t>/s/ RAYMOND J. CHESS</w:t>
            </w: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March 1, 2017</w:t>
            </w:r>
          </w:p>
        </w:tc>
      </w:tr>
      <w:tr>
        <w:trPr>
          <w:trHeight w:val="237"/>
        </w:trPr>
        <w:tc>
          <w:tcPr>
            <w:tcW w:w="19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Raymond J. Chess</w:t>
            </w:r>
          </w:p>
        </w:tc>
        <w:tc>
          <w:tcPr>
            <w:tcW w:w="1040" w:type="dxa"/>
            <w:vAlign w:val="bottom"/>
            <w:gridSpan w:val="5"/>
          </w:tcPr>
          <w:p>
            <w:pPr>
              <w:spacing w:after="0"/>
              <w:rPr>
                <w:sz w:val="20"/>
                <w:szCs w:val="20"/>
                <w:color w:val="auto"/>
              </w:rPr>
            </w:pPr>
          </w:p>
        </w:tc>
        <w:tc>
          <w:tcPr>
            <w:tcW w:w="2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8"/>
        </w:trPr>
        <w:tc>
          <w:tcPr>
            <w:tcW w:w="24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7"/>
              </w:rPr>
              <w:t>/s/ DR. KENNON GUGLIELMO</w:t>
            </w:r>
          </w:p>
        </w:tc>
        <w:tc>
          <w:tcPr>
            <w:tcW w:w="500" w:type="dxa"/>
            <w:vAlign w:val="bottom"/>
          </w:tcPr>
          <w:p>
            <w:pPr>
              <w:spacing w:after="0"/>
              <w:rPr>
                <w:sz w:val="24"/>
                <w:szCs w:val="24"/>
                <w:color w:val="auto"/>
              </w:rPr>
            </w:pP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March 1, 2017</w:t>
            </w:r>
          </w:p>
        </w:tc>
      </w:tr>
      <w:tr>
        <w:trPr>
          <w:trHeight w:val="237"/>
        </w:trPr>
        <w:tc>
          <w:tcPr>
            <w:tcW w:w="2940" w:type="dxa"/>
            <w:vAlign w:val="bottom"/>
            <w:gridSpan w:val="9"/>
          </w:tcPr>
          <w:p>
            <w:pPr>
              <w:spacing w:after="0"/>
              <w:rPr>
                <w:sz w:val="20"/>
                <w:szCs w:val="20"/>
                <w:color w:val="auto"/>
              </w:rPr>
            </w:pPr>
            <w:r>
              <w:rPr>
                <w:rFonts w:ascii="Arial" w:cs="Arial" w:eastAsia="Arial" w:hAnsi="Arial"/>
                <w:sz w:val="18"/>
                <w:szCs w:val="18"/>
                <w:color w:val="auto"/>
              </w:rPr>
              <w:t>Dr. Kennon Guglielmo</w:t>
            </w:r>
          </w:p>
        </w:tc>
        <w:tc>
          <w:tcPr>
            <w:tcW w:w="2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8"/>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 WILLIAM H. CARY</w:t>
            </w:r>
          </w:p>
        </w:tc>
        <w:tc>
          <w:tcPr>
            <w:tcW w:w="1160" w:type="dxa"/>
            <w:vAlign w:val="bottom"/>
            <w:gridSpan w:val="6"/>
          </w:tcPr>
          <w:p>
            <w:pPr>
              <w:spacing w:after="0"/>
              <w:rPr>
                <w:sz w:val="24"/>
                <w:szCs w:val="24"/>
                <w:color w:val="auto"/>
              </w:rPr>
            </w:pP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March 1, 2017</w:t>
            </w:r>
          </w:p>
        </w:tc>
      </w:tr>
      <w:tr>
        <w:trPr>
          <w:trHeight w:val="237"/>
        </w:trPr>
        <w:tc>
          <w:tcPr>
            <w:tcW w:w="2940" w:type="dxa"/>
            <w:vAlign w:val="bottom"/>
            <w:gridSpan w:val="9"/>
          </w:tcPr>
          <w:p>
            <w:pPr>
              <w:spacing w:after="0"/>
              <w:rPr>
                <w:sz w:val="20"/>
                <w:szCs w:val="20"/>
                <w:color w:val="auto"/>
              </w:rPr>
            </w:pPr>
            <w:r>
              <w:rPr>
                <w:rFonts w:ascii="Arial" w:cs="Arial" w:eastAsia="Arial" w:hAnsi="Arial"/>
                <w:sz w:val="18"/>
                <w:szCs w:val="18"/>
                <w:color w:val="auto"/>
              </w:rPr>
              <w:t>William H. Cary</w:t>
            </w:r>
          </w:p>
        </w:tc>
        <w:tc>
          <w:tcPr>
            <w:tcW w:w="2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118"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23, 2016)</w:t>
      </w:r>
    </w:p>
    <w:p>
      <w:pPr>
        <w:spacing w:after="0" w:line="211" w:lineRule="exact"/>
        <w:rPr>
          <w:sz w:val="20"/>
          <w:szCs w:val="20"/>
          <w:color w:val="auto"/>
        </w:rPr>
      </w:pPr>
    </w:p>
    <w:p>
      <w:pPr>
        <w:ind w:left="1380" w:hanging="724"/>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Purpose of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the Plan is to advance the interests of Rush Enterprises Inc., a Texas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shareholders by providing employees of the Company and its subsidiaries with an opportunity to acquire an ownership interest in the Company through the purchase of common stock of the Company on favorable terms through payroll deductions. It is the intention of the Company that the Plan qualify as an “employee stock purchase plan” under Section 423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provisions of the Plan shall be construed consistent with such intention.</w:t>
      </w:r>
    </w:p>
    <w:p>
      <w:pPr>
        <w:spacing w:after="0" w:line="188" w:lineRule="exact"/>
        <w:rPr>
          <w:sz w:val="20"/>
          <w:szCs w:val="20"/>
          <w:color w:val="auto"/>
        </w:rPr>
      </w:pPr>
    </w:p>
    <w:p>
      <w:pPr>
        <w:ind w:left="1380" w:hanging="724"/>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will have the meanings set forth below, unless the context clearly otherwise requires:</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party or parties designated by the Company to provide Share Accounts and certain administrative services in connection with the Plan.</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any committee thereof to which the Board of Directors has delegated authority with respect to the Plan.</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par value $.01 per share, of the Company, or the number and kind of shares of stock or other securities into which such common stock may be changed in accordance with Section 11 of the Plan.</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such successor committee that meets the criteria specified in Section 3.</w:t>
      </w:r>
    </w:p>
    <w:p>
      <w:pPr>
        <w:spacing w:after="0" w:line="170"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i w:val="1"/>
          <w:iCs w:val="1"/>
          <w:color w:val="auto"/>
        </w:rPr>
        <w:t>Contribution Account</w:t>
      </w:r>
      <w:r>
        <w:rPr>
          <w:rFonts w:ascii="Arial" w:cs="Arial" w:eastAsia="Arial" w:hAnsi="Arial"/>
          <w:sz w:val="18"/>
          <w:szCs w:val="18"/>
          <w:color w:val="auto"/>
        </w:rPr>
        <w:t>” means an account established for each Participant to which payroll deductions under the Plan are credited in accordance with Section 7.</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who is employed on a full-time or part-time basis by the Company or any of its Subsidiaries.</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Ending Date</w:t>
      </w:r>
      <w:r>
        <w:rPr>
          <w:rFonts w:ascii="Arial" w:cs="Arial" w:eastAsia="Arial" w:hAnsi="Arial"/>
          <w:sz w:val="16"/>
          <w:szCs w:val="16"/>
          <w:color w:val="auto"/>
        </w:rPr>
        <w:t>” means the last day of each Offering Period.</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with respect to the Common Stock, as of any date:</w:t>
      </w:r>
    </w:p>
    <w:p>
      <w:pPr>
        <w:spacing w:after="0" w:line="225" w:lineRule="exact"/>
        <w:rPr>
          <w:sz w:val="20"/>
          <w:szCs w:val="20"/>
          <w:color w:val="auto"/>
        </w:rPr>
      </w:pPr>
    </w:p>
    <w:p>
      <w:pPr>
        <w:ind w:left="2140" w:right="120" w:hanging="498"/>
        <w:spacing w:after="0" w:line="257" w:lineRule="auto"/>
        <w:tabs>
          <w:tab w:leader="none" w:pos="2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the NASDAQ Capital Market of The NASDAQ Stock Market, or the New York Stock Exchange,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 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ind w:left="2160" w:hanging="504"/>
        <w:spacing w:after="0" w:line="277" w:lineRule="auto"/>
        <w:tabs>
          <w:tab w:leader="none" w:pos="2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Stock is not so listed, such price as is determined in the manner specified by the Committee in its sole discretion, such manner to be acceptable under Section 423 of the Code.</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means the first day of each Offering Period.</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Insider</w:t>
      </w:r>
      <w:r>
        <w:rPr>
          <w:rFonts w:ascii="Arial" w:cs="Arial" w:eastAsia="Arial" w:hAnsi="Arial"/>
          <w:sz w:val="16"/>
          <w:szCs w:val="16"/>
          <w:color w:val="auto"/>
        </w:rPr>
        <w:t>” means any Employee who is subject to Section 16 of the Exchange Act.</w:t>
      </w:r>
    </w:p>
    <w:p>
      <w:pPr>
        <w:spacing w:after="0" w:line="225"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means each six-month period beginning on January 1 and ending on June 30, or beginning on July 1 and ending on December 31.</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an eligible Employee who elects to participate in the Plan in accordance with Section 6.</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the Rush Enterprises Inc. 2004 Employee Stock Purchase Plan, as amended from time to time.</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i w:val="1"/>
          <w:iCs w:val="1"/>
          <w:color w:val="auto"/>
        </w:rPr>
        <w:t>Share Account</w:t>
      </w:r>
      <w:r>
        <w:rPr>
          <w:rFonts w:ascii="Arial" w:cs="Arial" w:eastAsia="Arial" w:hAnsi="Arial"/>
          <w:sz w:val="18"/>
          <w:szCs w:val="18"/>
          <w:color w:val="auto"/>
        </w:rPr>
        <w:t>” means the brokerage account established by the Agent for each Participant to which shares of Common Stock purchased under the Plan are credited in accordance with Section 9. The Share Account will be established pursuant to a separate agreement between each Participant and the Agent.</w:t>
      </w:r>
    </w:p>
    <w:p>
      <w:pPr>
        <w:spacing w:after="0" w:line="181"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subsidiary corporation of the Company within the meaning of Section 424(f) of the Code.</w:t>
      </w:r>
    </w:p>
    <w:p>
      <w:pPr>
        <w:spacing w:after="0" w:line="225" w:lineRule="exact"/>
        <w:rPr>
          <w:sz w:val="20"/>
          <w:szCs w:val="20"/>
          <w:color w:val="auto"/>
        </w:rPr>
      </w:pPr>
    </w:p>
    <w:p>
      <w:pPr>
        <w:ind w:left="1380" w:hanging="724"/>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Plan shall be administered by the Committee (or any successor thereto appointed by the Board consisting of not less than three members, all of whom must be members of the Board who are “Non-Employee Directors” as defined in Rule 16b-3 under the Exchange Act). Members of the Committee shall be appointed from time to time by the Board, shall serve at the pleasure of the Board, and may resign at any time upon written notice to the Board. A majority of the members of the Committee shall constitute a quorum. The Committee shall act by majority approval of the members, but action may be taken by the Committee without a meeting if unanimous written consent is given. In accordance with and subject to the provisions of the Plan, the Committee shall have authority to interpret the Plan, to make, amend and rescind rules and regulations regarding the Plan (including rules and regulations intended to insure that operation of the Plan complies with Section 16 of the Exchange Act), and to make all other determinations necessary or advisable in administering the Plan, all of which determinations shall be final and binding upon all persons. No member of the Committee shall be liable for any action or determination made in good faith with respect to the Plan or any option granted under it. To the extent consistent with corporate law, the Committee may delegate to any directors or officers of the Company the duties, power and authority of the Committee under the Plan pursuant to such conditions or limitations as the Committee may establish; provided, however, that only the Committee may exercise such duties, power and authority with respect to Insiders. The Committee may request advice or assistance or retain the services of such other persons as are necessary for the proper administration of the Plan.</w:t>
      </w:r>
    </w:p>
    <w:p>
      <w:pPr>
        <w:spacing w:after="0" w:line="169" w:lineRule="exact"/>
        <w:rPr>
          <w:sz w:val="20"/>
          <w:szCs w:val="20"/>
          <w:color w:val="auto"/>
        </w:rPr>
      </w:pPr>
    </w:p>
    <w:p>
      <w:pPr>
        <w:ind w:left="1380" w:hanging="724"/>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person who is (a) an Employee on the last day of the calendar month immediately preceding a Grant Date, (b) is not on long-term disability or unpaid leave status at that time, and (c) has reached the age of majority in the state or province in which he or she resides shall be eligible to participate in the Plan for the Offering Period beginning on such Grant Date, subject to the limitations imposed by Section 423(b) of the Code.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ind w:left="1420" w:hanging="764"/>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Offering Periods.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Options to purchase shares of Common Stock shall be granted to Participants under the Plan through a series of consecutive Offering Periods. The first Offering Period under the Plan shall have a Grant Date of July 1, 2004 and an Ending Date of December 31, 2004. Offering Periods under the Plan shall continue until either (a) the Committee decides, in its sole discretion, to cancel future Offering Periods because the Common Stock remaining available under the Plan is insufficient to grant options to all eligible Employees, or (b) the Plan is terminated in accordance with Section 17 below. Notwithstanding the foregoing, and without limiting the authority of the Committee under Section 3, 11.2 and 17 of the Plan, the Committee, in its sole discretion, may (a) accelerate the Ending Date of the then current Offering Period and provide for the exercise of Options thereunder by Participants in accordance with Section 9 of the Plan, or (b) accelerate the Ending Date of the then current Offering Period and provide that all payroll deductions credited to the accounts of Participants will be paid to Participants as soon as practicable after such Ending Date and that all Options for such Offering Period will automatically be canceled and will no longer be exercisable.</w:t>
      </w:r>
    </w:p>
    <w:p>
      <w:pPr>
        <w:spacing w:after="0" w:line="197" w:lineRule="exact"/>
        <w:rPr>
          <w:sz w:val="20"/>
          <w:szCs w:val="20"/>
          <w:color w:val="auto"/>
        </w:rPr>
      </w:pPr>
    </w:p>
    <w:p>
      <w:pPr>
        <w:ind w:left="1380" w:hanging="724"/>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Participation.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Participation in the Plan is voluntary. An eligible Employee may become a Participant in the Plan by completing an enrollment form provided by the Company authorizing payroll deductions and the establishment of a Share Account, and filing the enrollment form with the Company’s Human Resources Department not later than the last business day of the month immediately preceding the Grant Date of the first Offering Period in which the Participant wishes to participate.</w:t>
      </w:r>
    </w:p>
    <w:p>
      <w:pPr>
        <w:spacing w:after="0" w:line="187" w:lineRule="exact"/>
        <w:rPr>
          <w:sz w:val="20"/>
          <w:szCs w:val="20"/>
          <w:color w:val="auto"/>
        </w:rPr>
      </w:pPr>
    </w:p>
    <w:p>
      <w:pPr>
        <w:ind w:left="1380" w:hanging="724"/>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Payroll Deductions.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7.1 Each Employee electing to participate in the Plan shall designate on the enrollment form the amount of money which he or she wishes to have deducted from his or her paycheck each pay day to purchase Common Stock pursuant to the Plan. The aggregate amount of such payroll deductions shall not be less than $25.00 per month, and shall not be more than $10,625.00 (85% of $12,500.00) per Offering Period, pro-rated equally over the number of pay days applicable to a Participant during each such Offering Period. Deductions for Plan purposes will not be withheld from compensation amounts, such as annual bonus or gain sharing payments, that are not part of a Participant’s normal and recurring compensation each payday.</w:t>
      </w:r>
    </w:p>
    <w:p>
      <w:pPr>
        <w:spacing w:after="0" w:line="193"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7.2 Payroll deductions for a Participant shall commence on the first pay day on or after the Grant Date of the applicable Offering Period and shall continue until the termination date of the Plan, unless participation in the Plan is sooner terminated as provided in Section 10, the deduction amount is increased or decreased by the Participant as provided in Section 7.4, deductions are suspended as provided in Section 7.4 or the Offering Period is adjusted by the Committee as provided in Section 5. Except for a Participant’s rights to change the amount of, suspend or discontinue deductions pursuant to Sections 7.4 and 10, the same deduction amount shall be utilized for each pay day during subsequent Offering Periods, whether or not the Participant’s compensation level increases or decreases. If the pay period of any Participant changes, such as from weekly to semi-monthly, an appropriate adjustment shall be made to the deduction amount for each pay day corresponding to the new pay period, if necessary, so as to ensure the deduction of the proper amount as specified by the Participant in his or her enrollment form for that Offering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jc w:val="both"/>
        <w:ind w:left="4" w:firstLine="648"/>
        <w:spacing w:after="0" w:line="257" w:lineRule="auto"/>
        <w:rPr>
          <w:sz w:val="20"/>
          <w:szCs w:val="20"/>
          <w:color w:val="auto"/>
        </w:rPr>
      </w:pPr>
      <w:r>
        <w:rPr>
          <w:rFonts w:ascii="Arial" w:cs="Arial" w:eastAsia="Arial" w:hAnsi="Arial"/>
          <w:sz w:val="18"/>
          <w:szCs w:val="18"/>
          <w:color w:val="auto"/>
        </w:rPr>
        <w:t>7.3 All payroll deductions authorized by a Participant shall be credited to the Participant’s Contribution Account. A Participant may not make any separate cash payment or contribution to such Contribution Account. Contribution Accounts shall be solely for bookkeeping purposes, and no separate fund or trust shall be established for payroll deductions. Until utilized to purchase shares of Common Stock, funds from payroll deductions shall be held as part of the Employers’ general assets, and the Employers shall not be obligated to segregate such funds. No interest shall accrue on a Participant’s payroll deductions under the Plan.</w:t>
      </w:r>
    </w:p>
    <w:p>
      <w:pPr>
        <w:spacing w:after="0" w:line="188" w:lineRule="exact"/>
        <w:rPr>
          <w:sz w:val="20"/>
          <w:szCs w:val="20"/>
          <w:color w:val="auto"/>
        </w:rPr>
      </w:pPr>
    </w:p>
    <w:p>
      <w:pPr>
        <w:jc w:val="both"/>
        <w:ind w:left="4" w:firstLine="648"/>
        <w:spacing w:after="0" w:line="302" w:lineRule="auto"/>
        <w:rPr>
          <w:sz w:val="20"/>
          <w:szCs w:val="20"/>
          <w:color w:val="auto"/>
        </w:rPr>
      </w:pPr>
      <w:r>
        <w:rPr>
          <w:rFonts w:ascii="Arial" w:cs="Arial" w:eastAsia="Arial" w:hAnsi="Arial"/>
          <w:sz w:val="16"/>
          <w:szCs w:val="16"/>
          <w:color w:val="auto"/>
        </w:rPr>
        <w:t>7.4 No increases or decreases in the amount of payroll deductions for a Participant may be made during an Offering Period. A Participant may increase or decrease the amount of his or her payroll deductions under the Plan, or may suspend such payroll deductions, for subsequent Offering Periods by completing a change form and filing it with the Company’s Human Resources Department not later than the last business day of the month immediately preceding the Grant Date for the Offering Period as of which such increase, decrease or suspension is to be effective.</w:t>
      </w:r>
    </w:p>
    <w:p>
      <w:pPr>
        <w:spacing w:after="0" w:line="154"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 xml:space="preserve">7.5 Payroll deductions which are authorized by Participants who are paid other than in U.S. currency shall be withheld in Contribution Accounts in the country in which such Participant is employed until exercise of an option granted hereunder. Upon exercise of the option granted to such Participant, the amount so withheld shall be converted into U.S. dollars on the basis of the rate of exchange published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for such currency into U.S. dollars as of the business day immediately preceding the Ending Date for such Offering Period.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shall thereupon be paid to the Company in U.S. dollars following such conversion, the extent to which the Participant may exercise an option therefore being dependent, in part, upon the applicable rate of currency exchange. If, as a result of fluctuations in the exchange rate between the U.S. dollar and a foreign currency during an Offering Period, a Participant who is paid in such foreign currency has less than the minimum permitted amount deducted during an Offering Period, the amount deducted will, nevertheless, be used to purchase Common Stock in accordance with the Plan.</w:t>
      </w:r>
    </w:p>
    <w:p>
      <w:pPr>
        <w:spacing w:after="0" w:line="197" w:lineRule="exact"/>
        <w:rPr>
          <w:sz w:val="20"/>
          <w:szCs w:val="20"/>
          <w:color w:val="auto"/>
        </w:rPr>
      </w:pPr>
    </w:p>
    <w:p>
      <w:pPr>
        <w:ind w:left="724" w:hanging="724"/>
        <w:spacing w:after="0"/>
        <w:tabs>
          <w:tab w:leader="none" w:pos="72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Grant of Option.</w:t>
      </w:r>
    </w:p>
    <w:p>
      <w:pPr>
        <w:spacing w:after="0" w:line="225"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7"/>
          <w:szCs w:val="17"/>
          <w:color w:val="auto"/>
        </w:rPr>
        <w:t>8.1 Subject to Section 8.2, on each Grant Date, each eligible Employee who is then a Participant shall be granted (by operation of the Plan) an option to purchase the number of whole and fractional shares (computed to the fourth decimal place) of Common Stock equal to the lesser of (a) the amount determined by dividing the amount of payroll deductions credited to his or her Contribution Account during the Offering Period beginning on such Grant Date by the Purchase Price specified in the following sentence, or (b) the amount determined by dividing $12,500.00 by the Fair Market Value of one share of Common Stock on the applicable Grant Date. The purchase price per share of such shares (the “Purchase Price”) shall be the lesser of (i) 85% of the Fair Market Value of one share of Common Stock on the applicable Grant Date, or (ii) 85% of the Fair Market Value of one share of Common Stock on the applicable Ending Date.</w:t>
      </w:r>
    </w:p>
    <w:p>
      <w:pPr>
        <w:spacing w:after="0" w:line="200" w:lineRule="exact"/>
        <w:rPr>
          <w:sz w:val="20"/>
          <w:szCs w:val="20"/>
          <w:color w:val="auto"/>
        </w:rPr>
      </w:pPr>
    </w:p>
    <w:p>
      <w:pPr>
        <w:spacing w:after="0" w:line="22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88" w:name="page89"/>
    <w:bookmarkEnd w:id="88"/>
    <w:p>
      <w:pPr>
        <w:ind w:left="644"/>
        <w:spacing w:after="0"/>
        <w:tabs>
          <w:tab w:leader="none" w:pos="1083"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Despite any provisions of the Plan that may provide or suggest otherwise:</w:t>
      </w:r>
    </w:p>
    <w:p>
      <w:pPr>
        <w:spacing w:after="0" w:line="225" w:lineRule="exact"/>
        <w:rPr>
          <w:sz w:val="20"/>
          <w:szCs w:val="20"/>
          <w:color w:val="auto"/>
        </w:rPr>
      </w:pPr>
    </w:p>
    <w:p>
      <w:pPr>
        <w:jc w:val="both"/>
        <w:ind w:left="1504" w:hanging="504"/>
        <w:spacing w:after="0" w:line="302" w:lineRule="auto"/>
        <w:tabs>
          <w:tab w:leader="none" w:pos="15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Employee shall be granted an option under the Plan to the extent that immediately after the grant, such Employee (or any other person whose stock ownership would be attributed to such Employee pursuant to Section 424(d) of the Code) would own shares of Common Stock and/or hold outstanding options to purchase shares of Common Stock that would in the aggregate represent 5% or more of the total combined voting power or value of all classes of shares of the Company or of any Subsidiary;</w:t>
      </w:r>
    </w:p>
    <w:p>
      <w:pPr>
        <w:spacing w:after="0" w:line="154" w:lineRule="exact"/>
        <w:rPr>
          <w:rFonts w:ascii="Arial" w:cs="Arial" w:eastAsia="Arial" w:hAnsi="Arial"/>
          <w:sz w:val="16"/>
          <w:szCs w:val="16"/>
          <w:color w:val="auto"/>
        </w:rPr>
      </w:pPr>
    </w:p>
    <w:p>
      <w:pPr>
        <w:jc w:val="both"/>
        <w:ind w:left="1504" w:hanging="504"/>
        <w:spacing w:after="0" w:line="257" w:lineRule="auto"/>
        <w:tabs>
          <w:tab w:leader="none" w:pos="15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Employee shall be granted an option under the Plan to the extent that the Employee’s rights to purchase shares of Common Stock under all “employee stock purchase plans” (within the meaning of Section 423 of the Code) of the Company and its Subsidiaries would accrue (</w:t>
      </w:r>
      <w:r>
        <w:rPr>
          <w:rFonts w:ascii="Arial" w:cs="Arial" w:eastAsia="Arial" w:hAnsi="Arial"/>
          <w:sz w:val="18"/>
          <w:szCs w:val="18"/>
          <w:i w:val="1"/>
          <w:iCs w:val="1"/>
          <w:color w:val="auto"/>
        </w:rPr>
        <w:t>i.e.</w:t>
      </w:r>
      <w:r>
        <w:rPr>
          <w:rFonts w:ascii="Arial" w:cs="Arial" w:eastAsia="Arial" w:hAnsi="Arial"/>
          <w:sz w:val="18"/>
          <w:szCs w:val="18"/>
          <w:color w:val="auto"/>
        </w:rPr>
        <w:t>, become exercisable) at a rate that exceeds $25,000 of Fair Market Value of such shares of Common Stock (determined at the time such option is granted, which is the Grant Date) for each calendar year in which such option is outstanding at any time; or</w:t>
      </w:r>
    </w:p>
    <w:p>
      <w:pPr>
        <w:spacing w:after="0" w:line="188" w:lineRule="exact"/>
        <w:rPr>
          <w:rFonts w:ascii="Arial" w:cs="Arial" w:eastAsia="Arial" w:hAnsi="Arial"/>
          <w:sz w:val="18"/>
          <w:szCs w:val="18"/>
          <w:color w:val="auto"/>
        </w:rPr>
      </w:pPr>
    </w:p>
    <w:p>
      <w:pPr>
        <w:ind w:left="1504" w:hanging="504"/>
        <w:spacing w:after="0"/>
        <w:tabs>
          <w:tab w:leader="none" w:pos="1504"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 Participant may purchase more than 10,000 shares of Common Stock under the Plan in any given Offering Period.</w:t>
      </w:r>
    </w:p>
    <w:p>
      <w:pPr>
        <w:spacing w:after="0" w:line="237" w:lineRule="exact"/>
        <w:rPr>
          <w:sz w:val="20"/>
          <w:szCs w:val="20"/>
          <w:color w:val="auto"/>
        </w:rPr>
      </w:pPr>
    </w:p>
    <w:p>
      <w:pPr>
        <w:ind w:left="724" w:hanging="724"/>
        <w:spacing w:after="0"/>
        <w:tabs>
          <w:tab w:leader="none" w:pos="72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Exercise of Option.</w:t>
      </w:r>
    </w:p>
    <w:p>
      <w:pPr>
        <w:spacing w:after="0" w:line="225"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9.1 Unless a Participant withdraws from the Plan pursuant to Section 10, his or her option for the purchase of shares of Common Stock granted for an Offering Period will be exercised automatically and in full at the applicable Purchase Price as soon as practicable following the Ending Date of such Offering Period. If the full amount credited to a Participant’s Contribution Account during an Offering Period is not required to exercise such Participant’s option for that Offering Period in full (due to the applicability of clause (b) of Section 8.1 and/or fluctuations in the exchange rate between the U.S. dollar and the foreign currency in which such Participant is paid), the amount not required to exercise such option shall promptly be refunded to the Participant following the Ending Date of such Offering Period.</w:t>
      </w:r>
    </w:p>
    <w:p>
      <w:pPr>
        <w:spacing w:after="0" w:line="178"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9.2 No Participant (or any person claiming through such Participant) shall have any interest in any Common Stock subject to an option under the Plan until such option has been exercised and the shares of Common Stock purchased, at which point such Participant shall have all of the rights and privileges of a shareholder of the Company with respect to shares purchased under the Plan. During his or her lifetime, a Participant’s option to purchase shares of Common Stock under the Plan is exercisable only by the Participant.</w:t>
      </w:r>
    </w:p>
    <w:p>
      <w:pPr>
        <w:spacing w:after="0" w:line="171"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9.3 Shares of Common Stock purchased pursuant to the exercise of options hereunder shall be held in Share Accounts maintained for and in the name of each Participant by the Agent, such Agent or its nominee to be the record holder of such shares for the benefit of the Participant. The Agent shall provide each Participant with a quarterly statement of his or her Share Account.</w:t>
      </w:r>
    </w:p>
    <w:p>
      <w:pPr>
        <w:spacing w:after="0" w:line="181"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9.4 Dividends paid with respect to shares credited to each Share Account will be themselves credited to such Account and, if paid in cash, will automatically be reinvested in whole and fractional shares of Common Stock.</w:t>
      </w:r>
    </w:p>
    <w:p>
      <w:pPr>
        <w:spacing w:after="0" w:line="170"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6"/>
          <w:szCs w:val="16"/>
          <w:color w:val="auto"/>
        </w:rPr>
        <w:t>9.5 A Participant may request that the Agent cause a stock certificate representing some or all of the number of whole shares of Common Stock credited to the Participant’s Share Account be issued in the name of the Participant. The Agent shall cause such certificate to be issued as soon as practicable after its receipt of such request and the payment by the Participant of any applicable issuance fees. From and after the date of the issuance of any such certificate, the number of shares credited to the Participant’s Share Account shall be reduced by the number of shares represented by such certificate, and the Participant shall thereafter be the record holder of the shares represented by such certificate.</w:t>
      </w:r>
    </w:p>
    <w:p>
      <w:pPr>
        <w:spacing w:after="0" w:line="200" w:lineRule="exact"/>
        <w:rPr>
          <w:sz w:val="20"/>
          <w:szCs w:val="20"/>
          <w:color w:val="auto"/>
        </w:rPr>
      </w:pPr>
    </w:p>
    <w:p>
      <w:pPr>
        <w:spacing w:after="0" w:line="20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89" w:name="page90"/>
    <w:bookmarkEnd w:id="89"/>
    <w:p>
      <w:pPr>
        <w:ind w:left="724" w:hanging="724"/>
        <w:spacing w:after="0"/>
        <w:tabs>
          <w:tab w:leader="none" w:pos="724"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Withdrawal; Termination of Employment.</w:t>
      </w:r>
    </w:p>
    <w:p>
      <w:pPr>
        <w:spacing w:after="0" w:line="225"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17"/>
          <w:szCs w:val="17"/>
          <w:color w:val="auto"/>
        </w:rPr>
        <w:t>10.1 A Participant may terminate his or her participation in the Plan and withdraw all, but not less than all, of the payroll deductions credited to his or her Contribution Account under the Plan at any time on or before the last business day of an Offering Period by giving written notice to the Company. Such notice shall (a) state that the Participant wishes to terminate participation in the Plan, (b) specify the withdrawal date, and (c) request the withdrawal of all of the Participant’s payroll deductions held under the Plan. All of the Participant’s payroll deductions credited to his or her Contribution Account will be paid to the Participant as soon as practicable after the withdrawal date specified in the notice of withdrawal (or, if no such date is specified, as soon as practicable after receipt of the notice of withdrawal), the Participant’s option for such Offering Period will be automatically canceled, and no further payroll deductions for the purchase of shares of Common Stock will be made for such Offering Period or for any subsequent Offering Period, except pursuant to a re-enrollment in the Plan as provided in Section 10.2.</w:t>
      </w:r>
    </w:p>
    <w:p>
      <w:pPr>
        <w:spacing w:after="0" w:line="179"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color w:val="auto"/>
        </w:rPr>
        <w:t>10.2 If a Participant’s suspension of payroll deductions under the Plan pursuant to Section 7.4 continues for four consecutive Offering Periods, such suspension shall be deemed an election by the Participant to terminate his or her participation in the Plan, and such termination shall be effective as of the Ending Date of the second consecutive Offering Period during which no payroll deductions occurred. If, for any reason, a Participant’s net pay after withholding taxes and other applicable deductions not related to the Plan (such as for health and welfare benefits) each pay day becomes less than the amount the Participant has designated be deducted each pay day for contribution to the Plan, such occurrence shall be deemed an election by the Participant to terminate his or her participation in the Plan, and such termination shall be effective immediately. Following such termination, all of the Participant’s payroll deductions credited to his or her Contribution Account will be paid to the Participant as soon as practicable, the Participant’s option for such Offering Period will be automatically canceled, and no further payroll deductions for the purchase of shares of Common Stock will be made for such Offering Period or for any subsequent Offering Period, except pursuant to a re-enrollment in the Plan as provided in Section 10.4.</w:t>
      </w:r>
    </w:p>
    <w:p>
      <w:pPr>
        <w:spacing w:after="0" w:line="178"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10.3 Upon termination of a Participant’s employment with the Employer for any reason, including retirement or death, his or her participation in the Plan will automatically cease and the payroll deductions accumulated in his or her Contribution Account will be returned to the Participant as soon as practicable after such employment termination or, in the case of death, to the person or persons entitled thereto under Section 12 below, and the Participant’s option for the current Offering Period will be automatically canceled. For purposes of the Plan, the termination date of employment shall be the Participant’s last date of actual employment and shall not include any period during which such Participant receives any severance payments.</w:t>
      </w:r>
    </w:p>
    <w:p>
      <w:pPr>
        <w:spacing w:after="0" w:line="193"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10.4 A Participant’s termination of participation in the Plan pursuant to Section 10.1 or 10.2 will not have any effect upon his or her eligibility to participate in a subsequent Offering Period by completing and filing a new enrollment form in accordance with Section 6 or in any similar plan that may hereafter be adopted by the Company.</w:t>
      </w:r>
    </w:p>
    <w:p>
      <w:pPr>
        <w:spacing w:after="0" w:line="200" w:lineRule="exact"/>
        <w:rPr>
          <w:sz w:val="20"/>
          <w:szCs w:val="20"/>
          <w:color w:val="auto"/>
        </w:rPr>
      </w:pPr>
    </w:p>
    <w:p>
      <w:pPr>
        <w:spacing w:after="0" w:line="22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90" w:name="page91"/>
    <w:bookmarkEnd w:id="90"/>
    <w:p>
      <w:pPr>
        <w:ind w:left="704" w:hanging="704"/>
        <w:spacing w:after="0"/>
        <w:tabs>
          <w:tab w:leader="none" w:pos="70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Stock Subject to the Plan.</w:t>
      </w:r>
    </w:p>
    <w:p>
      <w:pPr>
        <w:spacing w:after="0" w:line="225"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11.1 The maximum number of shares of Common Stock that shall be reserved for sale under the Plan shall be 1,400,000 shares, subject to adjustment as provided in Sections 11.2 and 11.3. The shares to be sold to Participants under the Plan may be, at the election of the Company, either treasury shares or shares authorized but unissued. If the total number of shares of Common Stock that would otherwise be subject to options granted pursuant to Section 8 on any Ending Date exceeds the number of shares then available under the Plan (after deduction of all shares for which options have been exercised or are then outstanding), the Committee shall make a pro rata allocation of the shares of Common Stock remaining available for issuance in as uniform and equitable a manner as is practicable, as determined in the Committee’s sole discretion. In such event, the Company shall give written notice of such reduction of the number of shares subject to the option to each Participant affected thereby and shall return any excess funds accumulated in each Participant’s Contribution Account as soon as practicable after the Ending Date of such Offering Period.</w:t>
      </w:r>
    </w:p>
    <w:p>
      <w:pPr>
        <w:spacing w:after="0" w:line="166"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11.2 In the event of any reorganization, merger, consolidation, recapitalization, liquidation, reclassification, stock dividend, stock split, combination of shares, rights offering, divestiture or extraordinary dividend (including a spin-off) or any other similar change in the corporate structure or shares of the Company, the Committee (or, if the Company is not the surviving corporation in any such transaction, the board of directors of the surviving corporation) will make appropriate adjustments (which determination will be conclusive) as to the number and kind of securities or other property (including cash) available for issuance or payment under the Plan and, in order to prevent dilution or enlargement of the rights of Participants, (a) the number and kind of securities or other property (including cash) subject to each outstanding option, and (b) the Purchase Price of outstanding options.</w:t>
      </w:r>
    </w:p>
    <w:p>
      <w:pPr>
        <w:spacing w:after="0" w:line="189" w:lineRule="exact"/>
        <w:rPr>
          <w:sz w:val="20"/>
          <w:szCs w:val="20"/>
          <w:color w:val="auto"/>
        </w:rPr>
      </w:pPr>
    </w:p>
    <w:p>
      <w:pPr>
        <w:jc w:val="both"/>
        <w:ind w:left="4" w:firstLine="648"/>
        <w:spacing w:after="0" w:line="267" w:lineRule="auto"/>
        <w:rPr>
          <w:sz w:val="20"/>
          <w:szCs w:val="20"/>
          <w:color w:val="auto"/>
        </w:rPr>
      </w:pPr>
      <w:r>
        <w:rPr>
          <w:rFonts w:ascii="Arial" w:cs="Arial" w:eastAsia="Arial" w:hAnsi="Arial"/>
          <w:sz w:val="17"/>
          <w:szCs w:val="17"/>
          <w:color w:val="auto"/>
        </w:rPr>
        <w:t>11.3 Subject to the following provisions of this Section 11.3, if the Company is the surviving corporation in any reorganization, merger or consolidation with or involving one or more other corporations, each outstanding option under the Plan shall apply to the amount and kind of securities to which a holder of the number of shares of Common Stock subject to such option would have been entitled immediately following such reorganization, merger or consolidation, with a corresponding proportionate adjustment of the Purchase Price. If there is a (a) dissolution or liquidation of the Company, (b) merger, consolidation or reorganization of the Company with one or more other corporations in which the Company is not the surviving corporation, (c) sale of all or substantially all of the assets of the Company to another person or entity, or (d) transaction (including a merger or reorganization in which the Company is the surviving corporation) approved by the Board that results in any person or entity owning more than 50% of the combined voting power of all classes of stock of the Company, then the Plan and all options outstanding thereunder shall terminate, except as provided in the following sentence. If provision is made in writing in connection with such transaction for the continuation of the Plan and either the assumption of the options theretofore granted or the substitution for such options of new options covering the stock of a successor corporation (or a parent or subsidiary thereof), in either case with appropriate adjustments as to the number and kinds of shares and exercise prices, then the Plan shall continue in the manner and under the terms provided. If the Plan is terminated as provided in this Section 11.3, the current Offering Period shall be deemed to have ended on the last trading day prior to such termination, and the options of each Participant then outstanding shall be deemed to have been automatically exercised in accordance with Section 9.1 on such last trading day. The Committee shall cause written notice to be sent of an event that will result in such a termination to all Participants not later than the time the Company gives notice thereof to its shareholders. Adjustments under this Section 11.3 shall be made by the Committee, whose determination in that respect shall be final, binding and conclusive.</w:t>
      </w:r>
    </w:p>
    <w:p>
      <w:pPr>
        <w:spacing w:after="0" w:line="200" w:lineRule="exact"/>
        <w:rPr>
          <w:sz w:val="20"/>
          <w:szCs w:val="20"/>
          <w:color w:val="auto"/>
        </w:rPr>
      </w:pPr>
    </w:p>
    <w:p>
      <w:pPr>
        <w:spacing w:after="0" w:line="23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91" w:name="page92"/>
    <w:bookmarkEnd w:id="91"/>
    <w:p>
      <w:pPr>
        <w:ind w:left="1380" w:hanging="724"/>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Designation of Beneficiary.</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12.1 A Participant may file a written designation of a beneficiary who is to receive a cash refund of the amount, if any, from the Participant’s Contribution Account under the Plan in the event of such Participant’s death at a time when cash is held for his or her account. Disposition of shares of Common Stock in a Participant’s Share Account upon the Participant’s death shall be in accordance with the agreement governing the Share Account.</w:t>
      </w:r>
    </w:p>
    <w:p>
      <w:pPr>
        <w:spacing w:after="0" w:line="187"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6"/>
          <w:szCs w:val="16"/>
          <w:color w:val="auto"/>
        </w:rPr>
        <w:t>12.2 A designation of beneficiary pursuant to Section 12.1 may be changed by the Participant at any time by written notice. In the event of the death of a Participant in the absence of a valid designation of a beneficiary who is living at the time of such Participant’s death, the Company shall deliver such cash to the executor or administrator of the estate of the Participant; or, if no such executor or administrator has been appointed (to the knowledge of the Company), the Company in its discretion, may deliver such cash to the spouse or to any one or more dependents or relatives of the Participant; or, if no spouse, dependent or relative is known to the Company, then to such other person as the Company may designate.</w:t>
      </w:r>
    </w:p>
    <w:p>
      <w:pPr>
        <w:spacing w:after="0" w:line="158" w:lineRule="exact"/>
        <w:rPr>
          <w:sz w:val="20"/>
          <w:szCs w:val="20"/>
          <w:color w:val="auto"/>
        </w:rPr>
      </w:pPr>
    </w:p>
    <w:p>
      <w:pPr>
        <w:ind w:left="1380" w:hanging="724"/>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 Right to Employment.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in the Plan will interfere with or limit in any way the right of the Company or any of its subsidiaries to terminate the employment of any Employee or Participant at any time, nor confer upon any Employee or Participant any right to continue in the employ of the Company or any of its subsidiaries.</w:t>
      </w:r>
    </w:p>
    <w:p>
      <w:pPr>
        <w:spacing w:after="0" w:line="181" w:lineRule="exact"/>
        <w:rPr>
          <w:sz w:val="20"/>
          <w:szCs w:val="20"/>
          <w:color w:val="auto"/>
        </w:rPr>
      </w:pPr>
    </w:p>
    <w:p>
      <w:pPr>
        <w:ind w:left="1380" w:hanging="724"/>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Rights As a Shareholder.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holder of an Option under the Plan, a Participant will have no rights as a shareholder unless and until such Option is exercised and the Participant becomes the holder of record of shares of Common Stock. Except as otherwise provided in the Plan, no adjustment will be made for dividends or distributions with respect to Options as to which there is a record date preceding the date the Participant becomes the holder of record of such shares, except as the Committee may determine in its sole discretion.</w:t>
      </w:r>
    </w:p>
    <w:p>
      <w:pPr>
        <w:spacing w:after="0" w:line="187" w:lineRule="exact"/>
        <w:rPr>
          <w:sz w:val="20"/>
          <w:szCs w:val="20"/>
          <w:color w:val="auto"/>
        </w:rPr>
      </w:pPr>
    </w:p>
    <w:p>
      <w:pPr>
        <w:ind w:left="1380" w:hanging="724"/>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Transferability.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payroll deductions credited to a Participant’s Contribution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shall be without effect.</w:t>
      </w:r>
    </w:p>
    <w:p>
      <w:pPr>
        <w:spacing w:after="0" w:line="166" w:lineRule="exact"/>
        <w:rPr>
          <w:sz w:val="20"/>
          <w:szCs w:val="20"/>
          <w:color w:val="auto"/>
        </w:rPr>
      </w:pPr>
    </w:p>
    <w:p>
      <w:pPr>
        <w:ind w:left="1380" w:hanging="724"/>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Conditions of Sale.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any other provision of the Plan or any agreements entered into pursuant to the Plan, the Company will not be required to issue any shares of Common Stock under the Plan, and a Participant may not sell, assign, transfer or otherwise dispose of shares of Common Stock issued pursuant to Options granted under the Plan, unless (a) there is in effect with respect to such shares a registration statement under the Securities Act and any applicable state or foreign securities laws or an exemption from such registration under the Securities Act and applicable state or foreign securities laws, and (b) there has been obtained any other consent, approval or permit from any other regulatory body that the Committee, in its sole discretion, deems necessary or advisable. The Company may condition such issuance, sale or transfer upon the receipt of any representations or agreements from the parties involved, and the placement of any legends on certificates representing shares of Common Stock, as may be deemed necessary or advisable by the Company in order to comply with such securities law or other restrictions.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ind w:left="1380" w:hanging="724"/>
        <w:spacing w:after="0"/>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Amendment or Termination.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may suspend or terminate the Plan or any portion thereof at any time, and may amend the Plan from time to time in such respects as the Board may deem advisable in order that Options under the Plan will conform to any change in applicable laws or regulations or in any other respect the Board may deem to be in the best interests of the Company; provided, however, that no amendments to the Plan will be effective without approval of the shareholders of the Company if shareholder approval of the amendment is then required pursuant to Section 423 of the Code or the rules of any stock exchange or similar regulatory body. Upon termination of the Plan, the Committee, in its sole discretion, may take any of the actions described in Section 5 of the Plan.</w:t>
      </w:r>
    </w:p>
    <w:p>
      <w:pPr>
        <w:spacing w:after="0" w:line="193" w:lineRule="exact"/>
        <w:rPr>
          <w:sz w:val="20"/>
          <w:szCs w:val="20"/>
          <w:color w:val="auto"/>
        </w:rPr>
      </w:pPr>
    </w:p>
    <w:p>
      <w:pPr>
        <w:ind w:left="1380" w:hanging="724"/>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notices or other communications by a Participant to the Company in connection with the Plan shall be deemed to have been duly given when received by the Senior Vice President &amp; CFO of the Company or by any other person designated by the Company for the receipt of such notices or other communications, in the form and at the location specified by the Company.</w:t>
      </w:r>
    </w:p>
    <w:p>
      <w:pPr>
        <w:spacing w:after="0" w:line="181" w:lineRule="exact"/>
        <w:rPr>
          <w:sz w:val="20"/>
          <w:szCs w:val="20"/>
          <w:color w:val="auto"/>
        </w:rPr>
      </w:pPr>
    </w:p>
    <w:p>
      <w:pPr>
        <w:ind w:left="1380" w:hanging="724"/>
        <w:spacing w:after="0"/>
        <w:tabs>
          <w:tab w:leader="none" w:pos="13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Effective Date.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amendment and restatement of the Plan shall become effective on the date it is approved by the requisite vote of the Board, subject to approval by the Company’s shareholders.</w:t>
      </w:r>
    </w:p>
    <w:p>
      <w:pPr>
        <w:spacing w:after="0" w:line="170" w:lineRule="exact"/>
        <w:rPr>
          <w:sz w:val="20"/>
          <w:szCs w:val="20"/>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headings to sections of the Plan have been included for convenience of reference only. The Plan shall be interpreted and construed in accordance with the laws of the State of Texas. References in the Plan to “$” or “dollars” shall be deemed to refer to United States dollars unless the context clearly indicates otherwise.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84"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60" w:type="dxa"/>
            <w:vAlign w:val="bottom"/>
            <w:gridSpan w:val="2"/>
          </w:tcPr>
          <w:p>
            <w:pPr>
              <w:ind w:left="332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380" w:type="dxa"/>
            <w:vAlign w:val="bottom"/>
            <w:gridSpan w:val="6"/>
          </w:tcPr>
          <w:p>
            <w:pPr>
              <w:ind w:left="260"/>
              <w:spacing w:after="0"/>
              <w:rPr>
                <w:sz w:val="20"/>
                <w:szCs w:val="20"/>
                <w:color w:val="auto"/>
              </w:rPr>
            </w:pPr>
            <w:r>
              <w:rPr>
                <w:rFonts w:ascii="Arial" w:cs="Arial" w:eastAsia="Arial" w:hAnsi="Arial"/>
                <w:sz w:val="18"/>
                <w:szCs w:val="18"/>
                <w:color w:val="auto"/>
              </w:rPr>
              <w:t>SUBSIDIARIES OF THE COMPANY</w:t>
            </w:r>
          </w:p>
        </w:tc>
      </w:tr>
      <w:tr>
        <w:trPr>
          <w:trHeight w:val="418"/>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State of</w:t>
            </w:r>
          </w:p>
        </w:tc>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440" w:type="dxa"/>
            <w:vAlign w:val="bottom"/>
          </w:tcPr>
          <w:p>
            <w:pPr>
              <w:spacing w:after="0" w:line="190" w:lineRule="exact"/>
              <w:rPr>
                <w:sz w:val="20"/>
                <w:szCs w:val="20"/>
                <w:color w:val="auto"/>
              </w:rPr>
            </w:pPr>
            <w:r>
              <w:rPr>
                <w:rFonts w:ascii="Arial" w:cs="Arial" w:eastAsia="Arial" w:hAnsi="Arial"/>
                <w:sz w:val="18"/>
                <w:szCs w:val="18"/>
                <w:color w:val="auto"/>
                <w:w w:val="87"/>
              </w:rPr>
              <w:t>Name</w:t>
            </w: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3"/>
              </w:rPr>
              <w:t>Incorporation</w:t>
            </w:r>
          </w:p>
        </w:tc>
        <w:tc>
          <w:tcPr>
            <w:tcW w:w="1000" w:type="dxa"/>
            <w:vAlign w:val="bottom"/>
          </w:tcPr>
          <w:p>
            <w:pPr>
              <w:spacing w:after="0"/>
              <w:rPr>
                <w:sz w:val="16"/>
                <w:szCs w:val="16"/>
                <w:color w:val="auto"/>
              </w:rPr>
            </w:pPr>
          </w:p>
        </w:tc>
        <w:tc>
          <w:tcPr>
            <w:tcW w:w="4260" w:type="dxa"/>
            <w:vAlign w:val="bottom"/>
            <w:gridSpan w:val="2"/>
          </w:tcPr>
          <w:p>
            <w:pPr>
              <w:spacing w:after="0" w:line="190" w:lineRule="exact"/>
              <w:rPr>
                <w:sz w:val="20"/>
                <w:szCs w:val="20"/>
                <w:color w:val="auto"/>
              </w:rPr>
            </w:pPr>
            <w:r>
              <w:rPr>
                <w:rFonts w:ascii="Arial" w:cs="Arial" w:eastAsia="Arial" w:hAnsi="Arial"/>
                <w:sz w:val="18"/>
                <w:szCs w:val="18"/>
                <w:color w:val="auto"/>
              </w:rPr>
              <w:t>Names Under Which Subsidiary Does Business</w:t>
            </w:r>
          </w:p>
        </w:tc>
      </w:tr>
      <w:tr>
        <w:trPr>
          <w:trHeight w:val="20"/>
        </w:trPr>
        <w:tc>
          <w:tcPr>
            <w:tcW w:w="2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Rush Truck Centers of Alabama, Inc.</w:t>
            </w:r>
          </w:p>
        </w:tc>
        <w:tc>
          <w:tcPr>
            <w:tcW w:w="2120" w:type="dxa"/>
            <w:vAlign w:val="bottom"/>
            <w:gridSpan w:val="3"/>
          </w:tcPr>
          <w:p>
            <w:pPr>
              <w:ind w:left="560"/>
              <w:spacing w:after="0"/>
              <w:rPr>
                <w:sz w:val="20"/>
                <w:szCs w:val="20"/>
                <w:color w:val="auto"/>
              </w:rPr>
            </w:pPr>
            <w:r>
              <w:rPr>
                <w:rFonts w:ascii="Arial" w:cs="Arial" w:eastAsia="Arial" w:hAnsi="Arial"/>
                <w:sz w:val="18"/>
                <w:szCs w:val="18"/>
                <w:color w:val="auto"/>
              </w:rPr>
              <w:t>Delaware</w:t>
            </w: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Mobile</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Mobile</w:t>
            </w: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Rush Truck Centers of Arizona, Inc.</w:t>
            </w:r>
          </w:p>
        </w:tc>
        <w:tc>
          <w:tcPr>
            <w:tcW w:w="2120" w:type="dxa"/>
            <w:vAlign w:val="bottom"/>
            <w:gridSpan w:val="3"/>
          </w:tcPr>
          <w:p>
            <w:pPr>
              <w:ind w:left="560"/>
              <w:spacing w:after="0"/>
              <w:rPr>
                <w:sz w:val="20"/>
                <w:szCs w:val="20"/>
                <w:color w:val="auto"/>
              </w:rPr>
            </w:pPr>
            <w:r>
              <w:rPr>
                <w:rFonts w:ascii="Arial" w:cs="Arial" w:eastAsia="Arial" w:hAnsi="Arial"/>
                <w:sz w:val="18"/>
                <w:szCs w:val="18"/>
                <w:color w:val="auto"/>
              </w:rPr>
              <w:t>Delaware</w:t>
            </w: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Phoenix</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Phoenix</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Flagstaff</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Flagstaff</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Tucson</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Tucson</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Yuma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Yuma</w:t>
            </w: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Rush Truck Centers of California, Inc.</w:t>
            </w:r>
          </w:p>
        </w:tc>
        <w:tc>
          <w:tcPr>
            <w:tcW w:w="2120" w:type="dxa"/>
            <w:vAlign w:val="bottom"/>
            <w:gridSpan w:val="3"/>
          </w:tcPr>
          <w:p>
            <w:pPr>
              <w:ind w:left="560"/>
              <w:spacing w:after="0"/>
              <w:rPr>
                <w:sz w:val="20"/>
                <w:szCs w:val="20"/>
                <w:color w:val="auto"/>
              </w:rPr>
            </w:pPr>
            <w:r>
              <w:rPr>
                <w:rFonts w:ascii="Arial" w:cs="Arial" w:eastAsia="Arial" w:hAnsi="Arial"/>
                <w:sz w:val="18"/>
                <w:szCs w:val="18"/>
                <w:color w:val="auto"/>
              </w:rPr>
              <w:t>Delaware</w:t>
            </w: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Pico Rivera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Pico Rivera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Fontana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Fontana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Medium Duty Truck Center, Fontana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Isuzu Trucks, Fontana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Medium Duty Truck Center, Fontana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Towing Systems, Fontana</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Fontana Used Trucks</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Fontana Vocational Service</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Long Beach</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Long Beach</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Sylmar</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Sylmar</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San Diego</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San Diego</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Whittier</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Isuzu Trucks, Whittier</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Whittier</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Los Angeles</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Los Angeles</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Towing Systems, Fontana</w:t>
            </w: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w w:val="98"/>
              </w:rPr>
              <w:t>Rush Medium Duty Truck Centers of Colorado, Inc.</w:t>
            </w:r>
          </w:p>
        </w:tc>
        <w:tc>
          <w:tcPr>
            <w:tcW w:w="2120" w:type="dxa"/>
            <w:vAlign w:val="bottom"/>
            <w:gridSpan w:val="3"/>
          </w:tcPr>
          <w:p>
            <w:pPr>
              <w:ind w:left="560"/>
              <w:spacing w:after="0"/>
              <w:rPr>
                <w:sz w:val="20"/>
                <w:szCs w:val="20"/>
                <w:color w:val="auto"/>
              </w:rPr>
            </w:pPr>
            <w:r>
              <w:rPr>
                <w:rFonts w:ascii="Arial" w:cs="Arial" w:eastAsia="Arial" w:hAnsi="Arial"/>
                <w:sz w:val="18"/>
                <w:szCs w:val="18"/>
                <w:color w:val="auto"/>
              </w:rPr>
              <w:t>Delaware</w:t>
            </w: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Medium Duty Truck Center, Denver</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Medium Duty Ford Trucks, Denver</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Isuzu Trucks, Denver</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Towing Systems, Denver</w:t>
            </w: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Rush Truck Centers of Colorado, Inc.</w:t>
            </w:r>
          </w:p>
        </w:tc>
        <w:tc>
          <w:tcPr>
            <w:tcW w:w="2120" w:type="dxa"/>
            <w:vAlign w:val="bottom"/>
            <w:gridSpan w:val="3"/>
          </w:tcPr>
          <w:p>
            <w:pPr>
              <w:ind w:left="560"/>
              <w:spacing w:after="0"/>
              <w:rPr>
                <w:sz w:val="20"/>
                <w:szCs w:val="20"/>
                <w:color w:val="auto"/>
              </w:rPr>
            </w:pPr>
            <w:r>
              <w:rPr>
                <w:rFonts w:ascii="Arial" w:cs="Arial" w:eastAsia="Arial" w:hAnsi="Arial"/>
                <w:sz w:val="18"/>
                <w:szCs w:val="18"/>
                <w:color w:val="auto"/>
              </w:rPr>
              <w:t>Delaware</w:t>
            </w: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Centers, Inc.</w:t>
            </w: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Denver</w:t>
            </w:r>
          </w:p>
        </w:tc>
      </w:tr>
      <w:tr>
        <w:trPr>
          <w:trHeight w:val="230"/>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color w:val="auto"/>
              </w:rPr>
              <w:t>Rush Truck Center, Denver</w:t>
            </w:r>
          </w:p>
        </w:tc>
      </w:tr>
    </w:tbl>
    <w:p>
      <w:pPr>
        <w:ind w:left="6340"/>
        <w:spacing w:after="0"/>
        <w:rPr>
          <w:sz w:val="20"/>
          <w:szCs w:val="20"/>
          <w:color w:val="auto"/>
        </w:rPr>
      </w:pPr>
      <w:r>
        <w:rPr>
          <w:rFonts w:ascii="Arial" w:cs="Arial" w:eastAsia="Arial" w:hAnsi="Arial"/>
          <w:sz w:val="18"/>
          <w:szCs w:val="18"/>
          <w:color w:val="auto"/>
        </w:rPr>
        <w:t>Rush Peterbilt Truck Center, Greeley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Rush Truck Center, Greeley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Rush Peterbilt Truck Center, Pueblo</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Rush Truck Center, Pueblo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Rush Truck Centers of Florida, Inc.</w:t>
            </w:r>
          </w:p>
        </w:tc>
        <w:tc>
          <w:tcPr>
            <w:tcW w:w="1860" w:type="dxa"/>
            <w:vAlign w:val="bottom"/>
          </w:tcPr>
          <w:p>
            <w:pPr>
              <w:ind w:left="98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Orlando</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Orlando</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 Center, Orlando</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Orlando</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Orlando Light &amp; Medium Duty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Orlando South</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Orlando South</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Orlando Used Trucks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Haines City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Haines City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Tampa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Tampa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Jacksonville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Jacksonville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Lake City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Lake City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Rig Tough Used Trucks, Miami</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Rush Truck Centers of Georgia, Inc.</w:t>
            </w:r>
          </w:p>
        </w:tc>
        <w:tc>
          <w:tcPr>
            <w:tcW w:w="1860" w:type="dxa"/>
            <w:vAlign w:val="bottom"/>
          </w:tcPr>
          <w:p>
            <w:pPr>
              <w:ind w:left="98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Medium Duty Truck Center, Atlanta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Atlanta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Atlanta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Atlanta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Atlanta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Collision Center, Atlanta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Atlanta Collision Center</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Doraville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Doraville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Doraville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Smyrna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Tifton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Tifton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Gainesville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Augusta</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Blackshear</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Columbus North</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Columbus South</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Macon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Valdosta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Rush Truck Centers of Idaho, Inc.</w:t>
            </w:r>
          </w:p>
        </w:tc>
        <w:tc>
          <w:tcPr>
            <w:tcW w:w="1860" w:type="dxa"/>
            <w:vAlign w:val="bottom"/>
          </w:tcPr>
          <w:p>
            <w:pPr>
              <w:ind w:left="98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Boise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Idaho Falls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Lewiston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Twin Falls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Boise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Idaho Falls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Lewiston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Twin Falls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Rush Truck Centers of Illinois, Inc.</w:t>
            </w:r>
          </w:p>
        </w:tc>
        <w:tc>
          <w:tcPr>
            <w:tcW w:w="1860" w:type="dxa"/>
            <w:vAlign w:val="bottom"/>
          </w:tcPr>
          <w:p>
            <w:pPr>
              <w:ind w:left="98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Bloomington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Carol Stream</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Chambersburg</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Champaign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Chicago</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Effingham</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Huntley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Joliet</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Quincy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Springfield Collision Center</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Springfield East</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Springfield West</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House of Trucks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House of Trucks, Willowbrook</w:t>
            </w:r>
          </w:p>
        </w:tc>
      </w:tr>
      <w:tr>
        <w:trPr>
          <w:trHeight w:val="230"/>
        </w:trPr>
        <w:tc>
          <w:tcPr>
            <w:tcW w:w="3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House of Trucks, Wilmington</w:t>
            </w:r>
          </w:p>
        </w:tc>
      </w:tr>
      <w:tr>
        <w:trPr>
          <w:trHeight w:val="729"/>
        </w:trPr>
        <w:tc>
          <w:tcPr>
            <w:tcW w:w="3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2</w:t>
            </w:r>
          </w:p>
        </w:tc>
      </w:tr>
      <w:tr>
        <w:trPr>
          <w:trHeight w:val="105"/>
        </w:trPr>
        <w:tc>
          <w:tcPr>
            <w:tcW w:w="3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980" w:type="dxa"/>
            <w:vAlign w:val="bottom"/>
          </w:tcPr>
          <w:p>
            <w:pPr>
              <w:spacing w:after="0"/>
              <w:rPr>
                <w:sz w:val="9"/>
                <w:szCs w:val="9"/>
                <w:color w:val="auto"/>
              </w:rPr>
            </w:pPr>
          </w:p>
        </w:tc>
      </w:tr>
      <w:tr>
        <w:trPr>
          <w:trHeight w:val="61"/>
        </w:trPr>
        <w:tc>
          <w:tcPr>
            <w:tcW w:w="362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5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Indiana,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Gary</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Indianapolis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Kansas,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Kansas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Kentucky,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Bowling Green</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Missouri,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St. Peters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St. Louis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Nevada.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Las Vegas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Las Vegas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Leasing</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New Mexico,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Albuquerque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Albuquerque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Las Cruces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Las Cruces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North Carolina,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Collision Center, Charlotte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Charlotte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Charlotte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Charlotte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Body Shop, Charlotte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Charlotte Collision Center</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Hickory</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Asheville</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Ohio,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Akron</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Akron</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Cincinnati</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Cincinnati</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Cleveland</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Cleveland</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Columbus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Columbus East</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Columbus East</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Columbus West</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Columbus West</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Columbus OH</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Dayton</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Dayton</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Lima</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Lima</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Springfield, Ohio</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Cincinnati</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RTC Truck Parts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Akron</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Cleveland</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Columbus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Columbus East</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Columbus West</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Dayton</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Bus Center, Lima</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Rig Tough Truck Parts, Cincinnati</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Rush Truck Centers of Oklahoma, Inc.</w:t>
            </w:r>
          </w:p>
        </w:tc>
        <w:tc>
          <w:tcPr>
            <w:tcW w:w="162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Ardmore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Oklahoma City</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Peterbilt Truck Center, Tulsa</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Ardmore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Oklahoma City</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Tulsa</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Isuzu Trucks, Oklahoma City</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Used Truck Center, Tulsa</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Rigging</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Perfection Equipment</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Perfection Truck Parts &amp; Equipment, Oklahoma City</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Perfection Truck Parts &amp; Equipment, Tulsa</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Perfection Crane Services</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Translease</w:t>
            </w:r>
          </w:p>
        </w:tc>
      </w:tr>
      <w:tr>
        <w:trPr>
          <w:trHeight w:val="216"/>
        </w:trPr>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Oklahoma Trucks, Inc.</w:t>
            </w:r>
          </w:p>
        </w:tc>
      </w:tr>
      <w:tr>
        <w:trPr>
          <w:trHeight w:val="230"/>
        </w:trPr>
        <w:tc>
          <w:tcPr>
            <w:tcW w:w="3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Tulsa Trucks, Inc.</w:t>
            </w:r>
          </w:p>
        </w:tc>
      </w:tr>
      <w:tr>
        <w:trPr>
          <w:trHeight w:val="729"/>
        </w:trPr>
        <w:tc>
          <w:tcPr>
            <w:tcW w:w="3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3</w:t>
            </w:r>
          </w:p>
        </w:tc>
      </w:tr>
      <w:tr>
        <w:trPr>
          <w:trHeight w:val="105"/>
        </w:trPr>
        <w:tc>
          <w:tcPr>
            <w:tcW w:w="38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980" w:type="dxa"/>
            <w:vAlign w:val="bottom"/>
          </w:tcPr>
          <w:p>
            <w:pPr>
              <w:spacing w:after="0"/>
              <w:rPr>
                <w:sz w:val="9"/>
                <w:szCs w:val="9"/>
                <w:color w:val="auto"/>
              </w:rPr>
            </w:pPr>
          </w:p>
        </w:tc>
      </w:tr>
      <w:tr>
        <w:trPr>
          <w:trHeight w:val="61"/>
        </w:trPr>
        <w:tc>
          <w:tcPr>
            <w:tcW w:w="386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5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735" w:gutter="0" w:footer="0" w:header="0"/>
        </w:sectPr>
      </w:pPr>
    </w:p>
    <w:bookmarkStart w:id="96" w:name="page97"/>
    <w:bookmarkEnd w:id="96"/>
    <w:p>
      <w:pPr>
        <w:spacing w:after="0"/>
        <w:rPr>
          <w:sz w:val="20"/>
          <w:szCs w:val="20"/>
          <w:color w:val="auto"/>
        </w:rPr>
      </w:pPr>
      <w:r>
        <w:rPr>
          <w:rFonts w:ascii="Arial" w:cs="Arial" w:eastAsia="Arial" w:hAnsi="Arial"/>
          <w:sz w:val="15"/>
          <w:szCs w:val="15"/>
          <w:color w:val="auto"/>
        </w:rPr>
        <w:t>Rush Truck Centers of Tennessee,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Centers of Texas,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Rush Truck Center, Nashville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Nashville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Towing Systems, Nashville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 Vehicle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 Tough Used Trucks, 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Austin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Corpus Christi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Dallas, Number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Fort 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Laredo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Lufkin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Pharr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San Antonio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San Antonio, Number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Sealy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Selma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Texarkana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Tyler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Bus Center, Waco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Isuzu Trucks, Austin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Isuzu Trucks, Corpus Christi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Isuzu Trucks, 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Isuzu Trucks, El Paso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Isuzu Trucks, Sealy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Isuzu Trucks, Texarkana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Isuzu Trucks, Waco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Medium Duty Truck Center, Dallas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Rush Medium Duty Truck Center, San Antonio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Rush Medium Duty Truck Center, Waco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Abilene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Amarillo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Austin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Brownsville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College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Corpus Christi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Cotulla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Dalhart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El Paso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Fort 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Houston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Rush Peterbilt Truck Center, Houston Northwest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Laredo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Lubbock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Lufkin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Odessa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Pharr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San Antonio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Sealy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Texarkana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Tyler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Peterbilt Truck Center, Waco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Refuse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Towing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Towing Systems, 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Towing Systems, San Antonio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Abilene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Amarillo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Austin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Bryan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Brownsville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College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Corpus Christi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Cotulla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Dalhart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Dallas Medium Duty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Dallas Light and Medium Duty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Denton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El Paso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Rush Truck Center, Fort Worth</w:t>
      </w:r>
    </w:p>
    <w:p>
      <w:pPr>
        <w:sectPr>
          <w:pgSz w:w="11900" w:h="16838" w:orient="portrait"/>
          <w:cols w:equalWidth="0" w:num="3">
            <w:col w:w="3880" w:space="720"/>
            <w:col w:w="1020" w:space="720"/>
            <w:col w:w="3879"/>
          </w:cols>
          <w:pgMar w:left="240" w:top="584" w:right="1440" w:bottom="0" w:gutter="0" w:footer="0" w:header="0"/>
        </w:sectPr>
      </w:pPr>
    </w:p>
    <w:bookmarkStart w:id="97" w:name="page98"/>
    <w:bookmarkEnd w:id="97"/>
    <w:p>
      <w:pPr>
        <w:ind w:left="5140"/>
        <w:spacing w:after="0"/>
        <w:rPr>
          <w:sz w:val="20"/>
          <w:szCs w:val="20"/>
          <w:color w:val="auto"/>
        </w:rPr>
      </w:pPr>
      <w:r>
        <w:rPr>
          <w:rFonts w:ascii="Arial" w:cs="Arial" w:eastAsia="Arial" w:hAnsi="Arial"/>
          <w:sz w:val="18"/>
          <w:szCs w:val="18"/>
          <w:color w:val="auto"/>
        </w:rPr>
        <w:t>Rush Truck Center, Houston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Rush Truck Center, Houston Medium Duty</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Houston Northwest</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Laredo</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Lubbock</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Lufkin</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New Braunfels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Odessa</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Pharr</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San Antonio</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Sealy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Texarkana</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Tyler</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Waco</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Rush Crane and Refuse Systems International</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World Wide Tires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Rush Truck Centers of Utah, Inc.</w:t>
            </w:r>
          </w:p>
        </w:tc>
        <w:tc>
          <w:tcPr>
            <w:tcW w:w="1860" w:type="dxa"/>
            <w:vAlign w:val="bottom"/>
          </w:tcPr>
          <w:p>
            <w:pPr>
              <w:ind w:left="98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Salt Lake City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Springville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St. George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International Truck Center, Ogden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Salt Lake City</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Springville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St. George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Ogden</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Farr West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Rush Truck Centers of Virginia, Inc.</w:t>
            </w:r>
          </w:p>
        </w:tc>
        <w:tc>
          <w:tcPr>
            <w:tcW w:w="1860" w:type="dxa"/>
            <w:vAlign w:val="bottom"/>
          </w:tcPr>
          <w:p>
            <w:pPr>
              <w:ind w:left="98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Richmond</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Chester</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Truck Center, Fredericksburg</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Rush Truck Leasing, Inc.</w:t>
            </w:r>
          </w:p>
        </w:tc>
        <w:tc>
          <w:tcPr>
            <w:tcW w:w="1860" w:type="dxa"/>
            <w:vAlign w:val="bottom"/>
          </w:tcPr>
          <w:p>
            <w:pPr>
              <w:ind w:left="980"/>
              <w:spacing w:after="0"/>
              <w:rPr>
                <w:sz w:val="20"/>
                <w:szCs w:val="20"/>
                <w:color w:val="auto"/>
              </w:rPr>
            </w:pPr>
            <w:r>
              <w:rPr>
                <w:rFonts w:ascii="Arial" w:cs="Arial" w:eastAsia="Arial" w:hAnsi="Arial"/>
                <w:sz w:val="18"/>
                <w:szCs w:val="18"/>
                <w:color w:val="auto"/>
              </w:rPr>
              <w:t>Delaware</w:t>
            </w:r>
          </w:p>
        </w:tc>
        <w:tc>
          <w:tcPr>
            <w:tcW w:w="5980" w:type="dxa"/>
            <w:vAlign w:val="bottom"/>
          </w:tcPr>
          <w:p>
            <w:pPr>
              <w:ind w:left="860"/>
              <w:spacing w:after="0"/>
              <w:rPr>
                <w:sz w:val="20"/>
                <w:szCs w:val="20"/>
                <w:color w:val="auto"/>
              </w:rPr>
            </w:pPr>
            <w:r>
              <w:rPr>
                <w:rFonts w:ascii="Arial" w:cs="Arial" w:eastAsia="Arial" w:hAnsi="Arial"/>
                <w:sz w:val="18"/>
                <w:szCs w:val="18"/>
                <w:color w:val="auto"/>
              </w:rPr>
              <w:t>Rush Crane Systems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Idealease, Charlotte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Rush Refuse Systems</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Akron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Albany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Augusta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Asheville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Boise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Champaign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Charlotte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Chicago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Cincinnati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Cleveland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Cleveland Idealease West</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Cleveland Idealease East</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Columbus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Columbus Idealease East</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Columbus Idealease West</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Dayton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Decatur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Effingham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Findlay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Hickory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Indianapolis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Indy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Lima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Macon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Norfolk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Quincy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Richmond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Springfield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St. Peters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St. Louis Idealease</w:t>
            </w:r>
          </w:p>
        </w:tc>
      </w:tr>
      <w:tr>
        <w:trPr>
          <w:trHeight w:val="216"/>
        </w:trPr>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Tidewater Idealease</w:t>
            </w:r>
          </w:p>
        </w:tc>
      </w:tr>
      <w:tr>
        <w:trPr>
          <w:trHeight w:val="230"/>
        </w:trPr>
        <w:tc>
          <w:tcPr>
            <w:tcW w:w="3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Valdosta Idealease</w:t>
            </w:r>
          </w:p>
        </w:tc>
      </w:tr>
      <w:tr>
        <w:trPr>
          <w:trHeight w:val="729"/>
        </w:trPr>
        <w:tc>
          <w:tcPr>
            <w:tcW w:w="3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5</w:t>
            </w:r>
          </w:p>
        </w:tc>
      </w:tr>
      <w:tr>
        <w:trPr>
          <w:trHeight w:val="105"/>
        </w:trPr>
        <w:tc>
          <w:tcPr>
            <w:tcW w:w="3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980" w:type="dxa"/>
            <w:vAlign w:val="bottom"/>
          </w:tcPr>
          <w:p>
            <w:pPr>
              <w:spacing w:after="0"/>
              <w:rPr>
                <w:sz w:val="9"/>
                <w:szCs w:val="9"/>
                <w:color w:val="auto"/>
              </w:rPr>
            </w:pPr>
          </w:p>
        </w:tc>
      </w:tr>
      <w:tr>
        <w:trPr>
          <w:trHeight w:val="61"/>
        </w:trPr>
        <w:tc>
          <w:tcPr>
            <w:tcW w:w="362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5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Advance Premium Finance, Inc.</w:t>
            </w:r>
          </w:p>
        </w:tc>
        <w:tc>
          <w:tcPr>
            <w:tcW w:w="1460" w:type="dxa"/>
            <w:vAlign w:val="bottom"/>
          </w:tcPr>
          <w:p>
            <w:pPr>
              <w:ind w:left="560"/>
              <w:spacing w:after="0"/>
              <w:rPr>
                <w:sz w:val="20"/>
                <w:szCs w:val="20"/>
                <w:color w:val="auto"/>
              </w:rPr>
            </w:pPr>
            <w:r>
              <w:rPr>
                <w:rFonts w:ascii="Arial" w:cs="Arial" w:eastAsia="Arial" w:hAnsi="Arial"/>
                <w:sz w:val="18"/>
                <w:szCs w:val="18"/>
                <w:color w:val="auto"/>
              </w:rPr>
              <w:t>California</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AiRush,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Associated Acceptance, Inc.</w:t>
            </w:r>
          </w:p>
        </w:tc>
        <w:tc>
          <w:tcPr>
            <w:tcW w:w="1460" w:type="dxa"/>
            <w:vAlign w:val="bottom"/>
          </w:tcPr>
          <w:p>
            <w:pPr>
              <w:ind w:left="560"/>
              <w:spacing w:after="0"/>
              <w:rPr>
                <w:sz w:val="20"/>
                <w:szCs w:val="20"/>
                <w:color w:val="auto"/>
              </w:rPr>
            </w:pPr>
            <w:r>
              <w:rPr>
                <w:rFonts w:ascii="Arial" w:cs="Arial" w:eastAsia="Arial" w:hAnsi="Arial"/>
                <w:sz w:val="18"/>
                <w:szCs w:val="18"/>
                <w:color w:val="auto"/>
              </w:rPr>
              <w:t>Texas</w:t>
            </w:r>
          </w:p>
        </w:tc>
        <w:tc>
          <w:tcPr>
            <w:tcW w:w="5960" w:type="dxa"/>
            <w:vAlign w:val="bottom"/>
          </w:tcPr>
          <w:p>
            <w:pPr>
              <w:ind w:left="840"/>
              <w:spacing w:after="0"/>
              <w:rPr>
                <w:sz w:val="20"/>
                <w:szCs w:val="20"/>
                <w:color w:val="auto"/>
              </w:rPr>
            </w:pPr>
            <w:r>
              <w:rPr>
                <w:rFonts w:ascii="Arial" w:cs="Arial" w:eastAsia="Arial" w:hAnsi="Arial"/>
                <w:sz w:val="18"/>
                <w:szCs w:val="18"/>
                <w:color w:val="auto"/>
              </w:rPr>
              <w:t>Associated Insurance Services</w:t>
            </w:r>
          </w:p>
        </w:tc>
      </w:tr>
      <w:tr>
        <w:trPr>
          <w:trHeight w:val="216"/>
        </w:trPr>
        <w:tc>
          <w:tcPr>
            <w:tcW w:w="4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60" w:type="dxa"/>
            <w:vAlign w:val="bottom"/>
          </w:tcPr>
          <w:p>
            <w:pPr>
              <w:ind w:left="840"/>
              <w:spacing w:after="0"/>
              <w:rPr>
                <w:sz w:val="20"/>
                <w:szCs w:val="20"/>
                <w:color w:val="auto"/>
              </w:rPr>
            </w:pPr>
            <w:r>
              <w:rPr>
                <w:rFonts w:ascii="Arial" w:cs="Arial" w:eastAsia="Arial" w:hAnsi="Arial"/>
                <w:sz w:val="18"/>
                <w:szCs w:val="18"/>
                <w:color w:val="auto"/>
              </w:rPr>
              <w:t>Automotive Industry Insurance</w:t>
            </w:r>
          </w:p>
        </w:tc>
      </w:tr>
      <w:tr>
        <w:trPr>
          <w:trHeight w:val="216"/>
        </w:trPr>
        <w:tc>
          <w:tcPr>
            <w:tcW w:w="4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60" w:type="dxa"/>
            <w:vAlign w:val="bottom"/>
          </w:tcPr>
          <w:p>
            <w:pPr>
              <w:ind w:left="840"/>
              <w:spacing w:after="0"/>
              <w:rPr>
                <w:sz w:val="20"/>
                <w:szCs w:val="20"/>
                <w:color w:val="auto"/>
              </w:rPr>
            </w:pPr>
            <w:r>
              <w:rPr>
                <w:rFonts w:ascii="Arial" w:cs="Arial" w:eastAsia="Arial" w:hAnsi="Arial"/>
                <w:sz w:val="18"/>
                <w:szCs w:val="18"/>
                <w:color w:val="auto"/>
              </w:rPr>
              <w:t>Associated Truck Insurance Services</w:t>
            </w:r>
          </w:p>
        </w:tc>
      </w:tr>
      <w:tr>
        <w:trPr>
          <w:trHeight w:val="216"/>
        </w:trPr>
        <w:tc>
          <w:tcPr>
            <w:tcW w:w="4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60" w:type="dxa"/>
            <w:vAlign w:val="bottom"/>
          </w:tcPr>
          <w:p>
            <w:pPr>
              <w:ind w:left="840"/>
              <w:spacing w:after="0"/>
              <w:rPr>
                <w:sz w:val="20"/>
                <w:szCs w:val="20"/>
                <w:color w:val="auto"/>
              </w:rPr>
            </w:pPr>
            <w:r>
              <w:rPr>
                <w:rFonts w:ascii="Arial" w:cs="Arial" w:eastAsia="Arial" w:hAnsi="Arial"/>
                <w:sz w:val="18"/>
                <w:szCs w:val="18"/>
                <w:color w:val="auto"/>
              </w:rPr>
              <w:t>Rush Truck Insurance Services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Associated Acceptance of Florida,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Associated Acceptance of Georgia,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Associated Acceptance of Oklahoma,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Blackshear Real Estate Holdings,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Central California Truck and Trailer Sales, LLC</w:t>
            </w:r>
          </w:p>
        </w:tc>
        <w:tc>
          <w:tcPr>
            <w:tcW w:w="1460" w:type="dxa"/>
            <w:vAlign w:val="bottom"/>
          </w:tcPr>
          <w:p>
            <w:pPr>
              <w:ind w:left="560"/>
              <w:spacing w:after="0"/>
              <w:rPr>
                <w:sz w:val="20"/>
                <w:szCs w:val="20"/>
                <w:color w:val="auto"/>
              </w:rPr>
            </w:pPr>
            <w:r>
              <w:rPr>
                <w:rFonts w:ascii="Arial" w:cs="Arial" w:eastAsia="Arial" w:hAnsi="Arial"/>
                <w:sz w:val="18"/>
                <w:szCs w:val="18"/>
                <w:color w:val="auto"/>
              </w:rPr>
              <w:t>Texas</w:t>
            </w:r>
          </w:p>
        </w:tc>
        <w:tc>
          <w:tcPr>
            <w:tcW w:w="5960" w:type="dxa"/>
            <w:vAlign w:val="bottom"/>
          </w:tcPr>
          <w:p>
            <w:pPr>
              <w:ind w:left="840"/>
              <w:spacing w:after="0"/>
              <w:rPr>
                <w:sz w:val="20"/>
                <w:szCs w:val="20"/>
                <w:color w:val="auto"/>
              </w:rPr>
            </w:pPr>
            <w:r>
              <w:rPr>
                <w:rFonts w:ascii="Arial" w:cs="Arial" w:eastAsia="Arial" w:hAnsi="Arial"/>
                <w:sz w:val="18"/>
                <w:szCs w:val="18"/>
                <w:color w:val="auto"/>
              </w:rPr>
              <w:t>Vanguard of Southern California</w:t>
            </w:r>
          </w:p>
        </w:tc>
      </w:tr>
      <w:tr>
        <w:trPr>
          <w:trHeight w:val="216"/>
        </w:trPr>
        <w:tc>
          <w:tcPr>
            <w:tcW w:w="4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60" w:type="dxa"/>
            <w:vAlign w:val="bottom"/>
          </w:tcPr>
          <w:p>
            <w:pPr>
              <w:ind w:left="840"/>
              <w:spacing w:after="0"/>
              <w:rPr>
                <w:sz w:val="20"/>
                <w:szCs w:val="20"/>
                <w:color w:val="auto"/>
              </w:rPr>
            </w:pPr>
            <w:r>
              <w:rPr>
                <w:rFonts w:ascii="Arial" w:cs="Arial" w:eastAsia="Arial" w:hAnsi="Arial"/>
                <w:sz w:val="18"/>
                <w:szCs w:val="18"/>
                <w:color w:val="auto"/>
              </w:rPr>
              <w:t>Central Arizona Truck and Trailer Sales</w:t>
            </w:r>
          </w:p>
        </w:tc>
      </w:tr>
      <w:tr>
        <w:trPr>
          <w:trHeight w:val="216"/>
        </w:trPr>
        <w:tc>
          <w:tcPr>
            <w:tcW w:w="4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60" w:type="dxa"/>
            <w:vAlign w:val="bottom"/>
          </w:tcPr>
          <w:p>
            <w:pPr>
              <w:ind w:left="840"/>
              <w:spacing w:after="0"/>
              <w:rPr>
                <w:sz w:val="20"/>
                <w:szCs w:val="20"/>
                <w:color w:val="auto"/>
              </w:rPr>
            </w:pPr>
            <w:r>
              <w:rPr>
                <w:rFonts w:ascii="Arial" w:cs="Arial" w:eastAsia="Arial" w:hAnsi="Arial"/>
                <w:sz w:val="18"/>
                <w:szCs w:val="18"/>
                <w:color w:val="auto"/>
              </w:rPr>
              <w:t>Landoll of California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Commercial Fleet Technologies,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Partsriver, Inc.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Idealease of Chicago LLC</w:t>
            </w:r>
          </w:p>
        </w:tc>
        <w:tc>
          <w:tcPr>
            <w:tcW w:w="1460" w:type="dxa"/>
            <w:vAlign w:val="bottom"/>
          </w:tcPr>
          <w:p>
            <w:pPr>
              <w:ind w:left="560"/>
              <w:spacing w:after="0"/>
              <w:rPr>
                <w:sz w:val="20"/>
                <w:szCs w:val="20"/>
                <w:color w:val="auto"/>
              </w:rPr>
            </w:pPr>
            <w:r>
              <w:rPr>
                <w:rFonts w:ascii="Arial" w:cs="Arial" w:eastAsia="Arial" w:hAnsi="Arial"/>
                <w:sz w:val="18"/>
                <w:szCs w:val="18"/>
                <w:color w:val="auto"/>
              </w:rPr>
              <w:t>Illinois</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International General Agency, Inc.</w:t>
            </w:r>
          </w:p>
        </w:tc>
        <w:tc>
          <w:tcPr>
            <w:tcW w:w="1460" w:type="dxa"/>
            <w:vAlign w:val="bottom"/>
          </w:tcPr>
          <w:p>
            <w:pPr>
              <w:ind w:left="560"/>
              <w:spacing w:after="0"/>
              <w:rPr>
                <w:sz w:val="20"/>
                <w:szCs w:val="20"/>
                <w:color w:val="auto"/>
              </w:rPr>
            </w:pPr>
            <w:r>
              <w:rPr>
                <w:rFonts w:ascii="Arial" w:cs="Arial" w:eastAsia="Arial" w:hAnsi="Arial"/>
                <w:sz w:val="18"/>
                <w:szCs w:val="18"/>
                <w:color w:val="auto"/>
              </w:rPr>
              <w:t>Texas</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Los Cuernos,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Los Cuernos Ranch</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Natural Gas Fuel Systems,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Momentum Fuel Technologies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Rig Tough, Inc.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RTC Illinois Acquisition Corp.</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Rush Truck Center, Effingham</w:t>
            </w:r>
          </w:p>
        </w:tc>
      </w:tr>
      <w:tr>
        <w:trPr>
          <w:trHeight w:val="216"/>
        </w:trPr>
        <w:tc>
          <w:tcPr>
            <w:tcW w:w="4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60" w:type="dxa"/>
            <w:vAlign w:val="bottom"/>
          </w:tcPr>
          <w:p>
            <w:pPr>
              <w:ind w:left="840"/>
              <w:spacing w:after="0"/>
              <w:rPr>
                <w:sz w:val="20"/>
                <w:szCs w:val="20"/>
                <w:color w:val="auto"/>
              </w:rPr>
            </w:pPr>
            <w:r>
              <w:rPr>
                <w:rFonts w:ascii="Arial" w:cs="Arial" w:eastAsia="Arial" w:hAnsi="Arial"/>
                <w:sz w:val="18"/>
                <w:szCs w:val="18"/>
                <w:color w:val="auto"/>
              </w:rPr>
              <w:t>Rush Truck Center, Mount Vernon</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RTC Nevada, LLC</w:t>
            </w:r>
          </w:p>
        </w:tc>
        <w:tc>
          <w:tcPr>
            <w:tcW w:w="146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960" w:type="dxa"/>
            <w:vAlign w:val="bottom"/>
          </w:tcPr>
          <w:p>
            <w:pPr>
              <w:ind w:left="840"/>
              <w:spacing w:after="0"/>
              <w:rPr>
                <w:sz w:val="20"/>
                <w:szCs w:val="20"/>
                <w:color w:val="auto"/>
              </w:rPr>
            </w:pPr>
            <w:r>
              <w:rPr>
                <w:rFonts w:ascii="Arial" w:cs="Arial" w:eastAsia="Arial" w:hAnsi="Arial"/>
                <w:sz w:val="18"/>
                <w:szCs w:val="18"/>
                <w:color w:val="auto"/>
              </w:rPr>
              <w:t>None</w:t>
            </w:r>
          </w:p>
        </w:tc>
      </w:tr>
      <w:tr>
        <w:trPr>
          <w:trHeight w:val="729"/>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6</w:t>
            </w:r>
          </w:p>
        </w:tc>
      </w:tr>
      <w:tr>
        <w:trPr>
          <w:trHeight w:val="105"/>
        </w:trPr>
        <w:tc>
          <w:tcPr>
            <w:tcW w:w="40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960" w:type="dxa"/>
            <w:vAlign w:val="bottom"/>
          </w:tcPr>
          <w:p>
            <w:pPr>
              <w:spacing w:after="0"/>
              <w:rPr>
                <w:sz w:val="9"/>
                <w:szCs w:val="9"/>
                <w:color w:val="auto"/>
              </w:rPr>
            </w:pPr>
          </w:p>
        </w:tc>
      </w:tr>
      <w:tr>
        <w:trPr>
          <w:trHeight w:val="61"/>
        </w:trPr>
        <w:tc>
          <w:tcPr>
            <w:tcW w:w="40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59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Accessories Corporation</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Chrome Country</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Administrative Services, Inc.</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Rushco, Inc.</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Equipment Centers of Texas, Inc.</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Rush Equipment Center, Houston</w:t>
            </w:r>
          </w:p>
        </w:tc>
      </w:tr>
      <w:tr>
        <w:trPr>
          <w:trHeight w:val="216"/>
        </w:trPr>
        <w:tc>
          <w:tcPr>
            <w:tcW w:w="4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w w:val="90"/>
              </w:rPr>
              <w:t>Rush Equipment Rental Center, San Antonio</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Truck Centers do Brasil Participacoes LTDA</w:t>
            </w:r>
          </w:p>
        </w:tc>
        <w:tc>
          <w:tcPr>
            <w:tcW w:w="1820" w:type="dxa"/>
            <w:vAlign w:val="bottom"/>
          </w:tcPr>
          <w:p>
            <w:pPr>
              <w:ind w:left="480"/>
              <w:spacing w:after="0"/>
              <w:rPr>
                <w:sz w:val="20"/>
                <w:szCs w:val="20"/>
                <w:color w:val="auto"/>
              </w:rPr>
            </w:pPr>
            <w:r>
              <w:rPr>
                <w:rFonts w:ascii="Arial" w:cs="Arial" w:eastAsia="Arial" w:hAnsi="Arial"/>
                <w:sz w:val="18"/>
                <w:szCs w:val="18"/>
                <w:color w:val="auto"/>
              </w:rPr>
              <w:t>Brazil</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Logistics, Inc.</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Real Estate Holdings, Inc.</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Retail Centers, Inc.</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Rushtex, Inc.</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Truck Center of Albuquerque, Inc.</w:t>
            </w:r>
          </w:p>
        </w:tc>
        <w:tc>
          <w:tcPr>
            <w:tcW w:w="1820" w:type="dxa"/>
            <w:vAlign w:val="bottom"/>
          </w:tcPr>
          <w:p>
            <w:pPr>
              <w:ind w:left="480"/>
              <w:spacing w:after="0"/>
              <w:rPr>
                <w:sz w:val="20"/>
                <w:szCs w:val="20"/>
                <w:color w:val="auto"/>
              </w:rPr>
            </w:pPr>
            <w:r>
              <w:rPr>
                <w:rFonts w:ascii="Arial" w:cs="Arial" w:eastAsia="Arial" w:hAnsi="Arial"/>
                <w:sz w:val="18"/>
                <w:szCs w:val="18"/>
                <w:color w:val="auto"/>
              </w:rPr>
              <w:t>New Mexico</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Truck &amp; Trailer Finance, Inc.</w:t>
            </w:r>
          </w:p>
        </w:tc>
        <w:tc>
          <w:tcPr>
            <w:tcW w:w="18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400"/>
              <w:spacing w:after="0"/>
              <w:rPr>
                <w:sz w:val="20"/>
                <w:szCs w:val="20"/>
                <w:color w:val="auto"/>
              </w:rPr>
            </w:pPr>
            <w:r>
              <w:rPr>
                <w:rFonts w:ascii="Arial" w:cs="Arial" w:eastAsia="Arial" w:hAnsi="Arial"/>
                <w:sz w:val="18"/>
                <w:szCs w:val="18"/>
                <w:color w:val="auto"/>
              </w:rPr>
              <w:t>None</w:t>
            </w:r>
          </w:p>
        </w:tc>
      </w:tr>
    </w:tbl>
    <w:p>
      <w:pPr>
        <w:spacing w:after="0" w:line="19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9"/>
          </w:cols>
          <w:pgMar w:left="240" w:top="584"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333-198080) pertaining to the Rush Enterprises, Inc. 2007 Long-Term Incentive Plan;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333-170732) pertaining to the Rush Enterprises, Inc. Deferred Compensation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333-168231)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333-144821)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Registration Statement (Form S-8 No. 333-138556) pertaining to the Rush Enterprises, Inc. 2006 Non-Employee Director Stock Option Plan;</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333-121355) pertaining to the Rush Enterprises, Inc. Long-Term Incentive Plan, the Rush Enterprises, Inc. 2004 Employee Stock Purchase Plan and Certain Non-Plan Options;</w:t>
      </w: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333-117305) pertaining to the Rush Enterprises, Inc. Long-Term Incentive Plan;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333-07043) pertaining to the Rush Enterprises, Inc. Long-Term Incentive Plan.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1, 2017,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2016.</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225"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05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1169"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277" w:lineRule="auto"/>
        <w:tabs>
          <w:tab w:leader="none" w:pos="4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0" w:lineRule="exact"/>
        <w:rPr>
          <w:rFonts w:ascii="Arial" w:cs="Arial" w:eastAsia="Arial" w:hAnsi="Arial"/>
          <w:sz w:val="18"/>
          <w:szCs w:val="18"/>
          <w:color w:val="auto"/>
        </w:rPr>
      </w:pPr>
    </w:p>
    <w:p>
      <w:pPr>
        <w:ind w:firstLine="656"/>
        <w:spacing w:after="0" w:line="277" w:lineRule="auto"/>
        <w:tabs>
          <w:tab w:leader="none" w:pos="104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03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Date: March 1, 2017</w:t>
            </w:r>
          </w:p>
        </w:tc>
        <w:tc>
          <w:tcPr>
            <w:tcW w:w="4920" w:type="dxa"/>
            <w:vAlign w:val="bottom"/>
            <w:gridSpan w:val="3"/>
          </w:tcPr>
          <w:p>
            <w:pPr>
              <w:ind w:left="1760"/>
              <w:spacing w:after="0"/>
              <w:rPr>
                <w:sz w:val="20"/>
                <w:szCs w:val="20"/>
                <w:color w:val="auto"/>
              </w:rPr>
            </w:pPr>
            <w:r>
              <w:rPr>
                <w:rFonts w:ascii="Arial" w:cs="Arial" w:eastAsia="Arial" w:hAnsi="Arial"/>
                <w:sz w:val="18"/>
                <w:szCs w:val="18"/>
                <w:color w:val="auto"/>
              </w:rPr>
              <w:t>By: /S/ W. M. “RUSTY” RUSH</w:t>
            </w:r>
          </w:p>
        </w:tc>
      </w:tr>
      <w:tr>
        <w:trPr>
          <w:trHeight w:val="237"/>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 M. “Rusty” Rush</w:t>
            </w:r>
          </w:p>
        </w:tc>
        <w:tc>
          <w:tcPr>
            <w:tcW w:w="840" w:type="dxa"/>
            <w:vAlign w:val="bottom"/>
          </w:tcPr>
          <w:p>
            <w:pPr>
              <w:spacing w:after="0"/>
              <w:rPr>
                <w:sz w:val="20"/>
                <w:szCs w:val="20"/>
                <w:color w:val="auto"/>
              </w:rPr>
            </w:pPr>
          </w:p>
        </w:tc>
      </w:tr>
      <w:tr>
        <w:trPr>
          <w:trHeight w:val="418"/>
        </w:trPr>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3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Chairman of the Board</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05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1169"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6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277" w:lineRule="auto"/>
        <w:tabs>
          <w:tab w:leader="none" w:pos="4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0" w:lineRule="exact"/>
        <w:rPr>
          <w:rFonts w:ascii="Arial" w:cs="Arial" w:eastAsia="Arial" w:hAnsi="Arial"/>
          <w:sz w:val="18"/>
          <w:szCs w:val="18"/>
          <w:color w:val="auto"/>
        </w:rPr>
      </w:pPr>
    </w:p>
    <w:p>
      <w:pPr>
        <w:ind w:firstLine="656"/>
        <w:spacing w:after="0" w:line="277" w:lineRule="auto"/>
        <w:tabs>
          <w:tab w:leader="none" w:pos="104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039"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1, 2017</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KELLER</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Steven L. Keller</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2016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020" w:hanging="364"/>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11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 M. “RUSTY” RUSH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 M. “Rusty” Rush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 Chief Executive Officer and Chairman of</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the Board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March 1, 2017</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2016 as filed with the Securities and Exchange Commission on the date hereof (the “Report”), I, Steven L. Keller, Senior Vice President,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020" w:hanging="364"/>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116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Name:Steven L. Keller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 Chief Financial Officer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March 1,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lowerRoman"/>
      <w:start w:val="2"/>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lowerRoman"/>
      <w:start w:val="2"/>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2"/>
    </w:lvl>
  </w:abstractNum>
  <w:abstractNum w:abstractNumId="14">
    <w:nsid w:val="3804823E"/>
    <w:multiLevelType w:val="hybridMultilevel"/>
    <w:lvl w:ilvl="0">
      <w:lvlJc w:val="left"/>
      <w:lvlText w:val="%1."/>
      <w:numFmt w:val="decimal"/>
      <w:start w:val="3"/>
    </w:lvl>
  </w:abstractNum>
  <w:abstractNum w:abstractNumId="15">
    <w:nsid w:val="77465F01"/>
    <w:multiLevelType w:val="hybridMultilevel"/>
    <w:lvl w:ilvl="0">
      <w:lvlJc w:val="left"/>
      <w:lvlText w:val="%1."/>
      <w:numFmt w:val="decimal"/>
      <w:start w:val="4"/>
    </w:lvl>
  </w:abstractNum>
  <w:abstractNum w:abstractNumId="16">
    <w:nsid w:val="7724C67E"/>
    <w:multiLevelType w:val="hybridMultilevel"/>
    <w:lvl w:ilvl="0">
      <w:lvlJc w:val="left"/>
      <w:lvlText w:val="%1."/>
      <w:numFmt w:val="decimal"/>
      <w:start w:val="7"/>
    </w:lvl>
  </w:abstractNum>
  <w:abstractNum w:abstractNumId="17">
    <w:nsid w:val="5C482A97"/>
    <w:multiLevelType w:val="hybridMultilevel"/>
    <w:lvl w:ilvl="0">
      <w:lvlJc w:val="left"/>
      <w:lvlText w:val="%1."/>
      <w:numFmt w:val="decimal"/>
      <w:start w:val="9"/>
    </w:lvl>
  </w:abstractNum>
  <w:abstractNum w:abstractNumId="18">
    <w:nsid w:val="2463B9EA"/>
    <w:multiLevelType w:val="hybridMultilevel"/>
    <w:lvl w:ilvl="0">
      <w:lvlJc w:val="left"/>
      <w:lvlText w:val="%1."/>
      <w:numFmt w:val="decimal"/>
      <w:start w:val="10"/>
    </w:lvl>
  </w:abstractNum>
  <w:abstractNum w:abstractNumId="19">
    <w:nsid w:val="5E884ADC"/>
    <w:multiLevelType w:val="hybridMultilevel"/>
    <w:lvl w:ilvl="0">
      <w:lvlJc w:val="left"/>
      <w:lvlText w:val="%1."/>
      <w:numFmt w:val="decimal"/>
      <w:start w:val="11"/>
    </w:lvl>
  </w:abstractNum>
  <w:abstractNum w:abstractNumId="20">
    <w:nsid w:val="51EAD36B"/>
    <w:multiLevelType w:val="hybridMultilevel"/>
    <w:lvl w:ilvl="0">
      <w:lvlJc w:val="left"/>
      <w:lvlText w:val="%1."/>
      <w:numFmt w:val="decimal"/>
      <w:start w:val="12"/>
    </w:lvl>
  </w:abstractNum>
  <w:abstractNum w:abstractNumId="21">
    <w:nsid w:val="2D517796"/>
    <w:multiLevelType w:val="hybridMultilevel"/>
    <w:lvl w:ilvl="0">
      <w:lvlJc w:val="left"/>
      <w:lvlText w:val="%1."/>
      <w:numFmt w:val="decimal"/>
      <w:start w:val="13"/>
    </w:lvl>
  </w:abstractNum>
  <w:abstractNum w:abstractNumId="22">
    <w:nsid w:val="580BD78F"/>
    <w:multiLevelType w:val="hybridMultilevel"/>
    <w:lvl w:ilvl="0">
      <w:lvlJc w:val="left"/>
      <w:lvlText w:val="%1."/>
      <w:numFmt w:val="decimal"/>
      <w:start w:val="15"/>
    </w:lvl>
  </w:abstractNum>
  <w:abstractNum w:abstractNumId="23">
    <w:nsid w:val="153EA438"/>
    <w:multiLevelType w:val="hybridMultilevel"/>
    <w:lvl w:ilvl="0">
      <w:lvlJc w:val="left"/>
      <w:lvlText w:val="%1."/>
      <w:numFmt w:val="decimal"/>
      <w:start w:val="16"/>
    </w:lvl>
  </w:abstractNum>
  <w:abstractNum w:abstractNumId="24">
    <w:nsid w:val="3855585C"/>
    <w:multiLevelType w:val="hybridMultilevel"/>
    <w:lvl w:ilvl="0">
      <w:lvlJc w:val="left"/>
      <w:lvlText w:val="%1."/>
      <w:numFmt w:val="decimal"/>
      <w:start w:val="17"/>
    </w:lvl>
  </w:abstractNum>
  <w:abstractNum w:abstractNumId="25">
    <w:nsid w:val="70A64E2A"/>
    <w:multiLevelType w:val="hybridMultilevel"/>
    <w:lvl w:ilvl="0">
      <w:lvlJc w:val="left"/>
      <w:lvlText w:val="%1."/>
      <w:numFmt w:val="decimal"/>
      <w:start w:val="20"/>
    </w:lvl>
  </w:abstractNum>
  <w:abstractNum w:abstractNumId="26">
    <w:nsid w:val="6A2342EC"/>
    <w:multiLevelType w:val="hybridMultilevel"/>
    <w:lvl w:ilvl="0">
      <w:lvlJc w:val="left"/>
      <w:lvlText w:val="%1."/>
      <w:numFmt w:val="decimal"/>
      <w:start w:val="2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2"/>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lowerLetter"/>
      <w:start w:val="2"/>
    </w:lvl>
  </w:abstractNum>
  <w:abstractNum w:abstractNumId="34">
    <w:nsid w:val="542289EC"/>
    <w:multiLevelType w:val="hybridMultilevel"/>
    <w:lvl w:ilvl="0">
      <w:lvlJc w:val="left"/>
      <w:lvlText w:val="%1."/>
      <w:numFmt w:val="decimal"/>
      <w:start w:val="3"/>
    </w:lvl>
  </w:abstractNum>
  <w:abstractNum w:abstractNumId="35">
    <w:nsid w:val="6DE91B18"/>
    <w:multiLevelType w:val="hybridMultilevel"/>
    <w:lvl w:ilvl="0">
      <w:lvlJc w:val="left"/>
      <w:lvlText w:val="%1."/>
      <w:numFmt w:val="decimal"/>
      <w:start w:val="4"/>
    </w:lvl>
  </w:abstractNum>
  <w:abstractNum w:abstractNumId="36">
    <w:nsid w:val="38437FDB"/>
    <w:multiLevelType w:val="hybridMultilevel"/>
    <w:lvl w:ilvl="0">
      <w:lvlJc w:val="left"/>
      <w:lvlText w:val="%1."/>
      <w:numFmt w:val="decimal"/>
      <w:start w:val="5"/>
    </w:lvl>
  </w:abstractNum>
  <w:abstractNum w:abstractNumId="37">
    <w:nsid w:val="7644A45C"/>
    <w:multiLevelType w:val="hybridMultilevel"/>
    <w:lvl w:ilvl="0">
      <w:lvlJc w:val="left"/>
      <w:lvlText w:val="%1."/>
      <w:numFmt w:val="decimal"/>
      <w:start w:val="6"/>
    </w:lvl>
  </w:abstractNum>
  <w:abstractNum w:abstractNumId="38">
    <w:nsid w:val="32FFF902"/>
    <w:multiLevelType w:val="hybridMultilevel"/>
    <w:lvl w:ilvl="0">
      <w:lvlJc w:val="left"/>
      <w:lvlText w:val="%1."/>
      <w:numFmt w:val="decimal"/>
      <w:start w:val="7"/>
    </w:lvl>
  </w:abstractNum>
  <w:abstractNum w:abstractNumId="39">
    <w:nsid w:val="684A481A"/>
    <w:multiLevelType w:val="hybridMultilevel"/>
    <w:lvl w:ilvl="0">
      <w:lvlJc w:val="left"/>
      <w:lvlText w:val="%1."/>
      <w:numFmt w:val="decimal"/>
      <w:start w:val="8"/>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decimal"/>
      <w:start w:val="9"/>
    </w:lvl>
  </w:abstractNum>
  <w:abstractNum w:abstractNumId="42">
    <w:nsid w:val="3DC240FB"/>
    <w:multiLevelType w:val="hybridMultilevel"/>
    <w:lvl w:ilvl="0">
      <w:lvlJc w:val="left"/>
      <w:lvlText w:val="%1."/>
      <w:numFmt w:val="decimal"/>
      <w:start w:val="10"/>
    </w:lvl>
  </w:abstractNum>
  <w:abstractNum w:abstractNumId="43">
    <w:nsid w:val="1BA026FA"/>
    <w:multiLevelType w:val="hybridMultilevel"/>
    <w:lvl w:ilvl="0">
      <w:lvlJc w:val="left"/>
      <w:lvlText w:val="%1."/>
      <w:numFmt w:val="decimal"/>
      <w:start w:val="11"/>
    </w:lvl>
  </w:abstractNum>
  <w:abstractNum w:abstractNumId="44">
    <w:nsid w:val="79A1DEAA"/>
    <w:multiLevelType w:val="hybridMultilevel"/>
    <w:lvl w:ilvl="0">
      <w:lvlJc w:val="left"/>
      <w:lvlText w:val="%1."/>
      <w:numFmt w:val="decimal"/>
      <w:start w:val="12"/>
    </w:lvl>
  </w:abstractNum>
  <w:abstractNum w:abstractNumId="45">
    <w:nsid w:val="75C6C33A"/>
    <w:multiLevelType w:val="hybridMultilevel"/>
    <w:lvl w:ilvl="0">
      <w:lvlJc w:val="left"/>
      <w:lvlText w:val="%1."/>
      <w:numFmt w:val="decimal"/>
      <w:start w:val="13"/>
    </w:lvl>
  </w:abstractNum>
  <w:abstractNum w:abstractNumId="46">
    <w:nsid w:val="12E685FB"/>
    <w:multiLevelType w:val="hybridMultilevel"/>
    <w:lvl w:ilvl="0">
      <w:lvlJc w:val="left"/>
      <w:lvlText w:val="%1."/>
      <w:numFmt w:val="decimal"/>
      <w:start w:val="14"/>
    </w:lvl>
  </w:abstractNum>
  <w:abstractNum w:abstractNumId="47">
    <w:nsid w:val="70C6A529"/>
    <w:multiLevelType w:val="hybridMultilevel"/>
    <w:lvl w:ilvl="0">
      <w:lvlJc w:val="left"/>
      <w:lvlText w:val="%1."/>
      <w:numFmt w:val="decimal"/>
      <w:start w:val="15"/>
    </w:lvl>
  </w:abstractNum>
  <w:abstractNum w:abstractNumId="48">
    <w:nsid w:val="520EEDD1"/>
    <w:multiLevelType w:val="hybridMultilevel"/>
    <w:lvl w:ilvl="0">
      <w:lvlJc w:val="left"/>
      <w:lvlText w:val="%1."/>
      <w:numFmt w:val="decimal"/>
      <w:start w:val="16"/>
    </w:lvl>
  </w:abstractNum>
  <w:abstractNum w:abstractNumId="49">
    <w:nsid w:val="374A3FE6"/>
    <w:multiLevelType w:val="hybridMultilevel"/>
    <w:lvl w:ilvl="0">
      <w:lvlJc w:val="left"/>
      <w:lvlText w:val="%1."/>
      <w:numFmt w:val="decimal"/>
      <w:start w:val="17"/>
    </w:lvl>
  </w:abstractNum>
  <w:abstractNum w:abstractNumId="50">
    <w:nsid w:val="4F4EF005"/>
    <w:multiLevelType w:val="hybridMultilevel"/>
    <w:lvl w:ilvl="0">
      <w:lvlJc w:val="left"/>
      <w:lvlText w:val="%1."/>
      <w:numFmt w:val="decimal"/>
      <w:start w:val="18"/>
    </w:lvl>
  </w:abstractNum>
  <w:abstractNum w:abstractNumId="51">
    <w:nsid w:val="23F9C13C"/>
    <w:multiLevelType w:val="hybridMultilevel"/>
    <w:lvl w:ilvl="0">
      <w:lvlJc w:val="left"/>
      <w:lvlText w:val="%1."/>
      <w:numFmt w:val="decimal"/>
      <w:start w:val="19"/>
    </w:lvl>
  </w:abstractNum>
  <w:abstractNum w:abstractNumId="52">
    <w:nsid w:val="649BB77C"/>
    <w:multiLevelType w:val="hybridMultilevel"/>
    <w:lvl w:ilvl="0">
      <w:lvlJc w:val="left"/>
      <w:lvlText w:val="%1."/>
      <w:numFmt w:val="decimal"/>
      <w:start w:val="20"/>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2019-12-29T09:08:15Z</dcterms:created>
  <dcterms:modified xsi:type="dcterms:W3CDTF">2019-12-29T09:08:15Z</dcterms:modified>
</cp:coreProperties>
</file>