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1900" w:hanging="2432"/>
        <w:spacing w:after="0" w:line="493"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 to 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77" w:orient="portrait"/>
          <w:cols w:equalWidth="0" w:num="1">
            <w:col w:w="11240"/>
          </w:cols>
          <w:pgMar w:left="320" w:top="688" w:right="339" w:bottom="0" w:gutter="0" w:footer="0" w:header="0"/>
        </w:sectPr>
      </w:pPr>
    </w:p>
    <w:p>
      <w:pPr>
        <w:spacing w:after="0" w:line="20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77" w:orient="portrait"/>
          <w:cols w:equalWidth="0" w:num="2">
            <w:col w:w="6400" w:space="720"/>
            <w:col w:w="4120"/>
          </w:cols>
          <w:pgMar w:left="320" w:top="688" w:right="3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77" w:orient="portrait"/>
          <w:cols w:equalWidth="0" w:num="1">
            <w:col w:w="11240"/>
          </w:cols>
          <w:pgMar w:left="320" w:top="688" w:right="339" w:bottom="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2220" w:val="left"/>
          <w:tab w:leader="none" w:pos="5020" w:val="left"/>
          <w:tab w:leader="none" w:pos="78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7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May 3, 2024.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4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Title of Class</w:t>
            </w:r>
          </w:p>
        </w:tc>
        <w:tc>
          <w:tcPr>
            <w:tcW w:w="2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0" w:type="dxa"/>
            <w:vAlign w:val="bottom"/>
            <w:gridSpan w:val="2"/>
          </w:tcPr>
          <w:p>
            <w:pPr>
              <w:jc w:val="center"/>
              <w:ind w:right="2320"/>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c>
          <w:tcPr>
            <w:tcW w:w="40" w:type="dxa"/>
            <w:vAlign w:val="bottom"/>
          </w:tcPr>
          <w:p>
            <w:pPr>
              <w:spacing w:after="0"/>
              <w:rPr>
                <w:sz w:val="16"/>
                <w:szCs w:val="16"/>
                <w:color w:val="auto"/>
              </w:rPr>
            </w:pPr>
          </w:p>
        </w:tc>
      </w:tr>
      <w:tr>
        <w:trPr>
          <w:trHeight w:val="20"/>
        </w:trPr>
        <w:tc>
          <w:tcPr>
            <w:tcW w:w="122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4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2440" w:type="dxa"/>
            <w:vAlign w:val="bottom"/>
          </w:tcPr>
          <w:p>
            <w:pPr>
              <w:spacing w:after="0"/>
              <w:rPr>
                <w:sz w:val="18"/>
                <w:szCs w:val="18"/>
                <w:color w:val="auto"/>
              </w:rPr>
            </w:pP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61,900,735</w:t>
            </w: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2440" w:type="dxa"/>
            <w:vAlign w:val="bottom"/>
          </w:tcPr>
          <w:p>
            <w:pPr>
              <w:spacing w:after="0"/>
              <w:rPr>
                <w:sz w:val="20"/>
                <w:szCs w:val="20"/>
                <w:color w:val="auto"/>
              </w:rPr>
            </w:pP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16,713,423</w:t>
            </w: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90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78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tcPr>
          <w:p>
            <w:pPr>
              <w:jc w:val="center"/>
              <w:ind w:right="79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bottom w:val="single" w:sz="8" w:color="auto"/>
              <w:right w:val="single" w:sz="8" w:color="auto"/>
            </w:tcBorders>
            <w:gridSpan w:val="3"/>
          </w:tcPr>
          <w:p>
            <w:pPr>
              <w:jc w:val="center"/>
              <w:ind w:right="60"/>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c>
          <w:tcPr>
            <w:tcW w:w="40" w:type="dxa"/>
            <w:vAlign w:val="bottom"/>
          </w:tcPr>
          <w:p>
            <w:pPr>
              <w:spacing w:after="0"/>
              <w:rPr>
                <w:sz w:val="16"/>
                <w:szCs w:val="16"/>
                <w:color w:val="auto"/>
              </w:rPr>
            </w:pPr>
          </w:p>
        </w:tc>
      </w:tr>
      <w:tr>
        <w:trPr>
          <w:trHeight w:val="174"/>
        </w:trPr>
        <w:tc>
          <w:tcPr>
            <w:tcW w:w="1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gridSpan w:val="3"/>
          </w:tcPr>
          <w:p>
            <w:pPr>
              <w:ind w:left="54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780" w:type="dxa"/>
            <w:vAlign w:val="bottom"/>
          </w:tcPr>
          <w:p>
            <w:pPr>
              <w:spacing w:after="0"/>
              <w:rPr>
                <w:sz w:val="15"/>
                <w:szCs w:val="15"/>
                <w:color w:val="auto"/>
              </w:rPr>
            </w:pPr>
          </w:p>
        </w:tc>
        <w:tc>
          <w:tcPr>
            <w:tcW w:w="2440" w:type="dxa"/>
            <w:vAlign w:val="bottom"/>
            <w:tcBorders>
              <w:right w:val="single" w:sz="8" w:color="auto"/>
            </w:tcBorders>
          </w:tcPr>
          <w:p>
            <w:pPr>
              <w:jc w:val="center"/>
              <w:ind w:right="77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660" w:type="dxa"/>
            <w:vAlign w:val="bottom"/>
          </w:tcPr>
          <w:p>
            <w:pPr>
              <w:spacing w:after="0"/>
              <w:rPr>
                <w:sz w:val="15"/>
                <w:szCs w:val="15"/>
                <w:color w:val="auto"/>
              </w:rPr>
            </w:pPr>
          </w:p>
        </w:tc>
        <w:tc>
          <w:tcPr>
            <w:tcW w:w="3200" w:type="dxa"/>
            <w:vAlign w:val="bottom"/>
            <w:tcBorders>
              <w:right w:val="single" w:sz="8" w:color="auto"/>
            </w:tcBorders>
            <w:gridSpan w:val="2"/>
          </w:tcPr>
          <w:p>
            <w:pPr>
              <w:jc w:val="center"/>
              <w:ind w:right="720"/>
              <w:spacing w:after="0" w:line="175" w:lineRule="exact"/>
              <w:rPr>
                <w:sz w:val="20"/>
                <w:szCs w:val="20"/>
                <w:color w:val="auto"/>
              </w:rPr>
            </w:pPr>
            <w:r>
              <w:rPr>
                <w:rFonts w:ascii="Times New Roman" w:cs="Times New Roman" w:eastAsia="Times New Roman" w:hAnsi="Times New Roman"/>
                <w:sz w:val="18"/>
                <w:szCs w:val="18"/>
                <w:color w:val="auto"/>
                <w:w w:val="99"/>
              </w:rPr>
              <w:t>NASDAQ Global Select Market</w:t>
            </w:r>
          </w:p>
        </w:tc>
        <w:tc>
          <w:tcPr>
            <w:tcW w:w="40" w:type="dxa"/>
            <w:vAlign w:val="bottom"/>
          </w:tcPr>
          <w:p>
            <w:pPr>
              <w:spacing w:after="0"/>
              <w:rPr>
                <w:sz w:val="15"/>
                <w:szCs w:val="15"/>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78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RUSHB</w:t>
            </w:r>
          </w:p>
        </w:tc>
        <w:tc>
          <w:tcPr>
            <w:tcW w:w="660" w:type="dxa"/>
            <w:vAlign w:val="bottom"/>
            <w:tcBorders>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40" w:type="dxa"/>
            <w:vAlign w:val="bottom"/>
          </w:tcPr>
          <w:p>
            <w:pPr>
              <w:spacing w:after="0"/>
              <w:rPr>
                <w:sz w:val="20"/>
                <w:szCs w:val="20"/>
                <w:color w:val="auto"/>
              </w:rPr>
            </w:pPr>
          </w:p>
        </w:tc>
      </w:tr>
      <w:tr>
        <w:trPr>
          <w:trHeight w:val="668"/>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77" w:orient="portrait"/>
          <w:cols w:equalWidth="0" w:num="1">
            <w:col w:w="11240"/>
          </w:cols>
          <w:pgMar w:left="320" w:top="688"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2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20" w:type="dxa"/>
            <w:vAlign w:val="bottom"/>
            <w:gridSpan w:val="10"/>
          </w:tcPr>
          <w:p>
            <w:pPr>
              <w:ind w:left="16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7660" w:type="dxa"/>
            <w:vAlign w:val="bottom"/>
            <w:gridSpan w:val="11"/>
          </w:tcPr>
          <w:p>
            <w:pPr>
              <w:spacing w:after="0"/>
              <w:rPr>
                <w:sz w:val="24"/>
                <w:szCs w:val="24"/>
                <w:color w:val="auto"/>
              </w:rPr>
            </w:pP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12"/>
        </w:trPr>
        <w:tc>
          <w:tcPr>
            <w:tcW w:w="1340" w:type="dxa"/>
            <w:vAlign w:val="bottom"/>
            <w:tcBorders>
              <w:top w:val="single" w:sz="8" w:color="0000EE"/>
            </w:tcBorders>
            <w:gridSpan w:val="3"/>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280" w:type="dxa"/>
            <w:vAlign w:val="bottom"/>
            <w:tcBorders>
              <w:top w:val="single" w:sz="8" w:color="0000EE"/>
            </w:tcBorders>
            <w:gridSpan w:val="2"/>
          </w:tcPr>
          <w:p>
            <w:pPr>
              <w:spacing w:after="0"/>
              <w:rPr>
                <w:sz w:val="24"/>
                <w:szCs w:val="24"/>
                <w:color w:val="auto"/>
              </w:rPr>
            </w:pPr>
          </w:p>
        </w:tc>
        <w:tc>
          <w:tcPr>
            <w:tcW w:w="7660" w:type="dxa"/>
            <w:vAlign w:val="bottom"/>
            <w:gridSpan w:val="11"/>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Consolidated Balance Sheets - March 31, 2024 (unaudited) and December 31, 2023</w:t>
            </w:r>
          </w:p>
        </w:tc>
        <w:tc>
          <w:tcPr>
            <w:tcW w:w="3420" w:type="dxa"/>
            <w:vAlign w:val="bottom"/>
            <w:gridSpan w:val="6"/>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 For the Three Months Ended March 31, 2024 and 2023 (unaudited)</w:t>
            </w:r>
          </w:p>
        </w:tc>
        <w:tc>
          <w:tcPr>
            <w:tcW w:w="1880" w:type="dxa"/>
            <w:vAlign w:val="bottom"/>
            <w:gridSpan w:val="4"/>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For the Three Months Ended March 31, 2024 and 2023 (unaudited)</w:t>
            </w:r>
          </w:p>
        </w:tc>
        <w:tc>
          <w:tcPr>
            <w:tcW w:w="70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 For the Three Months Ended March 31, 2024 and 2023 (unaudited)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Consolidated Statements of Cash Flows - For the Three Months Ended March 31, 2024 and 2023 (unaudited)</w:t>
            </w:r>
          </w:p>
        </w:tc>
        <w:tc>
          <w:tcPr>
            <w:tcW w:w="820" w:type="dxa"/>
            <w:vAlign w:val="bottom"/>
            <w:gridSpan w:val="2"/>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840" w:type="dxa"/>
            <w:vAlign w:val="bottom"/>
            <w:gridSpan w:val="6"/>
          </w:tcPr>
          <w:p>
            <w:pPr>
              <w:spacing w:after="0"/>
              <w:rPr>
                <w:sz w:val="24"/>
                <w:szCs w:val="24"/>
                <w:color w:val="auto"/>
              </w:rPr>
            </w:pPr>
          </w:p>
        </w:tc>
        <w:tc>
          <w:tcPr>
            <w:tcW w:w="1580" w:type="dxa"/>
            <w:vAlign w:val="bottom"/>
            <w:gridSpan w:val="3"/>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9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44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4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768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412"/>
        </w:trPr>
        <w:tc>
          <w:tcPr>
            <w:tcW w:w="2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796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8120" w:type="dxa"/>
            <w:vAlign w:val="bottom"/>
            <w:gridSpan w:val="15"/>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10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1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768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25</w:t>
            </w:r>
          </w:p>
        </w:tc>
      </w:tr>
      <w:tr>
        <w:trPr>
          <w:trHeight w:val="412"/>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41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26</w:t>
            </w:r>
          </w:p>
        </w:tc>
      </w:tr>
      <w:tr>
        <w:trPr>
          <w:trHeight w:val="453"/>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11"/>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3"/>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Shares)</w:t>
            </w:r>
          </w:p>
        </w:tc>
        <w:tc>
          <w:tcPr>
            <w:tcW w:w="90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155,905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183,725</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303,444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259,353</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2,031,775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1,801,447</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2,260,304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1,501,066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1,488,086</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120,162</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419,728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420,708</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74,981</w:t>
            </w:r>
          </w:p>
        </w:tc>
        <w:tc>
          <w:tcPr>
            <w:tcW w:w="100" w:type="dxa"/>
            <w:vAlign w:val="bottom"/>
          </w:tcPr>
          <w:p>
            <w:pPr>
              <w:spacing w:after="0"/>
              <w:rPr>
                <w:sz w:val="18"/>
                <w:szCs w:val="18"/>
                <w:color w:val="auto"/>
              </w:rPr>
            </w:pPr>
          </w:p>
        </w:tc>
      </w:tr>
      <w:tr>
        <w:trPr>
          <w:trHeight w:val="24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4,629,006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4,364,241</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1,248,853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1,139,744</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36,119</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17,438</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181,079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162,134</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145,326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172,549</w:t>
            </w:r>
          </w:p>
        </w:tc>
        <w:tc>
          <w:tcPr>
            <w:tcW w:w="100" w:type="dxa"/>
            <w:vAlign w:val="bottom"/>
          </w:tcPr>
          <w:p>
            <w:pPr>
              <w:spacing w:after="0"/>
              <w:rPr>
                <w:sz w:val="18"/>
                <w:szCs w:val="18"/>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1,757,329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1,673,310</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524,450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414,002</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97,617</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104,514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24,811</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159,571</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2024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61,813,022 Class A shares and 16,715,277 Class B shares outstanding in 2024;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61,461,281 Class A shares and 16,364,158 Class B shares outstanding in 2023</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542,046</w:t>
            </w: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1,220,155 Class A shares and 1,731,162 Class B shares in 2024; and 1,092,142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shares and 1,731,157 Class B shares in 2023</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(119,835)</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1,508,202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1,450,025</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(2,163)</w:t>
            </w:r>
          </w:p>
        </w:tc>
      </w:tr>
      <w:tr>
        <w:trPr>
          <w:trHeight w:val="209"/>
        </w:trPr>
        <w:tc>
          <w:tcPr>
            <w:tcW w:w="8000" w:type="dxa"/>
            <w:vAlign w:val="bottom"/>
            <w:tcBorders>
              <w:top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1,935,502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1,870,879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1,890,416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INCOME</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5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1,123,319</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1,161,725</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649,196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648,226</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86,666</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6,571</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18"/>
                <w:szCs w:val="18"/>
                <w:color w:val="auto"/>
              </w:rPr>
            </w:pPr>
          </w:p>
        </w:tc>
      </w:tr>
      <w:tr>
        <w:trPr>
          <w:trHeight w:val="210"/>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1,871,999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1,911,767</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1,006,100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1,050,365</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412,254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402,155</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1,482,124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1,512,998</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389,875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398,769</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263,665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256,808</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14,314</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127,776</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119,140</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90,790</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0"/>
        </w:trPr>
        <w:tc>
          <w:tcPr>
            <w:tcW w:w="800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90,455</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 stock:</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0.91</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0.88</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78,483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82,150</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84,846</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r>
      <w:tr>
        <w:trPr>
          <w:trHeight w:val="410"/>
        </w:trPr>
        <w:tc>
          <w:tcPr>
            <w:tcW w:w="1280" w:type="dxa"/>
            <w:vAlign w:val="bottom"/>
          </w:tcPr>
          <w:p>
            <w:pPr>
              <w:spacing w:after="0"/>
              <w:rPr>
                <w:sz w:val="24"/>
                <w:szCs w:val="24"/>
                <w:color w:val="auto"/>
              </w:rPr>
            </w:pPr>
          </w:p>
        </w:tc>
        <w:tc>
          <w:tcPr>
            <w:tcW w:w="8320" w:type="dxa"/>
            <w:vAlign w:val="bottom"/>
            <w:gridSpan w:val="8"/>
          </w:tcPr>
          <w:p>
            <w:pPr>
              <w:jc w:val="center"/>
              <w:ind w:left="2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20" w:type="dxa"/>
            <w:vAlign w:val="bottom"/>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680" w:type="dxa"/>
            <w:vAlign w:val="bottom"/>
            <w:gridSpan w:val="6"/>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 (LOSS)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20" w:type="dxa"/>
            <w:vAlign w:val="bottom"/>
            <w:gridSpan w:val="5"/>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71,489</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90,790</w:t>
            </w: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49"/>
        </w:trPr>
        <w:tc>
          <w:tcPr>
            <w:tcW w:w="80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2"/>
                <w:szCs w:val="12"/>
                <w:color w:val="auto"/>
              </w:rPr>
            </w:pPr>
          </w:p>
        </w:tc>
        <w:tc>
          <w:tcPr>
            <w:tcW w:w="7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$0.01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Enterprises,</w:t>
            </w:r>
          </w:p>
        </w:tc>
        <w:tc>
          <w:tcPr>
            <w:tcW w:w="160" w:type="dxa"/>
            <w:vAlign w:val="bottom"/>
          </w:tcPr>
          <w:p>
            <w:pPr>
              <w:spacing w:after="0"/>
              <w:rPr>
                <w:sz w:val="12"/>
                <w:szCs w:val="12"/>
                <w:color w:val="auto"/>
              </w:rPr>
            </w:pPr>
          </w:p>
        </w:tc>
        <w:tc>
          <w:tcPr>
            <w:tcW w:w="6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7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4"/>
                <w:szCs w:val="14"/>
                <w:color w:val="auto"/>
              </w:rPr>
            </w:pPr>
          </w:p>
        </w:tc>
        <w:tc>
          <w:tcPr>
            <w:tcW w:w="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6"/>
              </w:rPr>
              <w:t>Par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Paid -In</w:t>
            </w: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Treasury</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controlling</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60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Class B</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Value</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Capital</w:t>
            </w:r>
          </w:p>
        </w:tc>
        <w:tc>
          <w:tcPr>
            <w:tcW w:w="84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8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0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9"/>
              </w:rPr>
              <w:t>Interest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61,461</w:t>
            </w:r>
          </w:p>
        </w:tc>
        <w:tc>
          <w:tcPr>
            <w:tcW w:w="72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16,364</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806</w:t>
            </w:r>
          </w:p>
        </w:tc>
        <w:tc>
          <w:tcPr>
            <w:tcW w:w="84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542,046</w:t>
            </w:r>
          </w:p>
        </w:tc>
        <w:tc>
          <w:tcPr>
            <w:tcW w:w="8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(119,835</w:t>
            </w: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1,450,025</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(2,163</w:t>
            </w: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1,870,879</w:t>
            </w:r>
          </w:p>
        </w:tc>
        <w:tc>
          <w:tcPr>
            <w:tcW w:w="1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19,537</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1,890,416</w:t>
            </w: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options exercised and stock awards</w:t>
            </w: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5,997</w:t>
            </w: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6,001</w:t>
            </w:r>
          </w:p>
        </w:tc>
        <w:tc>
          <w:tcPr>
            <w:tcW w:w="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6,001</w:t>
            </w:r>
          </w:p>
        </w:tc>
        <w:tc>
          <w:tcPr>
            <w:tcW w:w="0" w:type="dxa"/>
            <w:vAlign w:val="bottom"/>
          </w:tcPr>
          <w:p>
            <w:pPr>
              <w:spacing w:after="0"/>
              <w:rPr>
                <w:sz w:val="1"/>
                <w:szCs w:val="1"/>
                <w:color w:val="auto"/>
              </w:rPr>
            </w:pPr>
          </w:p>
        </w:tc>
      </w:tr>
      <w:tr>
        <w:trPr>
          <w:trHeight w:val="126"/>
        </w:trPr>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 to stock</w:t>
            </w:r>
          </w:p>
        </w:tc>
        <w:tc>
          <w:tcPr>
            <w:tcW w:w="6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options, restricted shares and employee</w:t>
            </w:r>
          </w:p>
        </w:tc>
        <w:tc>
          <w:tcPr>
            <w:tcW w:w="6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14,090</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14,090</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171"/>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68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(9,486)</w:t>
            </w: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(9,482)</w:t>
            </w:r>
          </w:p>
        </w:tc>
        <w:tc>
          <w:tcPr>
            <w:tcW w:w="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(9,482)</w:t>
            </w:r>
          </w:p>
        </w:tc>
        <w:tc>
          <w:tcPr>
            <w:tcW w:w="0" w:type="dxa"/>
            <w:vAlign w:val="bottom"/>
          </w:tcPr>
          <w:p>
            <w:pPr>
              <w:spacing w:after="0"/>
              <w:rPr>
                <w:sz w:val="1"/>
                <w:szCs w:val="1"/>
                <w:color w:val="auto"/>
              </w:rPr>
            </w:pPr>
          </w:p>
        </w:tc>
      </w:tr>
      <w:tr>
        <w:trPr>
          <w:trHeight w:val="126"/>
        </w:trPr>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6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97</w:t>
            </w: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3,354</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3,355</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171"/>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68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0" w:type="dxa"/>
            <w:vAlign w:val="bottom"/>
          </w:tcPr>
          <w:p>
            <w:pPr>
              <w:spacing w:after="0"/>
              <w:rPr>
                <w:sz w:val="1"/>
                <w:szCs w:val="1"/>
                <w:color w:val="auto"/>
              </w:rPr>
            </w:pPr>
          </w:p>
        </w:tc>
      </w:tr>
      <w:tr>
        <w:trPr>
          <w:trHeight w:val="126"/>
        </w:trPr>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 A</w:t>
            </w:r>
          </w:p>
        </w:tc>
        <w:tc>
          <w:tcPr>
            <w:tcW w:w="6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(10,467)</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(10,467)</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(10,467)</w:t>
            </w:r>
          </w:p>
        </w:tc>
        <w:tc>
          <w:tcPr>
            <w:tcW w:w="0" w:type="dxa"/>
            <w:vAlign w:val="bottom"/>
          </w:tcPr>
          <w:p>
            <w:pPr>
              <w:spacing w:after="0"/>
              <w:rPr>
                <w:sz w:val="1"/>
                <w:szCs w:val="1"/>
                <w:color w:val="auto"/>
              </w:rPr>
            </w:pPr>
          </w:p>
        </w:tc>
      </w:tr>
      <w:tr>
        <w:trPr>
          <w:trHeight w:val="171"/>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 B</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(2,964)</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(2,964)</w:t>
            </w:r>
          </w:p>
        </w:tc>
        <w:tc>
          <w:tcPr>
            <w:tcW w:w="16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(2,964)</w:t>
            </w:r>
          </w:p>
        </w:tc>
        <w:tc>
          <w:tcPr>
            <w:tcW w:w="0" w:type="dxa"/>
            <w:vAlign w:val="bottom"/>
          </w:tcPr>
          <w:p>
            <w:pPr>
              <w:spacing w:after="0"/>
              <w:rPr>
                <w:sz w:val="1"/>
                <w:szCs w:val="1"/>
                <w:color w:val="auto"/>
              </w:rPr>
            </w:pPr>
          </w:p>
        </w:tc>
      </w:tr>
      <w:tr>
        <w:trPr>
          <w:trHeight w:val="171"/>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2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16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71,489</w:t>
            </w:r>
          </w:p>
        </w:tc>
        <w:tc>
          <w:tcPr>
            <w:tcW w:w="0" w:type="dxa"/>
            <w:vAlign w:val="bottom"/>
          </w:tcPr>
          <w:p>
            <w:pPr>
              <w:spacing w:after="0"/>
              <w:rPr>
                <w:sz w:val="1"/>
                <w:szCs w:val="1"/>
                <w:color w:val="auto"/>
              </w:rPr>
            </w:pPr>
          </w:p>
        </w:tc>
      </w:tr>
      <w:tr>
        <w:trPr>
          <w:trHeight w:val="182"/>
        </w:trPr>
        <w:tc>
          <w:tcPr>
            <w:tcW w:w="268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68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61,813</w:t>
            </w:r>
          </w:p>
        </w:tc>
        <w:tc>
          <w:tcPr>
            <w:tcW w:w="720" w:type="dxa"/>
            <w:vAlign w:val="bottom"/>
            <w:tcBorders>
              <w:top w:val="single" w:sz="8" w:color="auto"/>
              <w:bottom w:val="single" w:sz="8" w:color="auto"/>
            </w:tcBorders>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16,715</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815</w:t>
            </w:r>
          </w:p>
        </w:tc>
        <w:tc>
          <w:tcPr>
            <w:tcW w:w="84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556,001</w:t>
            </w:r>
          </w:p>
        </w:tc>
        <w:tc>
          <w:tcPr>
            <w:tcW w:w="84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(125,462</w:t>
            </w: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1,508,202</w:t>
            </w: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(4,054)</w:t>
            </w:r>
          </w:p>
        </w:tc>
        <w:tc>
          <w:tcPr>
            <w:tcW w:w="2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1,935,502</w:t>
            </w:r>
          </w:p>
        </w:tc>
        <w:tc>
          <w:tcPr>
            <w:tcW w:w="1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19,418</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1,954,920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2"/>
                <w:szCs w:val="12"/>
                <w:color w:val="auto"/>
              </w:rPr>
            </w:pPr>
          </w:p>
        </w:tc>
        <w:tc>
          <w:tcPr>
            <w:tcW w:w="7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$0.01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Enterprises,</w:t>
            </w:r>
          </w:p>
        </w:tc>
        <w:tc>
          <w:tcPr>
            <w:tcW w:w="160" w:type="dxa"/>
            <w:vAlign w:val="bottom"/>
          </w:tcPr>
          <w:p>
            <w:pPr>
              <w:spacing w:after="0"/>
              <w:rPr>
                <w:sz w:val="12"/>
                <w:szCs w:val="12"/>
                <w:color w:val="auto"/>
              </w:rPr>
            </w:pPr>
          </w:p>
        </w:tc>
        <w:tc>
          <w:tcPr>
            <w:tcW w:w="6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7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4"/>
                <w:szCs w:val="14"/>
                <w:color w:val="auto"/>
              </w:rPr>
            </w:pPr>
          </w:p>
        </w:tc>
        <w:tc>
          <w:tcPr>
            <w:tcW w:w="5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Par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Paid -In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controlling</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Class B</w:t>
            </w:r>
          </w:p>
        </w:tc>
        <w:tc>
          <w:tcPr>
            <w:tcW w:w="140" w:type="dxa"/>
            <w:vAlign w:val="bottom"/>
            <w:tcBorders>
              <w:bottom w:val="single" w:sz="8" w:color="auto"/>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color w:val="auto"/>
                <w:w w:val="95"/>
              </w:rPr>
              <w:t>Value</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8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8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63,518</w:t>
            </w:r>
          </w:p>
        </w:tc>
        <w:tc>
          <w:tcPr>
            <w:tcW w:w="6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572</w:t>
            </w:r>
          </w:p>
        </w:tc>
        <w:tc>
          <w:tcPr>
            <w:tcW w:w="8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500,642</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(130,930</w:t>
            </w: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1,378,337</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(4,130</w:t>
            </w: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1,744,491</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18,531</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1,763,022</w:t>
            </w: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options exercised and stock awards</w:t>
            </w: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3,412</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3,414</w:t>
            </w:r>
          </w:p>
        </w:tc>
        <w:tc>
          <w:tcPr>
            <w:tcW w:w="16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3,414</w:t>
            </w:r>
          </w:p>
        </w:tc>
        <w:tc>
          <w:tcPr>
            <w:tcW w:w="0" w:type="dxa"/>
            <w:vAlign w:val="bottom"/>
          </w:tcPr>
          <w:p>
            <w:pPr>
              <w:spacing w:after="0"/>
              <w:rPr>
                <w:sz w:val="1"/>
                <w:szCs w:val="1"/>
                <w:color w:val="auto"/>
              </w:rPr>
            </w:pPr>
          </w:p>
        </w:tc>
      </w:tr>
      <w:tr>
        <w:trPr>
          <w:trHeight w:val="126"/>
        </w:trPr>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 to stock</w:t>
            </w:r>
          </w:p>
        </w:tc>
        <w:tc>
          <w:tcPr>
            <w:tcW w:w="6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options, restricted shares and employee</w:t>
            </w:r>
          </w:p>
        </w:tc>
        <w:tc>
          <w:tcPr>
            <w:tcW w:w="6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13,080</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13,080</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13,080</w:t>
            </w:r>
          </w:p>
        </w:tc>
        <w:tc>
          <w:tcPr>
            <w:tcW w:w="0" w:type="dxa"/>
            <w:vAlign w:val="bottom"/>
          </w:tcPr>
          <w:p>
            <w:pPr>
              <w:spacing w:after="0"/>
              <w:rPr>
                <w:sz w:val="1"/>
                <w:szCs w:val="1"/>
                <w:color w:val="auto"/>
              </w:rPr>
            </w:pPr>
          </w:p>
        </w:tc>
      </w:tr>
      <w:tr>
        <w:trPr>
          <w:trHeight w:val="171"/>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68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(6,964)</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(6,961)</w:t>
            </w:r>
          </w:p>
        </w:tc>
        <w:tc>
          <w:tcPr>
            <w:tcW w:w="16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(6,961)</w:t>
            </w:r>
          </w:p>
        </w:tc>
        <w:tc>
          <w:tcPr>
            <w:tcW w:w="0" w:type="dxa"/>
            <w:vAlign w:val="bottom"/>
          </w:tcPr>
          <w:p>
            <w:pPr>
              <w:spacing w:after="0"/>
              <w:rPr>
                <w:sz w:val="1"/>
                <w:szCs w:val="1"/>
                <w:color w:val="auto"/>
              </w:rPr>
            </w:pPr>
          </w:p>
        </w:tc>
      </w:tr>
      <w:tr>
        <w:trPr>
          <w:trHeight w:val="126"/>
        </w:trPr>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6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102</w:t>
            </w: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2,828</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2,828</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71"/>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68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7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(25,280)</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(25,280)</w:t>
            </w:r>
          </w:p>
        </w:tc>
        <w:tc>
          <w:tcPr>
            <w:tcW w:w="16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(25,280)</w:t>
            </w:r>
          </w:p>
        </w:tc>
        <w:tc>
          <w:tcPr>
            <w:tcW w:w="0" w:type="dxa"/>
            <w:vAlign w:val="bottom"/>
          </w:tcPr>
          <w:p>
            <w:pPr>
              <w:spacing w:after="0"/>
              <w:rPr>
                <w:sz w:val="1"/>
                <w:szCs w:val="1"/>
                <w:color w:val="auto"/>
              </w:rPr>
            </w:pPr>
          </w:p>
        </w:tc>
      </w:tr>
      <w:tr>
        <w:trPr>
          <w:trHeight w:val="126"/>
        </w:trPr>
        <w:tc>
          <w:tcPr>
            <w:tcW w:w="2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 A</w:t>
            </w:r>
          </w:p>
        </w:tc>
        <w:tc>
          <w:tcPr>
            <w:tcW w:w="6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(8,897)</w:t>
            </w:r>
          </w:p>
        </w:tc>
        <w:tc>
          <w:tcPr>
            <w:tcW w:w="0" w:type="dxa"/>
            <w:vAlign w:val="bottom"/>
          </w:tcPr>
          <w:p>
            <w:pPr>
              <w:spacing w:after="0"/>
              <w:rPr>
                <w:sz w:val="1"/>
                <w:szCs w:val="1"/>
                <w:color w:val="auto"/>
              </w:rPr>
            </w:pPr>
          </w:p>
        </w:tc>
      </w:tr>
      <w:tr>
        <w:trPr>
          <w:trHeight w:val="171"/>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 B</w:t>
            </w: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6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71"/>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8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90,455</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90,455</w:t>
            </w:r>
          </w:p>
        </w:tc>
        <w:tc>
          <w:tcPr>
            <w:tcW w:w="16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90,790</w:t>
            </w:r>
          </w:p>
        </w:tc>
        <w:tc>
          <w:tcPr>
            <w:tcW w:w="0" w:type="dxa"/>
            <w:vAlign w:val="bottom"/>
          </w:tcPr>
          <w:p>
            <w:pPr>
              <w:spacing w:after="0"/>
              <w:rPr>
                <w:sz w:val="1"/>
                <w:szCs w:val="1"/>
                <w:color w:val="auto"/>
              </w:rPr>
            </w:pPr>
          </w:p>
        </w:tc>
      </w:tr>
      <w:tr>
        <w:trPr>
          <w:trHeight w:val="182"/>
        </w:trPr>
        <w:tc>
          <w:tcPr>
            <w:tcW w:w="26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63,225</w:t>
            </w:r>
          </w:p>
        </w:tc>
        <w:tc>
          <w:tcPr>
            <w:tcW w:w="6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18,463</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577</w:t>
            </w:r>
          </w:p>
        </w:tc>
        <w:tc>
          <w:tcPr>
            <w:tcW w:w="84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512,998</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(156,210</w:t>
            </w: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1,457,203</w:t>
            </w: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(3,898</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1,810,670</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18,866</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1,829,536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71,489</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90,790</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53,896</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13,080</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3,165</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(8,972)</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(215,506)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(52,845)</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(2,408)</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27,130</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(17,705)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(15,892)</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(14,699)</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(155,053)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92,466</w:t>
            </w:r>
          </w:p>
        </w:tc>
      </w:tr>
      <w:tr>
        <w:trPr>
          <w:trHeight w:val="210"/>
        </w:trPr>
        <w:tc>
          <w:tcPr>
            <w:tcW w:w="800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(90,446)</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(5,190)</w:t>
            </w:r>
          </w:p>
        </w:tc>
      </w:tr>
      <w:tr>
        <w:trPr>
          <w:trHeight w:val="20"/>
        </w:trPr>
        <w:tc>
          <w:tcPr>
            <w:tcW w:w="12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(95,514)</w:t>
            </w: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110,172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82,642</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698,754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257,705</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(587,249)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(270,793)</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(4,471)</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related to employee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6,245</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(6,964)</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(12,062)</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(24,008)</w:t>
            </w:r>
          </w:p>
        </w:tc>
      </w:tr>
      <w:tr>
        <w:trPr>
          <w:trHeight w:val="209"/>
        </w:trPr>
        <w:tc>
          <w:tcPr>
            <w:tcW w:w="8000" w:type="dxa"/>
            <w:vAlign w:val="bottom"/>
            <w:tcBorders>
              <w:top w:val="single" w:sz="8" w:color="CCEEFF"/>
            </w:tcBorders>
            <w:gridSpan w:val="6"/>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196,451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28,294</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25,246</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155,905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226,292</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18,630</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11,712</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16,178</w:t>
            </w:r>
          </w:p>
        </w:tc>
      </w:tr>
    </w:tbl>
    <w:p>
      <w:pPr>
        <w:spacing w:after="0" w:line="1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2023.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consists of deposits for the statutory restriction on cash related to the Company’s captive insurance company of $3.1 million as of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25, 2023, the Board of Directors of the Company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10-Q have been adjusted and restated to reflect the stock split as if it occurred on the first day of the earliest period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March 31, 2024,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6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 common</w:t>
            </w:r>
          </w:p>
        </w:tc>
        <w:tc>
          <w:tcPr>
            <w:tcW w:w="980" w:type="dxa"/>
            <w:vAlign w:val="bottom"/>
            <w:vMerge w:val="restart"/>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71,608</w:t>
            </w:r>
          </w:p>
        </w:tc>
        <w:tc>
          <w:tcPr>
            <w:tcW w:w="9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90,455</w:t>
            </w:r>
          </w:p>
        </w:tc>
        <w:tc>
          <w:tcPr>
            <w:tcW w:w="0" w:type="dxa"/>
            <w:vAlign w:val="bottom"/>
          </w:tcPr>
          <w:p>
            <w:pPr>
              <w:spacing w:after="0"/>
              <w:rPr>
                <w:sz w:val="1"/>
                <w:szCs w:val="1"/>
                <w:color w:val="auto"/>
              </w:rPr>
            </w:pPr>
          </w:p>
        </w:tc>
      </w:tr>
      <w:tr>
        <w:trPr>
          <w:trHeight w:val="221"/>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78,483</w:t>
            </w:r>
          </w:p>
        </w:tc>
        <w:tc>
          <w:tcPr>
            <w:tcW w:w="9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82,150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98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81,454</w:t>
            </w:r>
          </w:p>
        </w:tc>
        <w:tc>
          <w:tcPr>
            <w:tcW w:w="200" w:type="dxa"/>
            <w:vAlign w:val="bottom"/>
            <w:vMerge w:val="restart"/>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84,846</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tcBorders>
              <w:bottom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outstanding and assumed conversions</w:t>
            </w:r>
          </w:p>
        </w:tc>
        <w:tc>
          <w:tcPr>
            <w:tcW w:w="9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960" w:type="dxa"/>
            <w:vAlign w:val="bottom"/>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ended March 31, 2024 and 2023 that were not included in the computation of diluted earnings per share because the effect would have been anti-dilutive are as follows (in thousands):</w:t>
      </w:r>
    </w:p>
    <w:p>
      <w:pPr>
        <w:spacing w:after="0" w:line="16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r>
      <w:tr>
        <w:trPr>
          <w:trHeight w:val="209"/>
        </w:trPr>
        <w:tc>
          <w:tcPr>
            <w:tcW w:w="6800" w:type="dxa"/>
            <w:vAlign w:val="bottom"/>
            <w:gridSpan w:val="2"/>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Weighted average anti-dilutive options</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Accounting Standards Codification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which requires the measurement and recognition of compensation expense for all share-based payment awards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$14.1 million for the three months ended March 31, 2024, and $13.1 million for the three months ended March 31,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$17.6 million of unrecognized compensation expense related to non-vested employee stock options to be recognized over a weighted-average period of 2.5 years and $22.8 million of unrecognized compensation cost related to non-vested restricted stock awards to be recognized over a weighted-average period of 1.6 years.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March 31, 2024, and December 31, 2023. The carrying value of current assets and current liabilities approximates the fair value due to the short maturity of these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March 31, 2024 and 2023 (in thousands):</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Truck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Segment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and for the three months ended March 31, 2024</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1,867,968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4,570,652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and for the three months ended March 31, 2023</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1,907,941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3,913,928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$6.7 million as a component of accrued liabilities as of March 31, 2024 and December 31, 2023,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$389,000 accrued for the payment of interest as of March 31, 2024 and December 31, 2023. No amounts were accrued for penalties.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2023, the tax years ended December 31, 2020 through 2023 remained subject to audit by federal tax authorities and the tax years ended December 31, 2019 through 2023,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non-lease and rental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the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ended March 31, 2024 and 2023 (in thousands):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1,123,319</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1,161,725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revenue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373,426</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384,418</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275,770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263,808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revenue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revenue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8,579</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1,784,078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1,825,101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March 31, 2024. Revenues related to commercial vehicle sales, parts sales, commercial vehicle repair service, finance and most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and rental income during the three months ended March 31, 2024 and March 31, 2023 consisted of the following (in thousands):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6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payments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76,868</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75,160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Nonlease payments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11,506</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87,921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86,666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(4,054)</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into USD using the average exchange rates monthly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Provision For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Write offs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the Three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Against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net of</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34"/>
        </w:trPr>
        <w:tc>
          <w:tcPr>
            <w:tcW w:w="4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Recoveries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acquisition, unless otherwise noted, was considered a business combination accounted for under ASC 805 “Business Combinations.” Pro forma information is not included in accordance with ASC 805 since the acquisition was not considered material.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4, 2023, the Company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words or phrases of similar import, as they relate to the Company or its subsidiaries or Company management, are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2023,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Inc.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Inc.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Dennis Eagle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Dennis Eagle Limited.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and Dennis Eagle.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22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14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A.C.T. Research Co., LLC (“A.C.T. Research”), a commercial vehicle industry data and forecasting service provider, currently forecasts new U.S. Class 8 retail truck sales to be 228,000 units in 2024, which would represent a 16.0% decrease compared to 2023. As anticipated, our Class 8 new truck sales in the first quarter were down significantly from the same time period in 2023, due to the previously anticipated industry downturn in new Class 8 truck sales caused by new truck production having caught up to the pent-up market demand and persistent low freight rates and high interest rates. We expect our new Class 8 truck sales in the second quarter to be better than our results in the first quarter. However, we also expect that new U.S. Class 8 retail truck sales in the second half of 2024 will be less than in the first half of the year. We expect our U.S. market share of new Class 8 truck sales to range between 5.9% and 6.4% in 2024. This market share percentage would result in the sale of approximately 13,500 to 14,500 new Class 8 trucks in 2024. We expect to sell approximately 550 new Class 8 trucks in Canada in 2024.</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new U.S. Class 4 through 7 retail commercial vehicle sales, A.C.T. Research currently forecasts sales to be 262,000 units in 2024, which would represent a 3.7% increase compared to 2023. As we look forward, new Class 4 through 7 commercial vehicle production is still somewhat constrained, but we believe it will continue to improve, and we expect demand to remain steady as customers replace older equipment with new vehicles. Currently, we believe Class 4 through 7 commercial vehicle sales will improve in the second quarter compared to the first quarter and remain strong for the remainder of the year. We expect our U.S. market share of new Class 4 through 7 commercial vehicle sales to range between 5.2% and 5.5% in 2024. This market share percentage would result in the sale of approximately 13,500 to 14,500 new Class 4 through 7 commercial vehicles in 2024. We expect to sell approximately 500 new Class 5 through 7 commercial vehicles in Canada in 2024.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1,800 to 2,000 light-duty vehicles and approximately 6,500 to 7,500 used commercial vehicles in 2024, and we expect lease and rental revenue to increase approximately 3% during 2024, compared to 2023.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our parts, service, and collision center (collectively referred to herein as “Aftermarket Products and Services”) operations, we expect that the sluggish freight market, persistent inflation and high interest rates will continue to negatively impact our over-the-road customers, including both small carriers and larger fleets. In the second quarter of 2024, we expect demand for Aftermarket Parts and Services will remain consistent with the first quarter. We believe that the current freight recession will continue to negatively impact our customers until at least late 2024. Despite the challenging operating environment, we believe that the strategic decisions we made several years ago to diversify our customer base and focus on supporting large national fleets, along with our current efforts to reduce expenses across all areas of the company, will allow us to successfully navigate this difficult market cycle. We also believe that our Aftermarket Products and Services revenues will increase between 1% and 5% in 2024, compared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and analysis include our historical results of operations for the three months ended March 31, 2024, and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rental sales</w:t>
            </w:r>
          </w:p>
        </w:tc>
        <w:tc>
          <w:tcPr>
            <w:tcW w:w="3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3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4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79.2</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4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48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Pr>
          <w:p>
            <w:pPr>
              <w:spacing w:after="0"/>
              <w:rPr>
                <w:sz w:val="18"/>
                <w:szCs w:val="18"/>
                <w:color w:val="auto"/>
              </w:rPr>
            </w:pPr>
          </w:p>
        </w:tc>
      </w:tr>
      <w:tr>
        <w:trPr>
          <w:trHeight w:val="20"/>
        </w:trPr>
        <w:tc>
          <w:tcPr>
            <w:tcW w:w="6700" w:type="dxa"/>
            <w:vAlign w:val="bottom"/>
            <w:gridSpan w:val="3"/>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88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Pr>
          <w:p>
            <w:pPr>
              <w:spacing w:after="0"/>
              <w:rPr>
                <w:sz w:val="24"/>
                <w:szCs w:val="24"/>
                <w:color w:val="auto"/>
              </w:rPr>
            </w:pPr>
          </w:p>
        </w:tc>
      </w:tr>
      <w:tr>
        <w:trPr>
          <w:trHeight w:val="238"/>
        </w:trPr>
        <w:tc>
          <w:tcPr>
            <w:tcW w:w="1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rental</w:t>
            </w:r>
          </w:p>
        </w:tc>
        <w:tc>
          <w:tcPr>
            <w:tcW w:w="3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3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8"/>
                <w:szCs w:val="18"/>
                <w:color w:val="auto"/>
              </w:rPr>
            </w:pPr>
          </w:p>
        </w:tc>
      </w:tr>
      <w:tr>
        <w:trPr>
          <w:trHeight w:val="425"/>
        </w:trPr>
        <w:tc>
          <w:tcPr>
            <w:tcW w:w="1120" w:type="dxa"/>
            <w:vAlign w:val="bottom"/>
          </w:tcPr>
          <w:p>
            <w:pPr>
              <w:spacing w:after="0"/>
              <w:rPr>
                <w:sz w:val="24"/>
                <w:szCs w:val="24"/>
                <w:color w:val="auto"/>
              </w:rPr>
            </w:pPr>
          </w:p>
        </w:tc>
        <w:tc>
          <w:tcPr>
            <w:tcW w:w="410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jc w:val="right"/>
              <w:ind w:right="89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our absorption ratio (revenue in millions):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8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8"/>
                <w:szCs w:val="18"/>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heavy-duty vehicles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medium-duty vehicles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light-duty vehicles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7,907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vehicles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Vehicle revenues: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heavy-duty vehicles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666.3</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736.7</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medium-duty vehicles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286.9</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light-duty vehicles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1,051.6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vehicle revenue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102.7</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Other vehicle revenues:</w:t>
            </w:r>
            <w:r>
              <w:rPr>
                <w:rFonts w:ascii="Times New Roman" w:cs="Times New Roman" w:eastAsia="Times New Roman" w:hAnsi="Times New Roman"/>
                <w:sz w:val="25"/>
                <w:szCs w:val="25"/>
                <w:color w:val="auto"/>
                <w:vertAlign w:val="superscript"/>
              </w:rPr>
              <w:t>(1)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3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9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r>
    </w:tbl>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130.1% absorption ratio for the first quarter of 2024, compared to a 136.5% absorption ratio for the first quarter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decreased $39.8 million, or 2.1%, in the first quarter of 2024, compared to the first quarter of 2023. This decrease was primarily the result of decreased demand for new Class 8 trucks and high interest rates and low freight rates that are negatively impacting our over-the-road customers, our largest customer segment.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totaled $649.2 million in the first quarter of 2024, up 0.1% from the first quarter of 2023. The slight increase in Aftermarket Parts and Services revenues was related to the continued moderating of inflation and challenging economic conditions that are negatively impacting our over-the-road customers.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$38.4 million, or 3.3%, in the first quarter of 2024, compared to the first quarter of 2023. The decrease in new commercial vehicle revenues was primarily a result of decreased demand for new Class 8 trucks caused by high interest rates and production recently catching up to the pent-up demand experienced over the last couple of years.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3,494 new Class 8 trucks in the first quarter of 2024, a 20.0% decrease compared to 4,365 new Class 8 trucks sold in the first quarter of 2023. The decrease in new Class 8 truck sales was primarily related to delayed deliveries to certain large fleet customers due to delays associated with body companies and decreased demand caused by high interest rates and production recently catching up to the pent-up demand experienced over the last couple of years. New U.S. Class 8 retail truck sales totaled 57,181 units in the first quarter of 2024, a decrease of 13.1% compared to the first quarter of 2023, according to ACT Research.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3,331 new Class 4 through 7 medium-duty commercial vehicles, including 386 buses, in the first quarter of 2024, a 9.6% increase compared to 3,038 new medium-duty commercial vehicles, including 332 buses, in the first quarter of 2023. The increase in our new Class 4 through 7 commercial vehicle sales in the first quarter was primarily related to increased production of medium-duty commercial vehicles by the manufacturers we represent. New U.S. Class 4 through 7 retail commercial vehicle sales totaled 59,786 units in the first quarter of 2024, up 6.5% compared to the first quarter of 2023, according to ACT Research.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456 light-duty vehicles in the first quarter of 2024, a 9.5% decrease compared to 504 light-duty vehicles sold in the first quarter of 2023.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1,818 used commercial vehicles in the first quarter of 2024, an 8.0% increase compared to 1,684 used commercial vehicles in the first quarter of 2023. We expect used commercial vehicle demand and values to remain low through 2024 due to high interest rates and anticipated low freight rates.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increased $1.2 million, or 1.4%, in the first quarter of 2024, compared to the first quarter of 2023. The slight increase in commercial vehicle lease and rental revenues was primarily due to the delivery of new leased vehicles, as manufacturers were able to increase production, which was partially offset by a slight decrease in rental utilization.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and insurance revenues decreased $1.2 million, or 17.9%, in the first quarter of 2024, compared to the first quarter of 2023. This decrease is primarily due to the mix of purchasers of commercial vehicles. During the first quarter of 2024, most of our sales were to larger fleets, which usually arrange their own financing. We are more likely to provide financing to owner-operators and smaller fleets, which comprised a smaller percentage of commercial vehicle sales during the first quarter of 2024. Finance and insurance revenues have limited direct costs and, therefore, contribute a disproportionate share of our operating profits.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decreased $8.9 million, or 2.2%, in the first quarter of 2024, compared to the first quarter of 2023. Gross profit as a percentage of sales decreased to 20.8% in the first quarter of 2024, from 20.9% in the first quarter of 2023.</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36.5% in the first quarter of 2024, from 38.0% in the first quarter of 2023. Gross profit for the Aftermarket Products and Services departments decreased to $236.9 million in the first quarter of 2024, from $246.1 million in the first quarter of 2023. This decrease is primarily related to continued moderating of inflation and softening demand due to difficult economic conditions impacting many of our customers. Historically, gross margins on parts sales range from 28% to 30% and gross margins on service and collision center operations range from 66% to 68%. Gross profits from parts sales represented 57.5% of total gross profit for Aftermarket Products and Services operations in the first quarter of 2024 and 61.4% in the first quarter of 2023. Service and collision center operations represented 42.5% of total gross profit for Aftermarket Products and Services operations in the first quarter of 2024 and 38.6% in the first quarter of 2023. We expect blended gross margins on Aftermarket Products and Services operations to range from 36.0% to 38.0% in 2024.</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8 truck sales decreased to 9.7% in the first quarter of 2024, from 9.8% in the first quarter of 2023. In 2024, we expect overall gross margins from new heavy-duty truck sales of approximately 8.5% to 9.5%.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increased to 9.3% in the first quarter of 2024, from 8.8% in the first quarter of 2023. This increase was primarily due to the mix of purchasers during the first quarter of 2024. For 2024, we expect overall gross margins from new medium-duty commercial vehicle sales of approximately 8.0% to 9.0%, but this will largely depend upon the mix of purchasers and types of vehicles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21.6% in the first quarter of 2024, from 9.0% in the first quarter of 2023. This increase was primarily due to successful execution on our used truck inventory and sales strategy. We expect margins on used commercial vehicles to range between 15.0% and 20.0% in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27.5% in the first quarter of 2024, from 30.2% in the first quarter of 2023. This decrease is primarily related to a decrease in rental utilization rates, which have returned to historical levels as new commercial vehicle production has normalized and rental customers have purchased or leased new commercial vehicles. We expect gross margins from lease and rental sales of approximately 28.0% to 30.0% during 2024.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$6.9 million, or 2.7%, in the first quarter of 2024, compared to the first quarter of 2023. This increase primarily resulted from increased personnel expense and other increased costs due to inflation, compared to the first quarter of 2023. SG&amp;A expenses as a percentage of total revenues increased to 14.1% in the first quarter of 2024, from 13.4% in the first quarter of 2023.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2024, we expect SG&amp;A expenses as a percentage of total revenues to range from 13.0% to 14.0%. For 2024, we expect the selling portion of SG&amp;A expenses to be approximately 25.0% to 30.0% of new and used commercial vehicle gross profit.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interest expense increased $7.0 million, or 63.6%, in the first quarter of 2024, compared to the first quarter of 2023. This increase in interest expense is a result of the increase in inventory levels and rising interest rates on our variable rate debt compared to the first quarter of 2023. We expect net interest expense in 2024 to increase compared to 2023, primarily due to increased borrowings under our credit facilities and the interest related thereto, but the amount of the increase will depend on inventory levels, interest rate fluctuations and the amount of cash available to make prepayments on our floor plan arrangements. We expect that the amount of borrowings on our credit facilities will decline during the remainder of 2024 and that the net interest expense associated therewith will subside.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$26.3 million, or 22.1%, in the first quarter of 2024, compared to the first quarter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taxes decreased $7.0 million, or 24.8%, in the first quarter of 2024, compared to the first quarter of 2023. We provided for taxes at a 23.0% effective rate in the first quarter of 2024 and 23.8% in the first quarter of 2023. We expect our effective tax rate to be approximately 24.0% to 25.0% of pretax income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2024, we had working capital of approximately $758.8 million, including $155.9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 The resulting interest earned on the floor plan credit agreement with BMO Harris Bank N.A. (“BMO Harris”) (the “Floor Plan Credit Agreement”) is recognized as an offset to our interest expense.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$20.0 million. There were no advances outstanding under this secured line of credit on March 31, 2024, however, $18.9 million was pledged to secure various letters of credit related to self-insurance products, leaving $1.1 million available for future borrowings as of March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floor plan financing agreements and the credit agreement with Wells Fargo Bank, National Association the (“WF Credit Agreement”) require us to satisfy various financial ratios such as the leverage ratio, the asset coverage ratio and the fixed charge coverage ratio. As of March 31, 2024, we were in compliance with all debt covenants related to debt secured by lease and rental units, our floor plan credit agreements and the WF Credit Agreement. We do not anticipate any breach of these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$200.0 million to $225.0 million for our leasing operations during 2024, depending on customer demand. We also expect to make capital expenditures for the purchase of recurring items such as computers, shop tools and equipment and company vehicles of approximately $35.0 million to $40.0 million during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we paid a cash dividend of $13.9 million. Additionally, on April 23, 2024, our Board of Directors declared a cash dividend of $0.17 per share of Class A and Class B common stock, to be paid on June 10, 2024, to all shareholders of record as of May 9, 2024. The total dividend disbursement is estimated at approximately $13.4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6, 2023,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2023. Repurchases, if any, will be made at times and in amounts as we deem appropriate and may be made through open 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As of March 31, 2024, we had repurchased $73.2 million of our shares of common stock under the current stock repurchase program, excluding federal excise tax. The current stock repurchase program expires on December 31, 2024,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can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March 31, 2024.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(155,053)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92,466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(69,188)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(95,514)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196,451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28,294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25,246</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2024, operating activities resulted in net cash used in by operations of $155.1 million. Net cash provided by operating activities primarily consisted of $71.5 million in net income, as well as non-cash adjustments related to depreciation and amortization of $56.8 million, and stock-based compensation of $14.1 million. Cash used by operating activities included an aggregate of $297.4 million net change in operating assets and liabilities. Included in the net change in operating assets and liabilities were cash inflows of $17.4 million from the increase in accounts payable, which was offset primarily by cash outflows of $215.5 million from the increase in inventories, $49.9 million from the increase in accounts receivable, $17.7 million from the decrease in customer deposits and $26.9 million from the increase in accrued expenses. Most of our commercial vehicle inventory is financed through our floor plan credit agreements.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operating activities resulted in net cash provided by operations of $92.5 million. Net cash provided by operating activities primarily consisted of $90.8 million in net income, as well as non-cash adjustments related to depreciation and amortization of $53.9 million, deferred income tax provision of $3.2 million and stock-based compensation of $13.1 million. Cash provided by operating activities included an aggregate of $65.2 million net change in operating assets and liabilities. Included in the net change in operating assets and liabilities were primarily cash outflows of $9.0 million from the increase in accounts receivable, $52.8 million from the increase in inventory, $15.9 million from the decrease in customer deposits and $11.5 million from the decrease in accrued expenses, which were offset by cash inflows of $27.1 million from the net increase in accounts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cash used in investing activities was $69.2 million. Cash flows used in investing activities consist primarily of cash used for the acquisition of property and equipment. Acquisition of property and equipment totaled $79.1 million during the first three months of 2024 and consisted primarily of purchases of machinery and shop equipment, furniture and fixtures, real estate and facilities, improvements to our existing dealership facilities and $52.1 million for purchases of rental and lease vehicles for our rental and leasing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cash used in investing activities totaled $95.5 million. Cash flows used in investing activities consist primarily of cash used for the acquisition of property and equipment. Capital expenditures totaled $90.4 million during the first quarter of 2023 and consisted primarily of purchases of property and equipment, improvements to our existing dealership facilities and $75.2 million for purchases of rental and lease vehicles for the rental and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quarter of 2024, financing activities resulted in net cash provided by financing activities of $196.5 million, primarily related to $110.2 million from net draws on floor plan notes payable, non-trade, $698.8 million from borrowings of long-term debt and $9.4 million from the issuance of shares related to equity compensation plans. These cash inflows were offset by cash outflows of $592.9 million used for principal repayments of long-term debt and finance lease obligations, $5.6 million used for repurchases of common stock, $9.5 million for taxes paid related to net share settlement of equity awards and $13.9 million used for payment of cash dividends.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financing activities provided $28.3 million in net cash flow. Cash outflows were primarily related to $275.3 million used for principal repayments of long-term debt and finance lease obligations, $24.0 million used for the repurchase of our common stock and $12.1 million used for the payment of cash dividends. These cash outflows were offset by cash inflows related to borrowings of $257.7 million of long-term debt and $82.6 million used for net draws on floor plan (non-trade).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lenders signatory thereto (the “WF Lenders”) and Wells Fargo Bank, National Association (“WF”), as Administrative Agent (in such capacity,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plus (i) 1.25% or (ii) 1.5%, depending on our consolidated leverage ratio or (B) on or after the term SOFR transition date, the term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March 31, 2024, we had approximately $174.7 million outstanding under the WF Credit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the Company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On April 9, 2024, the PLC agreement was amended to increase the total loan commitment to $375.0 million. We may borrow, repay and reborrow amounts pursuant to the PLC Agreement from time to time until the maturity date, provided, however, that the outstanding principal amount on any date shall not exceed the borrowing base. In addition, we must maintain a minimum balance of $190.0 million. Advances under the PLC Agreement bear interest per annum, payable on the fifth day of the following month, at our option, at either (A) the prime rate, minus 1.95%, provided that the floating rate of interest is subject to a floor of 0%, or (B) a fixed rate, to be determined between us and PLC in each instance of borrowing at a fixed rate. The PLC Agreement expires on December 1, 2025, although either party has the right to terminate the PLC Agreement at any time upon 180 days written notice. On March 31, 2024, we had approximately $300.0 million outstanding under the PLC Agreement.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finance the commercial vehicle under the Floor Plan Credit Agreement. On September 14, 2021, we entered into the Floor Plan Credit Agreement with BMO Harris and the lenders signatory thereto. The Floor Plan Credit Agreement includes an aggregate loan commitment of $1.0 billion. Prior to June 1, 2023, borrowings under the Floor Plan Credit Agreement bore interest at an annual rate equal to (A) the greater of (i) zero and (ii) one month LIBOR, determined on the last day of the prior month, plus (B) 1.10% and were payable monthly. On May 31, 2023, we entered into the First Amendment to the Floor Plan Credit Agreement that changed the benchmark interest rate to Term SOFR, as defined in the amendment. Effective June 1, 2023, borrowings under the Floor Plan Credit Agreement bear interest per annum, payable monthly, at (A) the greater of (i) zero and (ii) Term SOFR, plus</w:t>
      </w:r>
    </w:p>
    <w:p>
      <w:pPr>
        <w:spacing w:after="0" w:line="6" w:lineRule="exact"/>
        <w:rPr>
          <w:sz w:val="20"/>
          <w:szCs w:val="20"/>
          <w:color w:val="auto"/>
        </w:rPr>
      </w:pPr>
    </w:p>
    <w:p>
      <w:pPr>
        <w:jc w:val="both"/>
        <w:ind w:firstLine="8"/>
        <w:spacing w:after="0" w:line="252" w:lineRule="auto"/>
        <w:tabs>
          <w:tab w:leader="none" w:pos="3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March 31, 2024, we had approximately $1.0 billion outstanding under the Floor Plan Credit Agreement. The average daily outstanding borrowings under the Floor Plan Credit Agreement were $958.3 million during the first three months ended March 31, 2024.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Advances under the RTC Canada Revolving Credit Agreement bear interest per annum, payable on the first business day of each calendar month, at the CDOR, plus 1.35%. The RTC Canada Revolving Credit Agreement expires September 14, 2026. On March 31, 2024, we had approximately $67.4 million CAD outstanding under the RTC Canada Revolving Credit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the RTC Canada Floor Plan Agreement with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2023, advances under the RTC Canada Floor Plan Agreement bore interest per annum, payable on the first business day of each calendar month, at CDOR, plus 0.90% and in the case of an advance required to be made in USD dollars, at LIBOR, plus 1.10%. On June 1, 2023, RTC Canada entered into the First Amendment to the RTC Canada Floor Plan Agreement that changed the interest rate in the case of an advance required to be made in USD dollars to Term SOFR, as defined in the amendment. Effective June 1, 2023, advances required to be made in USD dollars under the RTC Canada Floor Plan Agreement bear interest per annum, payable monthly, at Term SOFR, plus 1.20%. The RTC Canada Floor Plan Agreement expires September 14, 2026. On March 31, 2024, we had approximately $72.5 million CAD outstanding under the RTC Canada Floor Plan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31, 2024, our backlog of commercial vehicle orders was approximately $2,047.1 million, compared to a backlog of commercial vehicle orders of approximately $4,209.9 million on March 31, 2023. The decrease in our backlog primarily reflects the decreased demand for new Class 8 trucks resulting from production catching up to pent-up demand caused by limited production over the last few years. Our backlog is determined quarterly by multiplying the number of new commercial vehicles for each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most of our new heavy-duty commercial vehicles by customer special order, and we sell the majority of our medium- and light-duty commercial vehicles out of inventory. Orders from several of our major fleet customers are included in our backlog as of March 31, 2024, and we expect to fill most of our backlog orders during 2024, assuming that the manufacturers we represent can meet their current production schedule.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47"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March 2024, the EPA issued additional rules associated with reducing GHG emissions from medium and heavy-duty trucks and buses for model years 2027 through 2032.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CARB adopted a final rule that is intended to phase out the sale of internal combustion engine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Navistar,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currently in effect, with respect to which manufacturers may provide certain offsets to meet CARB’s emission target in exchange for the ability to sell legacy engines. Since July 2020, a group of seventeen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and discount rates related to finance sales. Our floor plan debt is based on SOFR and CDOR, the WF Credit Agreement is based on SOFR, the RTC Canada Revolving Agreement is based on CDOR and the PLC Agreement is based on the prime rate. As of March 31, 2024, we had floor plan borrowings and borrowings from WF, BMO and PLC in the amount of $1,773.3 million. Assuming an increase or decrease in SOFR, CDOR or the prime rate of 100 basis points, annual interest expense could correspondingly increase or decrease by approximately $17.7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2024,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March 31, 2024, that has materially affected, or is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March 31, 2024,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2023 Annual Report on Form 10-K (the “2023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2023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first quarter of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first quarter of 2024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Yet be</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(3)</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43.93(4)</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127,974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76,795,178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29, 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44.71(5)</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76,793,209</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76,793,209</w:t>
            </w:r>
          </w:p>
        </w:tc>
      </w:tr>
      <w:tr>
        <w:trPr>
          <w:trHeight w:val="20"/>
        </w:trPr>
        <w:tc>
          <w:tcPr>
            <w:tcW w:w="4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128,018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66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Common Stock and/or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2023, we announced the approval of a new stock repurchase program, effective December 5, 2023, authorizing management to repurchase, from time to time, up to an aggregate of $150.0 million of our shares of Class A common stock and/or Class B common stock.</w:t>
      </w: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127,969 shares of Class A Common Stock at an average price paid per share of $43.93 and 5 shares of Class B Common Stock at an average price paid per share of $45.00.</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44 shares of Class A Common Stock at an average price paid per share of $44.71.</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10000" w:type="dxa"/>
            <w:vAlign w:val="bottom"/>
            <w:tcBorders>
              <w:bottom w:val="single" w:sz="8" w:color="0000EE"/>
            </w:tcBorders>
            <w:gridSpan w:val="12"/>
          </w:tcPr>
          <w:p>
            <w:pPr>
              <w:ind w:left="20"/>
              <w:spacing w:after="0" w:line="169"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Report on Form 10-Q (File No. 000-20797) for the quarter ended June 30, 2008)</w:t>
              </w:r>
            </w:hyperlink>
          </w:p>
        </w:tc>
        <w:tc>
          <w:tcPr>
            <w:tcW w:w="4180" w:type="dxa"/>
            <w:vAlign w:val="bottom"/>
            <w:gridSpan w:val="9"/>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Certificate of Amendment to the Restated Articles of Incorporation of Rush Enterprises, Inc. (incorporated herein by reference to Exhibit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of the Company’s Quarterly Report on Form 10-Q (File No. 000-20797) for the quarter ended June 30,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on Form 8-K (File No. 000-20797) filed May 21, 2013)</w:t>
              </w:r>
            </w:hyperlink>
          </w:p>
        </w:tc>
        <w:tc>
          <w:tcPr>
            <w:tcW w:w="5980" w:type="dxa"/>
            <w:vAlign w:val="bottom"/>
            <w:gridSpan w:val="11"/>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Company’s Current Report on Form 8-K (File No. 000-20797) filed May 24,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First Amendment to Second Amended and Restated Inventory Financing and Purchase Money Security Agreement, dated as of April 9,</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2024 by and between Rush Truck Leasing, Inc. and PACCAR Leasing Company (incorporated by reference to Exhibit 10.1 of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Company’s Current Report on Form 8-K (File No. 000-20797) filed April 15, 2024)</w:t>
              </w:r>
            </w:hyperlink>
          </w:p>
        </w:tc>
        <w:tc>
          <w:tcPr>
            <w:tcW w:w="3940" w:type="dxa"/>
            <w:vAlign w:val="bottom"/>
            <w:gridSpan w:val="7"/>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000" w:type="dxa"/>
            <w:vAlign w:val="bottom"/>
            <w:gridSpan w:val="12"/>
          </w:tcPr>
          <w:p>
            <w:pPr>
              <w:ind w:left="20"/>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Second Amended and Restated Promissory Note dated April 9, 2024 (incorporated by reference to Exhibit 10.2 of the Company’s Current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Report on Form 8-K (File No. 000-20797) filed April 15, 2024)</w:t>
              </w:r>
            </w:hyperlink>
          </w:p>
        </w:tc>
        <w:tc>
          <w:tcPr>
            <w:tcW w:w="53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9600" w:type="dxa"/>
            <w:vAlign w:val="bottom"/>
            <w:tcBorders>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400" w:type="dxa"/>
            <w:vAlign w:val="bottom"/>
            <w:gridSpan w:val="2"/>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EE"/>
              </w:rPr>
              <w:t>Certification of CFO pursuant to Rules 13a-14(a) and 15d-14(a) adopted pursuant to Section 302 of the Sarbanes-Oxley Act of 2002.</w:t>
            </w: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300" w:type="dxa"/>
            <w:vAlign w:val="bottom"/>
            <w:tcBorders>
              <w:top w:val="single" w:sz="8" w:color="0000EE"/>
            </w:tcBorders>
          </w:tcPr>
          <w:p>
            <w:pPr>
              <w:spacing w:after="0"/>
              <w:rPr>
                <w:sz w:val="24"/>
                <w:szCs w:val="24"/>
                <w:color w:val="auto"/>
              </w:rPr>
            </w:pPr>
          </w:p>
        </w:tc>
        <w:tc>
          <w:tcPr>
            <w:tcW w:w="420" w:type="dxa"/>
            <w:vAlign w:val="bottom"/>
            <w:gridSpan w:val="3"/>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EE"/>
              </w:rPr>
              <w:t>Certification of CFO pursuant to 18 U.S.C. Section 1350 as adopted pursuant to Section 906 of the Sarbanes-Oxley Act of 2002.</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19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660" w:hanging="652"/>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ectPr>
          <w:pgSz w:w="11900" w:h="16838" w:orient="portrait"/>
          <w:cols w:equalWidth="0" w:num="1">
            <w:col w:w="11240"/>
          </w:cols>
          <w:pgMar w:left="320" w:top="121" w:right="339" w:bottom="974"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74"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8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10, 2024</w:t>
            </w:r>
          </w:p>
        </w:tc>
        <w:tc>
          <w:tcPr>
            <w:tcW w:w="6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191"/>
        </w:trPr>
        <w:tc>
          <w:tcPr>
            <w:tcW w:w="6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10, 2024</w:t>
            </w:r>
          </w:p>
        </w:tc>
        <w:tc>
          <w:tcPr>
            <w:tcW w:w="6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191"/>
        </w:trPr>
        <w:tc>
          <w:tcPr>
            <w:tcW w:w="6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39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2024</w:t>
      </w:r>
      <w:r>
        <w:rPr>
          <w:sz w:val="20"/>
          <w:szCs w:val="20"/>
          <w:color w:val="auto"/>
        </w:rPr>
        <w:tab/>
      </w:r>
      <w:r>
        <w:rPr>
          <w:rFonts w:ascii="Times New Roman" w:cs="Times New Roman" w:eastAsia="Times New Roman" w:hAnsi="Times New Roman"/>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W.M. “Rusty” Rush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74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2024</w:t>
      </w:r>
      <w:r>
        <w:rPr>
          <w:sz w:val="20"/>
          <w:szCs w:val="20"/>
          <w:color w:val="auto"/>
        </w:rPr>
        <w:tab/>
      </w:r>
      <w:r>
        <w:rPr>
          <w:rFonts w:ascii="Times New Roman" w:cs="Times New Roman" w:eastAsia="Times New Roman" w:hAnsi="Times New Roman"/>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Steven L. Keller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8"/>
          <w:szCs w:val="18"/>
          <w:color w:val="auto"/>
        </w:rPr>
        <w:t>By:</w:t>
        <w:tab/>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2271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 W.M. “Rusty” Rush</w:t>
      </w:r>
    </w:p>
    <w:p>
      <w:pPr>
        <w:spacing w:after="0" w:line="23"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of the Board</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KELLER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Kelle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28" Type="http://schemas.openxmlformats.org/officeDocument/2006/relationships/hyperlink" Target="http://www.sec.gov/Archives/edgar/data/1012019/000110465908051789/a08-18770_1ex3d1.htm" TargetMode="External"/><Relationship Id="rId29" Type="http://schemas.openxmlformats.org/officeDocument/2006/relationships/hyperlink" Target="http://www.sec.gov/Archives/edgar/data/1012019/000143774923022761/ex_553893.htm" TargetMode="External"/><Relationship Id="rId30" Type="http://schemas.openxmlformats.org/officeDocument/2006/relationships/hyperlink" Target="http://www.sec.gov/Archives/edgar/data/1012019/000143774913006455/rusha20130517_8kex3-1.htm" TargetMode="External"/><Relationship Id="rId31" Type="http://schemas.openxmlformats.org/officeDocument/2006/relationships/hyperlink" Target="http://www.sec.gov/Archives/edgar/data/1012019/000143774921013172/ex_252719.htm" TargetMode="External"/><Relationship Id="rId32" Type="http://schemas.openxmlformats.org/officeDocument/2006/relationships/hyperlink" Target="http://www.sec.gov/Archives/edgar/data/1012019/000143774924012083/ex_654030.htm" TargetMode="External"/><Relationship Id="rId33" Type="http://schemas.openxmlformats.org/officeDocument/2006/relationships/hyperlink" Target="http://www.sec.gov/Archives/edgar/data/1012019/000143774924012083/ex_654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2024-05-10T14:13:18Z</dcterms:created>
  <dcterms:modified xsi:type="dcterms:W3CDTF">2024-05-10T14:13:18Z</dcterms:modified>
</cp:coreProperties>
</file>