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September 30, 2018</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280" w:firstLine="8"/>
        <w:spacing w:after="0" w:line="563" w:lineRule="auto"/>
        <w:tabs>
          <w:tab w:leader="none" w:pos="150"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7440" w:type="dxa"/>
            <w:vAlign w:val="bottom"/>
          </w:tcPr>
          <w:p>
            <w:pPr>
              <w:jc w:val="center"/>
              <w:ind w:right="2670"/>
              <w:spacing w:after="0"/>
              <w:rPr>
                <w:sz w:val="20"/>
                <w:szCs w:val="20"/>
                <w:color w:val="auto"/>
              </w:rPr>
            </w:pPr>
            <w:r>
              <w:rPr>
                <w:rFonts w:ascii="Arial" w:cs="Arial" w:eastAsia="Arial" w:hAnsi="Arial"/>
                <w:sz w:val="18"/>
                <w:szCs w:val="18"/>
                <w:color w:val="auto"/>
                <w:w w:val="92"/>
              </w:rPr>
              <w:t>Commission File Number 0-20797</w:t>
            </w:r>
          </w:p>
        </w:tc>
      </w:tr>
      <w:tr>
        <w:trPr>
          <w:trHeight w:val="418"/>
        </w:trPr>
        <w:tc>
          <w:tcPr>
            <w:tcW w:w="2580" w:type="dxa"/>
            <w:vAlign w:val="bottom"/>
          </w:tcPr>
          <w:p>
            <w:pPr>
              <w:spacing w:after="0"/>
              <w:rPr>
                <w:sz w:val="24"/>
                <w:szCs w:val="24"/>
                <w:color w:val="auto"/>
              </w:rPr>
            </w:pPr>
          </w:p>
        </w:tc>
        <w:tc>
          <w:tcPr>
            <w:tcW w:w="7440" w:type="dxa"/>
            <w:vAlign w:val="bottom"/>
          </w:tcPr>
          <w:p>
            <w:pPr>
              <w:jc w:val="center"/>
              <w:ind w:right="269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580" w:type="dxa"/>
            <w:vAlign w:val="bottom"/>
          </w:tcPr>
          <w:p>
            <w:pPr>
              <w:spacing w:after="0"/>
              <w:rPr>
                <w:sz w:val="20"/>
                <w:szCs w:val="20"/>
                <w:color w:val="auto"/>
              </w:rPr>
            </w:pPr>
          </w:p>
        </w:tc>
        <w:tc>
          <w:tcPr>
            <w:tcW w:w="7440" w:type="dxa"/>
            <w:vAlign w:val="bottom"/>
          </w:tcPr>
          <w:p>
            <w:pPr>
              <w:jc w:val="center"/>
              <w:ind w:right="26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580" w:type="dxa"/>
            <w:vAlign w:val="bottom"/>
          </w:tcPr>
          <w:p>
            <w:pPr>
              <w:jc w:val="center"/>
              <w:ind w:right="270"/>
              <w:spacing w:after="0"/>
              <w:rPr>
                <w:sz w:val="20"/>
                <w:szCs w:val="20"/>
                <w:color w:val="auto"/>
              </w:rPr>
            </w:pPr>
            <w:r>
              <w:rPr>
                <w:rFonts w:ascii="Arial" w:cs="Arial" w:eastAsia="Arial" w:hAnsi="Arial"/>
                <w:sz w:val="18"/>
                <w:szCs w:val="18"/>
                <w:color w:val="auto"/>
                <w:w w:val="85"/>
              </w:rPr>
              <w:t>Texas</w:t>
            </w:r>
          </w:p>
        </w:tc>
        <w:tc>
          <w:tcPr>
            <w:tcW w:w="7440" w:type="dxa"/>
            <w:vAlign w:val="bottom"/>
          </w:tcPr>
          <w:p>
            <w:pPr>
              <w:jc w:val="right"/>
              <w:ind w:right="770"/>
              <w:spacing w:after="0"/>
              <w:rPr>
                <w:sz w:val="20"/>
                <w:szCs w:val="20"/>
                <w:color w:val="auto"/>
              </w:rPr>
            </w:pPr>
            <w:r>
              <w:rPr>
                <w:rFonts w:ascii="Arial" w:cs="Arial" w:eastAsia="Arial" w:hAnsi="Arial"/>
                <w:sz w:val="18"/>
                <w:szCs w:val="18"/>
                <w:color w:val="auto"/>
              </w:rPr>
              <w:t>74-1733016</w:t>
            </w:r>
          </w:p>
        </w:tc>
      </w:tr>
      <w:tr>
        <w:trPr>
          <w:trHeight w:val="216"/>
        </w:trPr>
        <w:tc>
          <w:tcPr>
            <w:tcW w:w="258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7440" w:type="dxa"/>
            <w:vAlign w:val="bottom"/>
          </w:tcPr>
          <w:p>
            <w:pPr>
              <w:jc w:val="center"/>
              <w:ind w:left="47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80" w:type="dxa"/>
            <w:vAlign w:val="bottom"/>
          </w:tcPr>
          <w:p>
            <w:pPr>
              <w:jc w:val="center"/>
              <w:ind w:right="330"/>
              <w:spacing w:after="0"/>
              <w:rPr>
                <w:sz w:val="20"/>
                <w:szCs w:val="20"/>
                <w:color w:val="auto"/>
              </w:rPr>
            </w:pPr>
            <w:r>
              <w:rPr>
                <w:rFonts w:ascii="Arial" w:cs="Arial" w:eastAsia="Arial" w:hAnsi="Arial"/>
                <w:sz w:val="18"/>
                <w:szCs w:val="18"/>
                <w:color w:val="auto"/>
                <w:w w:val="92"/>
              </w:rPr>
              <w:t>incorporation or organization)</w:t>
            </w:r>
          </w:p>
        </w:tc>
        <w:tc>
          <w:tcPr>
            <w:tcW w:w="7440" w:type="dxa"/>
            <w:vAlign w:val="bottom"/>
          </w:tcPr>
          <w:p>
            <w:pPr>
              <w:spacing w:after="0"/>
              <w:rPr>
                <w:sz w:val="20"/>
                <w:szCs w:val="20"/>
                <w:color w:val="auto"/>
              </w:rPr>
            </w:pPr>
          </w:p>
        </w:tc>
      </w:tr>
      <w:tr>
        <w:trPr>
          <w:trHeight w:val="418"/>
        </w:trPr>
        <w:tc>
          <w:tcPr>
            <w:tcW w:w="2580" w:type="dxa"/>
            <w:vAlign w:val="bottom"/>
          </w:tcPr>
          <w:p>
            <w:pPr>
              <w:spacing w:after="0"/>
              <w:rPr>
                <w:sz w:val="24"/>
                <w:szCs w:val="24"/>
                <w:color w:val="auto"/>
              </w:rPr>
            </w:pPr>
          </w:p>
        </w:tc>
        <w:tc>
          <w:tcPr>
            <w:tcW w:w="7440" w:type="dxa"/>
            <w:vAlign w:val="bottom"/>
          </w:tcPr>
          <w:p>
            <w:pPr>
              <w:jc w:val="center"/>
              <w:ind w:right="269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580" w:type="dxa"/>
            <w:vAlign w:val="bottom"/>
          </w:tcPr>
          <w:p>
            <w:pPr>
              <w:spacing w:after="0"/>
              <w:rPr>
                <w:sz w:val="18"/>
                <w:szCs w:val="18"/>
                <w:color w:val="auto"/>
              </w:rPr>
            </w:pPr>
          </w:p>
        </w:tc>
        <w:tc>
          <w:tcPr>
            <w:tcW w:w="7440" w:type="dxa"/>
            <w:vAlign w:val="bottom"/>
          </w:tcPr>
          <w:p>
            <w:pPr>
              <w:jc w:val="center"/>
              <w:ind w:right="267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580" w:type="dxa"/>
            <w:vAlign w:val="bottom"/>
          </w:tcPr>
          <w:p>
            <w:pPr>
              <w:spacing w:after="0"/>
              <w:rPr>
                <w:sz w:val="18"/>
                <w:szCs w:val="18"/>
                <w:color w:val="auto"/>
              </w:rPr>
            </w:pPr>
          </w:p>
        </w:tc>
        <w:tc>
          <w:tcPr>
            <w:tcW w:w="7440" w:type="dxa"/>
            <w:vAlign w:val="bottom"/>
          </w:tcPr>
          <w:p>
            <w:pPr>
              <w:jc w:val="center"/>
              <w:ind w:right="269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580" w:type="dxa"/>
            <w:vAlign w:val="bottom"/>
          </w:tcPr>
          <w:p>
            <w:pPr>
              <w:spacing w:after="0"/>
              <w:rPr>
                <w:sz w:val="20"/>
                <w:szCs w:val="20"/>
                <w:color w:val="auto"/>
              </w:rPr>
            </w:pPr>
          </w:p>
        </w:tc>
        <w:tc>
          <w:tcPr>
            <w:tcW w:w="7440" w:type="dxa"/>
            <w:vAlign w:val="bottom"/>
          </w:tcPr>
          <w:p>
            <w:pPr>
              <w:jc w:val="center"/>
              <w:ind w:right="2670"/>
              <w:spacing w:after="0"/>
              <w:rPr>
                <w:sz w:val="20"/>
                <w:szCs w:val="20"/>
                <w:color w:val="auto"/>
              </w:rPr>
            </w:pPr>
            <w:r>
              <w:rPr>
                <w:rFonts w:ascii="Arial" w:cs="Arial" w:eastAsia="Arial" w:hAnsi="Arial"/>
                <w:sz w:val="18"/>
                <w:szCs w:val="18"/>
                <w:color w:val="auto"/>
                <w:w w:val="94"/>
              </w:rPr>
              <w:t>(Zip Code)</w:t>
            </w:r>
          </w:p>
        </w:tc>
      </w:tr>
      <w:tr>
        <w:trPr>
          <w:trHeight w:val="418"/>
        </w:trPr>
        <w:tc>
          <w:tcPr>
            <w:tcW w:w="2580" w:type="dxa"/>
            <w:vAlign w:val="bottom"/>
          </w:tcPr>
          <w:p>
            <w:pPr>
              <w:spacing w:after="0"/>
              <w:rPr>
                <w:sz w:val="24"/>
                <w:szCs w:val="24"/>
                <w:color w:val="auto"/>
              </w:rPr>
            </w:pPr>
          </w:p>
        </w:tc>
        <w:tc>
          <w:tcPr>
            <w:tcW w:w="7440" w:type="dxa"/>
            <w:vAlign w:val="bottom"/>
          </w:tcPr>
          <w:p>
            <w:pPr>
              <w:jc w:val="center"/>
              <w:ind w:right="2670"/>
              <w:spacing w:after="0"/>
              <w:rPr>
                <w:sz w:val="20"/>
                <w:szCs w:val="20"/>
                <w:color w:val="auto"/>
              </w:rPr>
            </w:pPr>
            <w:r>
              <w:rPr>
                <w:rFonts w:ascii="Arial" w:cs="Arial" w:eastAsia="Arial" w:hAnsi="Arial"/>
                <w:sz w:val="18"/>
                <w:szCs w:val="18"/>
                <w:color w:val="auto"/>
                <w:w w:val="90"/>
              </w:rPr>
              <w:t>(830) 302-5200</w:t>
            </w:r>
          </w:p>
        </w:tc>
      </w:tr>
      <w:tr>
        <w:trPr>
          <w:trHeight w:val="230"/>
        </w:trPr>
        <w:tc>
          <w:tcPr>
            <w:tcW w:w="2580" w:type="dxa"/>
            <w:vAlign w:val="bottom"/>
          </w:tcPr>
          <w:p>
            <w:pPr>
              <w:spacing w:after="0"/>
              <w:rPr>
                <w:sz w:val="20"/>
                <w:szCs w:val="20"/>
                <w:color w:val="auto"/>
              </w:rPr>
            </w:pPr>
          </w:p>
        </w:tc>
        <w:tc>
          <w:tcPr>
            <w:tcW w:w="7440" w:type="dxa"/>
            <w:vAlign w:val="bottom"/>
          </w:tcPr>
          <w:p>
            <w:pPr>
              <w:jc w:val="center"/>
              <w:ind w:right="269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4" w:lineRule="exact"/>
        <w:rPr>
          <w:sz w:val="24"/>
          <w:szCs w:val="24"/>
          <w:color w:val="auto"/>
        </w:rPr>
      </w:pP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6" w:right="239" w:bottom="90" w:gutter="0" w:footer="0" w:header="0"/>
        </w:sectPr>
      </w:pPr>
    </w:p>
    <w:p>
      <w:pPr>
        <w:spacing w:after="0" w:line="149"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60" w:space="720"/>
            <w:col w:w="5640"/>
          </w:cols>
          <w:pgMar w:left="240" w:top="476" w:right="239" w:bottom="90" w:gutter="0" w:footer="0" w:header="0"/>
          <w:type w:val="continuous"/>
        </w:sectPr>
      </w:pPr>
    </w:p>
    <w:p>
      <w:pPr>
        <w:spacing w:after="0" w:line="4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34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60" w:space="720"/>
            <w:col w:w="5640"/>
          </w:cols>
          <w:pgMar w:left="240" w:top="476" w:right="239" w:bottom="90" w:gutter="0" w:footer="0" w:header="0"/>
          <w:type w:val="continuous"/>
        </w:sectPr>
      </w:pPr>
    </w:p>
    <w:p>
      <w:pPr>
        <w:spacing w:after="0" w:line="48" w:lineRule="exact"/>
        <w:rPr>
          <w:sz w:val="24"/>
          <w:szCs w:val="24"/>
          <w:color w:val="auto"/>
        </w:rPr>
      </w:pPr>
    </w:p>
    <w:p>
      <w:pPr>
        <w:ind w:left="5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76" w:right="239" w:bottom="90" w:gutter="0" w:footer="0" w:header="0"/>
          <w:type w:val="continuous"/>
        </w:sectPr>
      </w:pPr>
    </w:p>
    <w:p>
      <w:pPr>
        <w:spacing w:after="0" w:line="281"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40"/>
        <w:spacing w:after="0"/>
        <w:tabs>
          <w:tab w:leader="none" w:pos="62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1, 2018.</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80" w:type="dxa"/>
            <w:vAlign w:val="bottom"/>
            <w:gridSpan w:val="2"/>
          </w:tcPr>
          <w:p>
            <w:pPr>
              <w:jc w:val="center"/>
              <w:ind w:right="2420"/>
              <w:spacing w:after="0"/>
              <w:rPr>
                <w:sz w:val="20"/>
                <w:szCs w:val="20"/>
                <w:color w:val="auto"/>
              </w:rPr>
            </w:pPr>
            <w:r>
              <w:rPr>
                <w:rFonts w:ascii="Arial" w:cs="Arial" w:eastAsia="Arial" w:hAnsi="Arial"/>
                <w:sz w:val="18"/>
                <w:szCs w:val="18"/>
                <w:color w:val="auto"/>
                <w:w w:val="92"/>
              </w:rPr>
              <w:t>Number of</w:t>
            </w:r>
          </w:p>
        </w:tc>
      </w:tr>
      <w:tr>
        <w:trPr>
          <w:trHeight w:val="216"/>
        </w:trPr>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80" w:type="dxa"/>
            <w:vAlign w:val="bottom"/>
            <w:gridSpan w:val="2"/>
          </w:tcPr>
          <w:p>
            <w:pPr>
              <w:jc w:val="center"/>
              <w:ind w:right="2400"/>
              <w:spacing w:after="0"/>
              <w:rPr>
                <w:sz w:val="20"/>
                <w:szCs w:val="20"/>
                <w:color w:val="auto"/>
              </w:rPr>
            </w:pPr>
            <w:r>
              <w:rPr>
                <w:rFonts w:ascii="Arial" w:cs="Arial" w:eastAsia="Arial" w:hAnsi="Arial"/>
                <w:sz w:val="18"/>
                <w:szCs w:val="18"/>
                <w:color w:val="auto"/>
                <w:w w:val="84"/>
              </w:rPr>
              <w:t>Shares</w:t>
            </w:r>
          </w:p>
        </w:tc>
      </w:tr>
      <w:tr>
        <w:trPr>
          <w:trHeight w:val="190"/>
        </w:trPr>
        <w:tc>
          <w:tcPr>
            <w:tcW w:w="2360" w:type="dxa"/>
            <w:vAlign w:val="bottom"/>
          </w:tcPr>
          <w:p>
            <w:pPr>
              <w:spacing w:after="0"/>
              <w:rPr>
                <w:sz w:val="16"/>
                <w:szCs w:val="16"/>
                <w:color w:val="auto"/>
              </w:rPr>
            </w:pPr>
          </w:p>
        </w:tc>
        <w:tc>
          <w:tcPr>
            <w:tcW w:w="5780" w:type="dxa"/>
            <w:vAlign w:val="bottom"/>
            <w:gridSpan w:val="2"/>
          </w:tcPr>
          <w:p>
            <w:pPr>
              <w:jc w:val="center"/>
              <w:ind w:right="4820"/>
              <w:spacing w:after="0" w:line="190" w:lineRule="exact"/>
              <w:rPr>
                <w:sz w:val="20"/>
                <w:szCs w:val="20"/>
                <w:color w:val="auto"/>
              </w:rPr>
            </w:pPr>
            <w:r>
              <w:rPr>
                <w:rFonts w:ascii="Arial" w:cs="Arial" w:eastAsia="Arial" w:hAnsi="Arial"/>
                <w:sz w:val="18"/>
                <w:szCs w:val="18"/>
                <w:color w:val="auto"/>
                <w:w w:val="92"/>
              </w:rPr>
              <w:t>Title of Class</w:t>
            </w:r>
          </w:p>
        </w:tc>
        <w:tc>
          <w:tcPr>
            <w:tcW w:w="3280" w:type="dxa"/>
            <w:vAlign w:val="bottom"/>
            <w:gridSpan w:val="2"/>
          </w:tcPr>
          <w:p>
            <w:pPr>
              <w:jc w:val="center"/>
              <w:ind w:right="2400"/>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2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2"/>
        </w:trPr>
        <w:tc>
          <w:tcPr>
            <w:tcW w:w="8140" w:type="dxa"/>
            <w:vAlign w:val="bottom"/>
            <w:gridSpan w:val="3"/>
          </w:tcPr>
          <w:p>
            <w:pPr>
              <w:jc w:val="center"/>
              <w:ind w:right="2420"/>
              <w:spacing w:after="0"/>
              <w:rPr>
                <w:sz w:val="20"/>
                <w:szCs w:val="20"/>
                <w:color w:val="auto"/>
              </w:rPr>
            </w:pPr>
            <w:r>
              <w:rPr>
                <w:rFonts w:ascii="Arial" w:cs="Arial" w:eastAsia="Arial" w:hAnsi="Arial"/>
                <w:sz w:val="18"/>
                <w:szCs w:val="18"/>
                <w:color w:val="auto"/>
                <w:w w:val="90"/>
              </w:rPr>
              <w:t>Class A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30,450,669</w:t>
            </w:r>
          </w:p>
        </w:tc>
        <w:tc>
          <w:tcPr>
            <w:tcW w:w="2400" w:type="dxa"/>
            <w:vAlign w:val="bottom"/>
          </w:tcPr>
          <w:p>
            <w:pPr>
              <w:spacing w:after="0"/>
              <w:rPr>
                <w:sz w:val="19"/>
                <w:szCs w:val="19"/>
                <w:color w:val="auto"/>
              </w:rPr>
            </w:pPr>
          </w:p>
        </w:tc>
      </w:tr>
      <w:tr>
        <w:trPr>
          <w:trHeight w:val="230"/>
        </w:trPr>
        <w:tc>
          <w:tcPr>
            <w:tcW w:w="8140" w:type="dxa"/>
            <w:vAlign w:val="bottom"/>
            <w:gridSpan w:val="3"/>
          </w:tcPr>
          <w:p>
            <w:pPr>
              <w:jc w:val="center"/>
              <w:ind w:right="2420"/>
              <w:spacing w:after="0"/>
              <w:rPr>
                <w:sz w:val="20"/>
                <w:szCs w:val="20"/>
                <w:color w:val="auto"/>
              </w:rPr>
            </w:pPr>
            <w:r>
              <w:rPr>
                <w:rFonts w:ascii="Arial" w:cs="Arial" w:eastAsia="Arial" w:hAnsi="Arial"/>
                <w:sz w:val="18"/>
                <w:szCs w:val="18"/>
                <w:color w:val="auto"/>
                <w:w w:val="90"/>
              </w:rPr>
              <w:t>Class B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8,328,043</w:t>
            </w:r>
          </w:p>
        </w:tc>
        <w:tc>
          <w:tcPr>
            <w:tcW w:w="2400" w:type="dxa"/>
            <w:vAlign w:val="bottom"/>
          </w:tcPr>
          <w:p>
            <w:pPr>
              <w:spacing w:after="0"/>
              <w:rPr>
                <w:sz w:val="20"/>
                <w:szCs w:val="20"/>
                <w:color w:val="auto"/>
              </w:rPr>
            </w:pPr>
          </w:p>
        </w:tc>
      </w:tr>
      <w:tr>
        <w:trPr>
          <w:trHeight w:val="547"/>
        </w:trPr>
        <w:tc>
          <w:tcPr>
            <w:tcW w:w="2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9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560" w:type="dxa"/>
            <w:vAlign w:val="bottom"/>
            <w:gridSpan w:val="6"/>
          </w:tcPr>
          <w:p>
            <w:pPr>
              <w:jc w:val="center"/>
              <w:ind w:right="4500"/>
              <w:spacing w:after="0"/>
              <w:rPr>
                <w:sz w:val="20"/>
                <w:szCs w:val="20"/>
                <w:color w:val="auto"/>
              </w:rPr>
            </w:pPr>
            <w:r>
              <w:rPr>
                <w:rFonts w:ascii="Arial" w:cs="Arial" w:eastAsia="Arial" w:hAnsi="Arial"/>
                <w:sz w:val="18"/>
                <w:szCs w:val="18"/>
                <w:b w:val="1"/>
                <w:bCs w:val="1"/>
                <w:color w:val="auto"/>
              </w:rPr>
              <w:t>INDEX</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312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620" w:type="dxa"/>
            <w:vAlign w:val="bottom"/>
            <w:gridSpan w:val="8"/>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Page</w:t>
            </w:r>
          </w:p>
        </w:tc>
      </w:tr>
      <w:tr>
        <w:trPr>
          <w:trHeight w:val="412"/>
        </w:trPr>
        <w:tc>
          <w:tcPr>
            <w:tcW w:w="1180" w:type="dxa"/>
            <w:vAlign w:val="bottom"/>
            <w:tcBorders>
              <w:top w:val="single" w:sz="8" w:color="0000EE"/>
            </w:tcBorders>
          </w:tcPr>
          <w:p>
            <w:pPr>
              <w:ind w:left="500"/>
              <w:spacing w:after="0"/>
              <w:rPr>
                <w:sz w:val="20"/>
                <w:szCs w:val="20"/>
                <w:color w:val="auto"/>
              </w:rPr>
            </w:pPr>
            <w:r>
              <w:rPr>
                <w:rFonts w:ascii="Arial" w:cs="Arial" w:eastAsia="Arial" w:hAnsi="Arial"/>
                <w:sz w:val="18"/>
                <w:szCs w:val="18"/>
                <w:color w:val="auto"/>
              </w:rPr>
              <w:t>Item 1.</w:t>
            </w:r>
          </w:p>
        </w:tc>
        <w:tc>
          <w:tcPr>
            <w:tcW w:w="194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2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September 30, 2018 (unaudited) and December 31, 2017</w:t>
              </w:r>
            </w:hyperlink>
          </w:p>
        </w:tc>
        <w:tc>
          <w:tcPr>
            <w:tcW w:w="3260" w:type="dxa"/>
            <w:vAlign w:val="bottom"/>
            <w:gridSpan w:val="4"/>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18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Income and Comprehensive Income - For the Three and Nine Months Ended September 30, 2018 and</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18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2017 (unaudited)</w:t>
              </w:r>
            </w:hyperlink>
          </w:p>
        </w:tc>
        <w:tc>
          <w:tcPr>
            <w:tcW w:w="8100" w:type="dxa"/>
            <w:vAlign w:val="bottom"/>
            <w:tcBorders>
              <w:top w:val="single" w:sz="8" w:color="0000EE"/>
            </w:tcBorders>
            <w:gridSpan w:val="13"/>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180" w:type="dxa"/>
            <w:vAlign w:val="bottom"/>
          </w:tcPr>
          <w:p>
            <w:pPr>
              <w:spacing w:after="0"/>
              <w:rPr>
                <w:sz w:val="24"/>
                <w:szCs w:val="24"/>
                <w:color w:val="auto"/>
              </w:rPr>
            </w:pPr>
          </w:p>
        </w:tc>
        <w:tc>
          <w:tcPr>
            <w:tcW w:w="80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 For the Nine Months Ended September 30, 2018 and 2017 (unaudited)</w:t>
              </w:r>
            </w:hyperlink>
          </w:p>
        </w:tc>
        <w:tc>
          <w:tcPr>
            <w:tcW w:w="1480" w:type="dxa"/>
            <w:vAlign w:val="bottom"/>
            <w:gridSpan w:val="2"/>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18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4">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7">
              <w:r>
                <w:rPr>
                  <w:rFonts w:ascii="Arial" w:cs="Arial" w:eastAsia="Arial" w:hAnsi="Arial"/>
                  <w:sz w:val="18"/>
                  <w:szCs w:val="18"/>
                  <w:color w:val="0000EE"/>
                </w:rPr>
                <w:t>Quantitative and Qualitative Disclosures About Market Risk</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40" w:type="dxa"/>
            <w:vAlign w:val="bottom"/>
            <w:tcBorders>
              <w:left w:val="single" w:sz="8" w:color="0000EE"/>
            </w:tcBorders>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7">
              <w:r>
                <w:rPr>
                  <w:rFonts w:ascii="Arial" w:cs="Arial" w:eastAsia="Arial" w:hAnsi="Arial"/>
                  <w:sz w:val="18"/>
                  <w:szCs w:val="18"/>
                  <w:color w:val="0000EE"/>
                </w:rPr>
                <w:t>Controls and Procedures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1074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80" w:type="dxa"/>
            <w:vAlign w:val="bottom"/>
            <w:tcBorders>
              <w:top w:val="single" w:sz="8" w:color="0000EE"/>
            </w:tcBorders>
          </w:tcPr>
          <w:p>
            <w:pPr>
              <w:ind w:left="500"/>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Legal Proceedings</w:t>
              </w:r>
            </w:hyperlink>
          </w:p>
        </w:tc>
        <w:tc>
          <w:tcPr>
            <w:tcW w:w="320" w:type="dxa"/>
            <w:vAlign w:val="bottom"/>
            <w:tcBorders>
              <w:top w:val="single" w:sz="8" w:color="0000EE"/>
            </w:tcBorders>
            <w:gridSpan w:val="2"/>
          </w:tcPr>
          <w:p>
            <w:pPr>
              <w:spacing w:after="0"/>
              <w:rPr>
                <w:sz w:val="24"/>
                <w:szCs w:val="24"/>
                <w:color w:val="auto"/>
              </w:rPr>
            </w:pPr>
          </w:p>
        </w:tc>
        <w:tc>
          <w:tcPr>
            <w:tcW w:w="7920" w:type="dxa"/>
            <w:vAlign w:val="bottom"/>
            <w:gridSpan w:val="10"/>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7">
              <w:r>
                <w:rPr>
                  <w:rFonts w:ascii="Arial" w:cs="Arial" w:eastAsia="Arial" w:hAnsi="Arial"/>
                  <w:sz w:val="18"/>
                  <w:szCs w:val="18"/>
                  <w:color w:val="0000EE"/>
                </w:rPr>
                <w:t>Risk Factors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8">
              <w:r>
                <w:rPr>
                  <w:rFonts w:ascii="Arial" w:cs="Arial" w:eastAsia="Arial" w:hAnsi="Arial"/>
                  <w:sz w:val="18"/>
                  <w:szCs w:val="18"/>
                  <w:color w:val="0000EE"/>
                </w:rPr>
                <w:t>Unregistered Sales of Equity Securities and Use of Proceeds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8">
              <w:r>
                <w:rPr>
                  <w:rFonts w:ascii="Arial" w:cs="Arial" w:eastAsia="Arial" w:hAnsi="Arial"/>
                  <w:sz w:val="18"/>
                  <w:szCs w:val="18"/>
                  <w:color w:val="0000EE"/>
                </w:rPr>
                <w:t>Defaults Upon Senior Securities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12"/>
        </w:trPr>
        <w:tc>
          <w:tcPr>
            <w:tcW w:w="10740" w:type="dxa"/>
            <w:vAlign w:val="bottom"/>
            <w:gridSpan w:val="1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8">
              <w:r>
                <w:rPr>
                  <w:rFonts w:ascii="Arial" w:cs="Arial" w:eastAsia="Arial" w:hAnsi="Arial"/>
                  <w:sz w:val="18"/>
                  <w:szCs w:val="18"/>
                  <w:color w:val="0000EE"/>
                </w:rPr>
                <w:t>Mine Safety Disclosures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180" w:type="dxa"/>
            <w:vAlign w:val="bottom"/>
          </w:tcPr>
          <w:p>
            <w:pPr>
              <w:ind w:left="500"/>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820" w:type="dxa"/>
            <w:vAlign w:val="bottom"/>
            <w:gridSpan w:val="9"/>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180" w:type="dxa"/>
            <w:vAlign w:val="bottom"/>
          </w:tcPr>
          <w:p>
            <w:pPr>
              <w:ind w:left="500"/>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Exhibits</w:t>
              </w:r>
            </w:hyperlink>
          </w:p>
        </w:tc>
        <w:tc>
          <w:tcPr>
            <w:tcW w:w="8980" w:type="dxa"/>
            <w:vAlign w:val="bottom"/>
            <w:gridSpan w:val="16"/>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18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SIGNATURES</w:t>
              </w:r>
            </w:hyperlink>
          </w:p>
        </w:tc>
        <w:tc>
          <w:tcPr>
            <w:tcW w:w="9560" w:type="dxa"/>
            <w:vAlign w:val="bottom"/>
            <w:gridSpan w:val="17"/>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1180" w:type="dxa"/>
            <w:vAlign w:val="bottom"/>
          </w:tcPr>
          <w:p>
            <w:pPr>
              <w:spacing w:after="0"/>
              <w:rPr>
                <w:sz w:val="24"/>
                <w:szCs w:val="24"/>
                <w:color w:val="auto"/>
              </w:rPr>
            </w:pPr>
          </w:p>
        </w:tc>
        <w:tc>
          <w:tcPr>
            <w:tcW w:w="6300" w:type="dxa"/>
            <w:vAlign w:val="bottom"/>
            <w:gridSpan w:val="13"/>
          </w:tcPr>
          <w:p>
            <w:pPr>
              <w:jc w:val="right"/>
              <w:ind w:right="17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205,569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177,162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1,270,941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291,391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3,189,803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990,594</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16,977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40,569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1,447,081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54,689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147,436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2018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authorized; 30,502,338 Class A shares and 8,358,525 Class B shares outstanding in 2018; and 31,345,116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A shares and 8,469,427 Class B shares outstanding in 2017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367,654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348,044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Treasury stock, at cost: 1,988,354 class A shares and 4,962,539 class B shares in 2018 and 934,171 class 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and 4,625,181 class B shares in 2017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1,089,159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3,189,803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878,845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819,028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2,508,970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375,835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60,825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54,630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177,342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3,965,748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808,634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754,762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2,311,156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268,521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237,452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788,148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1,037,411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3,246,319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2,888,752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159,281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527,729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39,309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39,825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41,146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040" w:type="dxa"/>
            <w:vAlign w:val="bottom"/>
            <w:gridSpan w:val="10"/>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92,093</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15,850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(200,662)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87,548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(176,221)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(9,511)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of cash dividends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81,028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205,569</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31,002</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15,990</w:t>
            </w:r>
          </w:p>
        </w:tc>
        <w:tc>
          <w:tcPr>
            <w:tcW w:w="58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3,241</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2017.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(“ERP Platform”) of $11.3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September 30, 2018 and $0.9 million for the three months ended September 30, 2017, and $21.2 million for the nine months ended September 30, 2018 and $2.6 million for the nine months ended September 30, 2017.</w:t>
      </w:r>
    </w:p>
    <w:p>
      <w:pPr>
        <w:spacing w:after="0" w:line="188" w:lineRule="exact"/>
        <w:rPr>
          <w:sz w:val="20"/>
          <w:szCs w:val="20"/>
          <w:color w:val="auto"/>
        </w:rPr>
      </w:pPr>
    </w:p>
    <w:p>
      <w:pPr>
        <w:jc w:val="both"/>
        <w:ind w:left="80" w:firstLine="567"/>
        <w:spacing w:after="0" w:line="290" w:lineRule="auto"/>
        <w:rPr>
          <w:sz w:val="20"/>
          <w:szCs w:val="20"/>
          <w:color w:val="auto"/>
        </w:rPr>
      </w:pPr>
      <w:r>
        <w:rPr>
          <w:rFonts w:ascii="Arial" w:cs="Arial" w:eastAsia="Arial" w:hAnsi="Arial"/>
          <w:sz w:val="16"/>
          <w:szCs w:val="16"/>
          <w:color w:val="auto"/>
        </w:rPr>
        <w:t>In the first quarter of 2018, as part of an assessment that involved a technical feasibility study of the then current ERP Platform, the Company determined that a majority of the components of this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recognized $10.2 million of amortization expense related to the components of the ERP Platform that were replaced in the first quarter of 2018 and $9.7 million in the second quarter of 2018. The ERP Platform asset and related amortization are reflected in the Truck Segment.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left="80" w:firstLine="567"/>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on September 30, 2018 and December 31, 2017,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ectPr>
          <w:pgSz w:w="11900" w:h="16838" w:orient="portrait"/>
          <w:cols w:equalWidth="0" w:num="1">
            <w:col w:w="11040"/>
          </w:cols>
          <w:pgMar w:left="240" w:top="118" w:right="619" w:bottom="1440" w:gutter="0" w:footer="0" w:header="0"/>
        </w:sectPr>
      </w:pP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0" w:right="380" w:firstLine="567"/>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w w:val="95"/>
              </w:rPr>
              <w:t>Numerator for basic and diluted earnings per share – Net income available to</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41,665</w:t>
            </w: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29,784</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92,093</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217"/>
        </w:trPr>
        <w:tc>
          <w:tcPr>
            <w:tcW w:w="60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39,309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39,825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39,560</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Effect of dilutive securities– Employee and director stock options and restricted</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awards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tcPr>
          <w:p>
            <w:pPr>
              <w:ind w:left="18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40,388</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41,146</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40,635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40,830</w:t>
            </w:r>
          </w:p>
        </w:tc>
        <w:tc>
          <w:tcPr>
            <w:tcW w:w="0" w:type="dxa"/>
            <w:vAlign w:val="bottom"/>
          </w:tcPr>
          <w:p>
            <w:pPr>
              <w:spacing w:after="0"/>
              <w:rPr>
                <w:sz w:val="1"/>
                <w:szCs w:val="1"/>
                <w:color w:val="auto"/>
              </w:rPr>
            </w:pPr>
          </w:p>
        </w:tc>
      </w:tr>
      <w:tr>
        <w:trPr>
          <w:trHeight w:val="190"/>
        </w:trPr>
        <w:tc>
          <w:tcPr>
            <w:tcW w:w="6080" w:type="dxa"/>
            <w:vAlign w:val="bottom"/>
          </w:tcPr>
          <w:p>
            <w:pPr>
              <w:ind w:left="340"/>
              <w:spacing w:after="0" w:line="190"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6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2.33</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6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.72</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2.27</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nine months ended September 30, 2018 and 2017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4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center"/>
              <w:ind w:left="270"/>
              <w:spacing w:after="0"/>
              <w:rPr>
                <w:sz w:val="20"/>
                <w:szCs w:val="20"/>
                <w:color w:val="auto"/>
              </w:rPr>
            </w:pPr>
            <w:r>
              <w:rPr>
                <w:rFonts w:ascii="Arial" w:cs="Arial" w:eastAsia="Arial" w:hAnsi="Arial"/>
                <w:sz w:val="18"/>
                <w:szCs w:val="18"/>
                <w:color w:val="auto"/>
                <w:w w:val="92"/>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8"/>
              </w:rPr>
              <w:t>September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8"/>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440" w:type="dxa"/>
            <w:vAlign w:val="bottom"/>
            <w:gridSpan w:val="2"/>
            <w:shd w:val="clear" w:color="auto" w:fill="CCEEFF"/>
          </w:tcPr>
          <w:p>
            <w:pPr>
              <w:jc w:val="right"/>
              <w:ind w:right="2570"/>
              <w:spacing w:after="0"/>
              <w:rPr>
                <w:sz w:val="20"/>
                <w:szCs w:val="20"/>
                <w:color w:val="auto"/>
              </w:rPr>
            </w:pPr>
            <w:r>
              <w:rPr>
                <w:rFonts w:ascii="Arial" w:cs="Arial" w:eastAsia="Arial" w:hAnsi="Arial"/>
                <w:sz w:val="18"/>
                <w:szCs w:val="18"/>
                <w:color w:val="auto"/>
                <w:w w:val="90"/>
              </w:rPr>
              <w:t>Weighted average anti-dilutive options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measurement and recognition of compensation expense for all share-based payment awards made to our employees and directors, including employee stock options, restricted stock unit awards and employee stock purchases related to the Employee Stock Purchase Plan based on estimated fair values.</w:t>
      </w:r>
    </w:p>
    <w:p>
      <w:pPr>
        <w:spacing w:after="0" w:line="187"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$2.0 million for the three months ended September 30, 2018, and $3.4 million for the three months ended September 30, 2017. Stock-based compensation expense for the nine months ended September 30, 2018 was $15.8 million and for the nine months ended September 30, 2017 was $12.0 million.</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recorded excess tax benefits of $92,000 in the three months ended September 30, 2018 and $1.9 million in the three months ended September 30, 2017 and excess tax benefits of $0.3 million in the nine months ended September 30, 2018 and $3.9 million in the nine months ended September 30,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the Company had $9.0 million of unrecognized compensation expense related to non-vested employee stock options to be recognized over a weighted-average period of 3.4 years and $8.2 million of unrecognized compensation cost related to non-vested restricted stock units to be recognized over a weighted-average period of 2.1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on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on the measurement date.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on September 30, 2018, and December 31, 2017. The carrying value of current assets and current liabilities approximates the fair value due to the short maturity of these items.</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the Company did not hold any auction rate securities. The issuer redeemed, at par, all of the auction rate securities in the second and third quarters of 2018. On December 31, 2017, the Company held auction rate securities with underlying tax-exempt municipal bonds that mature in 2030 and had a fair value and a cost basis of $6.4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In 2016, the Company recorded an impairment charge related to the value of the real estate in the affected locations and a write-down of certain excess real estate in the amount of $7.5 million.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During 2016 and 2017, the Company sold seven of the properties previously classified as held for sale with a fair value of $8.3 million. During the third quarter of 2017, the Company made the decision to put one of the properties previously classified as “held for sale” with a fair value of $1.4 million back into service. In February 2018, the Company sold one of the properties with a fair value of $1.9 million. In May 2018, the Company sold another one of the properties with a fair value of $1.0 million. In July 2018, the Company sold two properties with a fair value of $1.8 million. As of September 30, 2018, the remaining real estate associated with the restructuring activities is included in assets held for sale on the Consolidated Balance Sheets.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Measurements</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Using</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80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2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September 30, 2018 and 2017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Truck</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Segment</w:t>
            </w:r>
          </w:p>
        </w:tc>
        <w:tc>
          <w:tcPr>
            <w:tcW w:w="24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All Other</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September 30, 2018</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4,664</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58,665</w:t>
            </w: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54,250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3,152,204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37,599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3,189,803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2018</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3,952,396</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13,352</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3,965,748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134,151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121,037</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September 30, 2017</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1,253,429</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4,030</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48,644</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45,590</w:t>
            </w: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2,721,463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37,527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2017</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3,493,984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11,795</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111,184</w:t>
            </w: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102,599</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had unrecognized income tax benefits totaling $2.6 million as a component of accrued liabilities on September 30, 2018 and December 31, 2017,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$166,000 accrued for the payment of interest on September 30, 2018 and December 31, 2017.</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22, 2017, the United States Congress enacted comprehensive tax legislation commonly referred to as the Tax Cuts and Jobs Act (“the Tax Act”). The Tax Act included, among other items, a reduction of the U.S. federal corporate tax rate from 35% to 21% effective January 1, 2018. The Tax Act made broad and complex changes to the U.S. tax code, some of which affected the Company’s 2017 year end results. Staff Accounting Bulletin No. 118 (SAB 118) provided guidance that allowed registrants to provide a reasonable estimate of the effects of the Tax Act in their financial statements and adjust the reported impact in a measurement period not to exceed one year. The Company made a reasonable estimate of the effects of the Tax Act on its existing deferred tax balances and recognized a provisional net tax benefit of $82.9 million which was recognized effective December 31, 2017. The provisional benefit recorded was primarily a result of the remeasurement of the Company’s deferred tax assets and liabilities at the tax rate in which they will reverse when they are recognized. The Company will continue to refine its calculations as additional analysis is completed. In addition, the Company’s estimates may also be affected as it gains a more thorough understanding of the Tax Act.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twelve months. As of September 30, 2018, the tax years ended December 31, 2014 through 2017 remain subject to audit by federal tax authorities and the tax years ended December 31, 2013 through 2017 remain subject to audit by state tax authorities. In June 2018, the Company was notified of an examination of its federal income tax return for 2015. The Company cannot predict the timing regarding resolution of this tax examination, however, the Company does not expect the examination to have a material impact on its financial statements.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adopted ASU 2016-09 on January 1, 2017, which requires excess tax benefits and tax deficiencies to be recognized as income tax benefit or expense in the income statement and presented as an operating activity in the statement of cash flows when the awards are vested or are settled. The Company recorded excess tax benefits of $92,000 in the three months ended September 30, 2018 and $ 1.9 million in the three months ended September 30, 2017, which was recorded in the Consolidated Statements of Income and Comprehensive Income. The Company recorded excess tax benefits of $0.3 million in the nine months ended September 30, 2018 and $3.9 million in the nine months ended September 30, 2017, which were recorded in the Consolidated Statements of Income and Comprehensive Income.</w:t>
      </w:r>
    </w:p>
    <w:p>
      <w:pPr>
        <w:sectPr>
          <w:pgSz w:w="11900" w:h="16838" w:orient="portrait"/>
          <w:cols w:equalWidth="0" w:num="1">
            <w:col w:w="11040"/>
          </w:cols>
          <w:pgMar w:left="240" w:top="118" w:right="619" w:bottom="1440" w:gutter="0" w:footer="0" w:header="0"/>
        </w:sectPr>
      </w:pPr>
    </w:p>
    <w:p>
      <w:pPr>
        <w:spacing w:after="0" w:line="17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Guidance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intended to increase the transparency and comparability among organizations by recognizing lease assets and lease liabilities on the balance sheet and disclosing key information about leasing arrangements. The new standard requires lessees to record assets and liabilities on the balance sheet for all leases with terms longer than twelve months. Leases will be classified as either finance or operating, with classification affecting the pattern of expense recognition in the income statement.</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will adopt Topic 842 on January 1, 2019. The standard requires a modified retrospective transition approach for all leases existing at, or entered into after, the date of initial application. Upon adoption, the Company expects to apply the practical expedients permitted within the new standard, which among other things, allows the Company to retain its existing assessment of whether an arrangement is, or contains, a lease and is classified as an operating or finance lease. The Company will make an accounting policy election that will keep leases with an initial term of twelve months or less off of the balance sheet and will result in recognizing those lease payments in the Consolidated Statements of Income and Comprehensive Income on a straight-line basis over the lease term. The Company is in the process of analyzing its lease portfolio and continues to evaluate the full impact of the new standard, including the impact on its business processes, systems and internal controls. However, the Company expects to recognize right-of-use assets and related liabilities on the Company’s Consolidated Balance Sheets.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amended the accounting standards for revenue recognition. The Company adopted Topic 606 on January 1, 2018, and is applying the modified retrospective method. There was not a material impact to revenues as a result of applying Topic 606 for the three months and nine months ended September 30, 2018, and there have not been significant changes to our business processes, systems or internal controls as a result of implementing the standard. Adoption of the new standard does not materially change the timing or amount of revenue recognized in the Company’s Consolidated Statements of Income and Comprehensive Income.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disaggregated revenue by revenue source for the three months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w:t>
      </w: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color w:val="auto"/>
                <w:w w:val="94"/>
              </w:rPr>
              <w:t>Nine Months</w:t>
            </w:r>
          </w:p>
        </w:tc>
      </w:tr>
      <w:tr>
        <w:trPr>
          <w:trHeight w:val="216"/>
        </w:trPr>
        <w:tc>
          <w:tcPr>
            <w:tcW w:w="460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92"/>
              </w:rPr>
              <w:t>Three Months Ended</w:t>
            </w:r>
          </w:p>
        </w:tc>
        <w:tc>
          <w:tcPr>
            <w:tcW w:w="2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8"/>
              </w:rPr>
              <w:t>Ended</w:t>
            </w:r>
          </w:p>
        </w:tc>
      </w:tr>
      <w:tr>
        <w:trPr>
          <w:trHeight w:val="230"/>
        </w:trPr>
        <w:tc>
          <w:tcPr>
            <w:tcW w:w="4600" w:type="dxa"/>
            <w:vAlign w:val="bottom"/>
          </w:tcPr>
          <w:p>
            <w:pPr>
              <w:spacing w:after="0"/>
              <w:rPr>
                <w:sz w:val="20"/>
                <w:szCs w:val="20"/>
                <w:color w:val="auto"/>
              </w:rPr>
            </w:pP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September 30, 2018</w:t>
            </w:r>
          </w:p>
        </w:tc>
        <w:tc>
          <w:tcPr>
            <w:tcW w:w="200" w:type="dxa"/>
            <w:vAlign w:val="bottom"/>
          </w:tcPr>
          <w:p>
            <w:pPr>
              <w:spacing w:after="0"/>
              <w:rPr>
                <w:sz w:val="20"/>
                <w:szCs w:val="20"/>
                <w:color w:val="auto"/>
              </w:rPr>
            </w:pPr>
          </w:p>
        </w:tc>
        <w:tc>
          <w:tcPr>
            <w:tcW w:w="1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September 30, 2018</w:t>
            </w:r>
          </w:p>
        </w:tc>
      </w:tr>
      <w:tr>
        <w:trPr>
          <w:trHeight w:val="210"/>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vehicle sales revenue</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$ 878,845</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$ 2,508,970</w:t>
            </w:r>
          </w:p>
        </w:tc>
      </w:tr>
      <w:tr>
        <w:trPr>
          <w:trHeight w:val="216"/>
        </w:trPr>
        <w:tc>
          <w:tcPr>
            <w:tcW w:w="4600" w:type="dxa"/>
            <w:vAlign w:val="bottom"/>
          </w:tcPr>
          <w:p>
            <w:pPr>
              <w:ind w:left="60"/>
              <w:spacing w:after="0"/>
              <w:rPr>
                <w:sz w:val="20"/>
                <w:szCs w:val="20"/>
                <w:color w:val="auto"/>
              </w:rPr>
            </w:pPr>
            <w:r>
              <w:rPr>
                <w:rFonts w:ascii="Arial" w:cs="Arial" w:eastAsia="Arial" w:hAnsi="Arial"/>
                <w:sz w:val="18"/>
                <w:szCs w:val="18"/>
                <w:color w:val="auto"/>
              </w:rPr>
              <w:t>Parts revenue</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239,401</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699,823</w:t>
            </w:r>
          </w:p>
        </w:tc>
      </w:tr>
      <w:tr>
        <w:trPr>
          <w:trHeight w:val="216"/>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vehicle repair service revenue</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187,444</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550,257</w:t>
            </w:r>
          </w:p>
        </w:tc>
      </w:tr>
      <w:tr>
        <w:trPr>
          <w:trHeight w:val="216"/>
        </w:trPr>
        <w:tc>
          <w:tcPr>
            <w:tcW w:w="4600" w:type="dxa"/>
            <w:vAlign w:val="bottom"/>
          </w:tcPr>
          <w:p>
            <w:pPr>
              <w:ind w:left="60"/>
              <w:spacing w:after="0"/>
              <w:rPr>
                <w:sz w:val="20"/>
                <w:szCs w:val="20"/>
                <w:color w:val="auto"/>
              </w:rPr>
            </w:pPr>
            <w:r>
              <w:rPr>
                <w:rFonts w:ascii="Arial" w:cs="Arial" w:eastAsia="Arial" w:hAnsi="Arial"/>
                <w:sz w:val="18"/>
                <w:szCs w:val="18"/>
                <w:color w:val="auto"/>
              </w:rPr>
              <w:t>Finance revenue</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2,628</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7,826</w:t>
            </w:r>
          </w:p>
        </w:tc>
      </w:tr>
      <w:tr>
        <w:trPr>
          <w:trHeight w:val="216"/>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 revenue</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7,460</w:t>
            </w:r>
          </w:p>
        </w:tc>
      </w:tr>
      <w:tr>
        <w:trPr>
          <w:trHeight w:val="216"/>
        </w:trPr>
        <w:tc>
          <w:tcPr>
            <w:tcW w:w="4600" w:type="dxa"/>
            <w:vAlign w:val="bottom"/>
          </w:tcPr>
          <w:p>
            <w:pPr>
              <w:ind w:left="60"/>
              <w:spacing w:after="0"/>
              <w:rPr>
                <w:sz w:val="20"/>
                <w:szCs w:val="20"/>
                <w:color w:val="auto"/>
              </w:rPr>
            </w:pPr>
            <w:r>
              <w:rPr>
                <w:rFonts w:ascii="Arial" w:cs="Arial" w:eastAsia="Arial" w:hAnsi="Arial"/>
                <w:sz w:val="18"/>
                <w:szCs w:val="18"/>
                <w:color w:val="auto"/>
              </w:rPr>
              <w:t>Other revenue</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4,568</w:t>
            </w:r>
          </w:p>
        </w:tc>
        <w:tc>
          <w:tcPr>
            <w:tcW w:w="200" w:type="dxa"/>
            <w:vAlign w:val="bottom"/>
          </w:tcPr>
          <w:p>
            <w:pPr>
              <w:spacing w:after="0"/>
              <w:rPr>
                <w:sz w:val="18"/>
                <w:szCs w:val="18"/>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14,070</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$ 1,315,311</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$ 3,788,406</w:t>
            </w: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does not have any material contract assets or contract liabilities on the Balance Sheet as of September 30, 2018. Revenues related to commercial vehicle sales, parts sales, commercial vehicle repair service, finance and the majority of other revenues are related to the Truck Segment.</w:t>
      </w:r>
    </w:p>
    <w:p>
      <w:pPr>
        <w:spacing w:after="0" w:line="1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sale of new and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the sale of parts is recognized when the Company transfers control of the goods to the customer and consideration has been received in the form of cash or a receivable from the customer. The Company provides its customers the right to return eligible parts, estimates the expected returns based on an analysis of historical experience and records an allowance for estimated returns, which has historically not been material.</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revenue is mostly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1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Shareholders’ Equity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declared and paid a $0.12 per share cash dividend in the third quarter of 2018. Future dividends are subject to declaration by the Company’s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gridSpan w:val="3"/>
          </w:tcPr>
          <w:p>
            <w:pPr>
              <w:jc w:val="center"/>
              <w:ind w:left="750"/>
              <w:spacing w:after="0"/>
              <w:rPr>
                <w:sz w:val="20"/>
                <w:szCs w:val="20"/>
                <w:color w:val="auto"/>
              </w:rPr>
            </w:pPr>
            <w:r>
              <w:rPr>
                <w:rFonts w:ascii="Arial" w:cs="Arial" w:eastAsia="Arial" w:hAnsi="Arial"/>
                <w:sz w:val="18"/>
                <w:szCs w:val="18"/>
                <w:color w:val="auto"/>
                <w:w w:val="84"/>
              </w:rPr>
              <w:t>Shares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Par</w:t>
            </w:r>
          </w:p>
        </w:tc>
        <w:tc>
          <w:tcPr>
            <w:tcW w:w="1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Paid-In</w:t>
            </w:r>
          </w:p>
        </w:tc>
        <w:tc>
          <w:tcPr>
            <w:tcW w:w="16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Treasury</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color w:val="auto"/>
              </w:rPr>
              <w:t>Class A</w:t>
            </w:r>
          </w:p>
        </w:tc>
        <w:tc>
          <w:tcPr>
            <w:tcW w:w="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Class B</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Earnings</w:t>
            </w:r>
          </w:p>
        </w:tc>
        <w:tc>
          <w:tcPr>
            <w:tcW w:w="1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December</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31, 2017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31,345</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348,044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(120,682)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812,557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1,040,373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exercised and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related to stock</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options, restricted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shares and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employee stock</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15,850</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15,850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awards</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(1,749)</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stock under</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employee stock</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2,929</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(58,229)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(58,229)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Dividend Class A</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(3,683)</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(3,683)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Class B</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92,093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92,093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1760" w:type="dxa"/>
            <w:vAlign w:val="bottom"/>
          </w:tcPr>
          <w:p>
            <w:pPr>
              <w:spacing w:after="0" w:line="198" w:lineRule="exact"/>
              <w:rPr>
                <w:sz w:val="20"/>
                <w:szCs w:val="20"/>
                <w:color w:val="auto"/>
              </w:rPr>
            </w:pPr>
            <w:r>
              <w:rPr>
                <w:rFonts w:ascii="Arial" w:cs="Arial" w:eastAsia="Arial" w:hAnsi="Arial"/>
                <w:sz w:val="18"/>
                <w:szCs w:val="18"/>
                <w:b w:val="1"/>
                <w:bCs w:val="1"/>
                <w:color w:val="auto"/>
              </w:rPr>
              <w:t>Balance, September</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30,502</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8,359</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458</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367,654</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(178,911)</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899,958</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1,089,159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1760" w:type="dxa"/>
            <w:vAlign w:val="bottom"/>
          </w:tcPr>
          <w:p>
            <w:pPr>
              <w:ind w:left="160"/>
              <w:spacing w:after="0" w:line="194" w:lineRule="exact"/>
              <w:rPr>
                <w:sz w:val="20"/>
                <w:szCs w:val="20"/>
                <w:color w:val="auto"/>
              </w:rPr>
            </w:pPr>
            <w:r>
              <w:rPr>
                <w:rFonts w:ascii="Arial" w:cs="Arial" w:eastAsia="Arial" w:hAnsi="Arial"/>
                <w:sz w:val="18"/>
                <w:szCs w:val="18"/>
                <w:b w:val="1"/>
                <w:bCs w:val="1"/>
                <w:color w:val="auto"/>
              </w:rPr>
              <w:t>30, 2018</w:t>
            </w: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80"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plans and objectives of management of the Company for future operations, current and projected market conditions, sales forecasts, market share forecasts, demand for the Company’s services, the impact of strategic initiatives and the Company’s capital allocation strategy, including future issuances of cash dividends and future repurchases of the Company’s common stock.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Important factors that could cause actual results to differ materially from those expressed or implied by such forward-looking statements include, but are not limited to, competitive factors, general U.S. economic conditions, economic conditions in the new and used commercial vehicle markets, customer relations, relationships with vendors, the interest rate environment, governmental regulation and supervision, product introductions and acceptance, changes in industry practices, one-time events and other factors described herein and in filings made by the Company with the SEC. Please read Item 1A. “Risk Factors” in the Company’s Annual Report on Form 10-K for the year ended December 31, 2017,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39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i w:val="1"/>
          <w:iCs w:val="1"/>
          <w:color w:val="auto"/>
        </w:rPr>
        <w:t>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i w:val="1"/>
          <w:iCs w:val="1"/>
          <w:color w:val="auto"/>
        </w:rPr>
        <w:t>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We conduct business through our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our operation of a nationwide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nationwide network of commercial vehicle dealerships. We offer an integrated approach to meeting customer needs by providing service, parts and collision repair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2017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w:t>
      </w:r>
    </w:p>
    <w:p>
      <w:pPr>
        <w:spacing w:after="0" w:line="2" w:lineRule="exact"/>
        <w:rPr>
          <w:sz w:val="20"/>
          <w:szCs w:val="20"/>
          <w:color w:val="auto"/>
        </w:rPr>
      </w:pPr>
    </w:p>
    <w:p>
      <w:pPr>
        <w:jc w:val="both"/>
        <w:ind w:right="20" w:firstLine="8"/>
        <w:spacing w:after="0" w:line="288"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10 – Revenue of the Notes to Consolidated Financial Statements.</w:t>
      </w:r>
    </w:p>
    <w:p>
      <w:pPr>
        <w:spacing w:after="0" w:line="1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nine months ended September 30, 2018 and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534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100.0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products sold</w:t>
            </w: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82.5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6"/>
        </w:trPr>
        <w:tc>
          <w:tcPr>
            <w:tcW w:w="8260" w:type="dxa"/>
            <w:vAlign w:val="bottom"/>
            <w:gridSpan w:val="8"/>
          </w:tcPr>
          <w:p>
            <w:pPr>
              <w:jc w:val="right"/>
              <w:ind w:right="360"/>
              <w:spacing w:after="0"/>
              <w:rPr>
                <w:sz w:val="20"/>
                <w:szCs w:val="20"/>
                <w:color w:val="auto"/>
              </w:rPr>
            </w:pPr>
            <w:r>
              <w:rPr>
                <w:rFonts w:ascii="Arial" w:cs="Arial" w:eastAsia="Arial" w:hAnsi="Arial"/>
                <w:sz w:val="18"/>
                <w:szCs w:val="18"/>
                <w:color w:val="auto"/>
                <w:w w:val="99"/>
              </w:rPr>
              <w:t>The following table sets forth for the periods indicated the percent of gross profit by revenue source:</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534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r>
      <w:tr>
        <w:trPr>
          <w:trHeight w:val="426"/>
        </w:trPr>
        <w:tc>
          <w:tcPr>
            <w:tcW w:w="82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17</w:t>
            </w: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our absorption ratio (revenue in millions):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Vehicle unit sales: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New heavy-duty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60"/>
              <w:spacing w:after="0"/>
              <w:rPr>
                <w:sz w:val="20"/>
                <w:szCs w:val="20"/>
                <w:color w:val="auto"/>
              </w:rPr>
            </w:pPr>
            <w:r>
              <w:rPr>
                <w:rFonts w:ascii="Arial" w:cs="Arial" w:eastAsia="Arial" w:hAnsi="Arial"/>
                <w:sz w:val="18"/>
                <w:szCs w:val="18"/>
                <w:color w:val="auto"/>
              </w:rPr>
              <w:t>vehicles</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3,325</w:t>
            </w:r>
          </w:p>
        </w:tc>
        <w:tc>
          <w:tcPr>
            <w:tcW w:w="2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3,647</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9,855</w:t>
            </w: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9,705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New medium-duty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vehicles</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8"/>
              </w:rPr>
              <w:t>3,349</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2,828</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9,528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New light-duty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447</w:t>
            </w:r>
          </w:p>
        </w:tc>
        <w:tc>
          <w:tcPr>
            <w:tcW w:w="1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1,677</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1,267</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7"/>
        </w:trPr>
        <w:tc>
          <w:tcPr>
            <w:tcW w:w="1440" w:type="dxa"/>
            <w:vAlign w:val="bottom"/>
          </w:tcPr>
          <w:p>
            <w:pPr>
              <w:ind w:left="160"/>
              <w:spacing w:after="0"/>
              <w:rPr>
                <w:sz w:val="20"/>
                <w:szCs w:val="20"/>
                <w:color w:val="auto"/>
              </w:rPr>
            </w:pPr>
            <w:r>
              <w:rPr>
                <w:rFonts w:ascii="Arial" w:cs="Arial" w:eastAsia="Arial" w:hAnsi="Arial"/>
                <w:sz w:val="18"/>
                <w:szCs w:val="18"/>
                <w:color w:val="auto"/>
              </w:rPr>
              <w:t>vehicles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w:t>
            </w:r>
          </w:p>
        </w:tc>
        <w:tc>
          <w:tcPr>
            <w:tcW w:w="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vehicle unit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8"/>
              </w:rPr>
              <w:t>7,241</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6,922</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21,060</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Used vehicles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2,197</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1,743</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6,111</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5,197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Vehicle revenues: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New heavy-duty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60"/>
              <w:spacing w:after="0"/>
              <w:rPr>
                <w:sz w:val="20"/>
                <w:szCs w:val="20"/>
                <w:color w:val="auto"/>
              </w:rPr>
            </w:pPr>
            <w:r>
              <w:rPr>
                <w:rFonts w:ascii="Arial" w:cs="Arial" w:eastAsia="Arial" w:hAnsi="Arial"/>
                <w:sz w:val="18"/>
                <w:szCs w:val="18"/>
                <w:color w:val="auto"/>
              </w:rPr>
              <w:t>vehicles</w:t>
            </w:r>
          </w:p>
        </w:tc>
        <w:tc>
          <w:tcPr>
            <w:tcW w:w="8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501.5</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515.1</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1,447.9</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1,344.9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New medium-duty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vehicles</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8"/>
              </w:rPr>
              <w:t>252.3</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210.7</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708.5</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New light-duty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16.3</w:t>
            </w:r>
          </w:p>
        </w:tc>
        <w:tc>
          <w:tcPr>
            <w:tcW w:w="1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48.1</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7"/>
        </w:trPr>
        <w:tc>
          <w:tcPr>
            <w:tcW w:w="1440" w:type="dxa"/>
            <w:vAlign w:val="bottom"/>
          </w:tcPr>
          <w:p>
            <w:pPr>
              <w:ind w:left="160"/>
              <w:spacing w:after="0"/>
              <w:rPr>
                <w:sz w:val="20"/>
                <w:szCs w:val="20"/>
                <w:color w:val="auto"/>
              </w:rPr>
            </w:pPr>
            <w:r>
              <w:rPr>
                <w:rFonts w:ascii="Arial" w:cs="Arial" w:eastAsia="Arial" w:hAnsi="Arial"/>
                <w:sz w:val="18"/>
                <w:szCs w:val="18"/>
                <w:color w:val="auto"/>
              </w:rPr>
              <w:t>vehicles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w:t>
            </w:r>
          </w:p>
        </w:tc>
        <w:tc>
          <w:tcPr>
            <w:tcW w:w="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vehicle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8"/>
              </w:rPr>
              <w:t>776.2</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742.1</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2,222.8</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Used vehicle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60"/>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97.6</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73.7</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271.0</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Other vehicle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440" w:type="dxa"/>
            <w:vAlign w:val="bottom"/>
            <w:shd w:val="clear" w:color="auto" w:fill="CCEEFF"/>
          </w:tcPr>
          <w:p>
            <w:pPr>
              <w:ind w:left="160"/>
              <w:spacing w:after="0" w:line="26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30"/>
                <w:szCs w:val="30"/>
                <w:color w:val="auto"/>
                <w:vertAlign w:val="superscript"/>
              </w:rPr>
              <w:t>(1)</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Arial" w:cs="Arial" w:eastAsia="Arial" w:hAnsi="Arial"/>
                <w:sz w:val="18"/>
                <w:szCs w:val="18"/>
                <w:b w:val="1"/>
                <w:bCs w:val="1"/>
                <w:color w:val="auto"/>
                <w:w w:val="97"/>
              </w:rPr>
              <w:t>Absorption ratio:</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122.4%</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121.8%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ind w:left="82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122.4% absorption ratio for the third quarter of 2018 compared to a 120.9% absorption ratio for the third quarter of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Aftermarket Products and Services revenues totaled $426.8 million in the third quarter of 2018, up 13.6% compared to the third quarter of 2017. The growth in Aftermarket Products and Services revenues in the third quarter was primarily the result of continued execution of our strategic initiatives and a strong economy. While we expect the overall demand for Aftermarket Products and Services to remain strong, we also expect to experience typical seasonal softness beginning in the fourth quarter and lasting throughout the winter months. We remain focused on the execution of our strategic initiatives, which include expanding our all-makes parts and service business, hiring more service technicians and investing in internal and customer-facing technology solutions.</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Class 8 new unit sales were historically strong during the third quarter of 2018, primarily due to widespread activity across all market segments. Our quarterly Class 8 unit sales were down compared to the third quarter of 2017, primarily due to the timing of some large fleet deliveries in the third quarter of 2017 and current new vehicle supply chain constraints. We expect new Class 8 truck sales to remain strong in the fourth quarter, primarily due to large fleet deliveries, but the product mix may put pressure on truck sales margins.</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Class 4 through 7 medium-duty commercial vehicles unit sales increased 18% from the third quarter of 2017. Our medium-duty truck sales significantly exceeded the market in the third quarter due to strength in the construction sector, especially in Florida and Texas, as well as activity from fleets and leasing and rental customers. We believe our medium-duty commercial vehicle sales will end the year strong due to our nationwide inventory of work-ready trucks available to satisfy our customers’ immediate requirements.</w:t>
      </w:r>
    </w:p>
    <w:p>
      <w:pPr>
        <w:sectPr>
          <w:pgSz w:w="11900" w:h="16838" w:orient="portrait"/>
          <w:cols w:equalWidth="0" w:num="1">
            <w:col w:w="11080"/>
          </w:cols>
          <w:pgMar w:left="240" w:top="118" w:right="579" w:bottom="1440" w:gutter="0" w:footer="0" w:header="0"/>
        </w:sectPr>
      </w:pP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used commercial vehicle unit sales were up 26% over the third quarter of 2017, driven by continued demand for used trucks and our efforts to appropriately position used truck inventory in the right markets. We believe the strength of the used commercial vehicle market is due in part to extended lead times for new Class 8 truck deliveries, which we believe will help decrease the impact of a large number of used commercial vehicles entering the market through the rest of the year and stabilize used commercial vehicle values.</w:t>
      </w:r>
    </w:p>
    <w:p>
      <w:pPr>
        <w:spacing w:after="0" w:line="18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During the third quarter of 2018, we repurchased 291,598 shares of common stock for approximately $12.1 million and paid a cash dividend of $4.7 million. Additionally, on October 22, 2018, our Board of Directors declared a cash dividend of $0.12 per share of Class A and Class B Common Stock, to be paid on December 10, 2018, to all shareholders of record as of November 7, 2018. Over time, we expect to increase the dividend on an annual basis; however, future declarations of dividends are subject to approval by our Board of Directors and may be adjusted as business needs or market conditions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third quarter of 2018, our total revenues increased $118.7 million, or 9.4%, compared to the third quarter of 2017.</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Products and Services revenues increased $51.0 million, or 13.6%, in the third quarter of 2018, compared to the third quarter of 2017. This increase was primarily due to network wide all-makes parts product expansion, increased service technician capacity, investment in technology and productivity improvements for our parts operations and a strong economy. We expect our Aftermarket Products and Services revenues to increase 14% to 15% in 2018, compared to 2017.</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revenues from sales of new and used commercial vehicles increased $59.8 million, or 7.3%, in the third quarter of 2018, compared to the third quarter of 2017, primarily as a result of strong demand for used commercial vehicles and medium-duty commercial vehicles.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sold 3,325 heavy-duty trucks in the third quarter of 2018, an 8.8% decrease compared to 3,647 heavy-duty trucks sold in the third quarter of 2017, primarily as a result of the timing of some large fleet deliveries in the third quarter of 2017 and current new vehicle supply chain constraints. According to A.C.T. Research Co., LLC (“A.C.T. Research”), a truck industry data and forecasting service provider, the U.S. Class 8 truck market increased 35.0% in the third quarter of 2018, compared to the third quarter of 2017. A.C.T. Research currently forecasts U.S. retail sales of Class 8 trucks of approximately 254,100 units in 2018, 256,000 units in 2019 and 194,000 units in 2020, compared to approximately 197,000 units in 2017. Our share of the U.S. Class 8 truck sales market was approximately 6.6% in 2017. In a robust Class 8 truck market, our market share historically declines. We expect our U.S. Class 8 commercial vehicle sales market share to decline to between 5.5% and 5.7% in 2018. This market share percentage would result in the sale of approximately 13,900 to 14,500 Class 8 commercial vehicles in 2018, based on A.C.T. Research’s current U.S. retail sales estimate of 254,100 units.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3,349 medium-duty commercial vehicles, including 446 buses, in the third quarter of 2018, an 18.4% increase compared to 2,828 medium-duty commercial vehicles, including 466 buses, in the third quarter of 2017. A.C.T. Research estimates that unit sales of Class 4 through 7 commercial vehicles in the U.S. increased approximately 6.1% in the third quarter of 2018, compared to the third quarter of 2017. A.C.T. Research currently forecasts U.S. retail sales of Class 4 through 7 medium-duty commercial vehicles of approximately 254,000 units in 2018, 259,000 units in 2019 and 264,000 in 2020. In 2017, we achieved a 4.5% share of the Class 4 through 7 market in the U.S. We expect our market share to range between 4.9% and 5.3% of the U.S. Class 4 through 7 commercial vehicle sales in 2018. This market share percentage would result in the sale of approximately 12,500 to 13,500 Class 4 through 7 commercial vehicles in 2018, based on A.C.T. Research’s current U.S. retail sales estimates of 254,000 units.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567 light-duty vehicles in the third quarter of 2018, a 26.8% increase compared to 447 light-duty vehicles sold in the third quarter of 2017. We expect to sell approximately 2,000 to 2,200 light-duty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2,197 used commercial vehicles in the third quarter of 2018, a 26.0% increase compared to 1,743 used commercial vehicles in the third quarter of 2017. We expect to sell approximately 8,000 to 8,500 used commercial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$6.2 million, or 11.3%, in the third quarter of 2018, compared to the third quarter of 2017. We expect lease and rental revenue to increase 10% to 12% during 2018, compared to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increased 5.9% in the third quarter of 2018, compared to the third quarter of 2017. We expect finance and insurance revenues to fluctuate proportionately with our new and used commercial vehicle sales in 2018. Finance and insurance revenues have limited direct costs and, therefore, contribute a disproportionate share of our operating profits.</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Gross profit increased $29.0 million, or 13.2%, in the third quarter of 2018, compared to the third quarter of 2017. Gross profit as a percentage of sales increased to 18.1% in the third quarter of 2018, from 17.5% in the third quarter of 2017. This increase in gross profit as a percentage of sales is a result of a change in our product sales mix. Commercial vehicle sales, a lower margin revenue item, decreased as a percentage of total revenues to 63.9% in the third quarter of 2018, from 65.1% in the third quarter of 2017. Aftermarket Products and Services revenues, a higher margin revenue item, increased as a percentage of total revenues to 31.0% in the third quarter of 2018, from 29.9% in the third quarter of 2017.</w:t>
      </w:r>
    </w:p>
    <w:p>
      <w:pPr>
        <w:spacing w:after="0" w:line="158"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37.1% in the third quarter of 2018, from 36.8% in the third quarter of 2017. Gross profit for the Aftermarket Products and Services departments increased to $158.3 million in the third quarter of 2018, from $138.4 million in the third quarter of 2017. Historically, gross margins on parts sales range from 27% to 28% and gross margins on service and body shop operations range from 67% to 68%. Gross profits from parts sales represented 58% of total gross profit for Aftermarket Products and Services operations in the third quarter of 2018 and 57% in the third quarter of 2017. Service and body shop operations represented 42% of total gross profit for Aftermarket Products and Services operations in the third quarter of 2018 and 43% in the third quarter of 2017. We expect blended gross margins on Aftermarket Products and Services operations to be approximately 37.0% in 2018.</w:t>
      </w:r>
    </w:p>
    <w:p>
      <w:pPr>
        <w:spacing w:after="0" w:line="17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Class 8 truck sales were 7.8% in the third quarter of 2018 and in the third quarter of 2017. In 2018, we expect overall gross margins from Class 8 commercial vehicle sales of approximately 7.5% to 8.0%.</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medium-duty commercial vehicle sales increased to 6.5% in the third quarter of 2018, from 5.4% in the third quarter of 2017. In 2018, we expect overall gross margins from Class 4 through 7 commercial vehicle sales of approximately 5.7% to 6.2%, but this will largely depend upon the mix of purchasers and types of vehicles sold.</w:t>
      </w:r>
    </w:p>
    <w:p>
      <w:pPr>
        <w:spacing w:after="0" w:line="18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used commercial vehicle sales increased to 12.9% in the third quarter of 2018, from 11.9% in the third quarter of 2017. We expect margins on used commercial vehicles to range between 11.0% and 12.0% during 2018.</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truck lease and rental sales increased to 17.9% in the third quarter of 2018, from 17.3% in the third quarter of 2017. This increase is primarily related to increased rental fleet utilization. We expect gross margins from lease and rental sales of approximately 16.0% to 18.0% during 2018.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(“SG&amp;A”) expenses increased $18.1 million, or 11.4%, in the third quarter of 2018, compared to the third quarter of 2017. SG&amp;A expenses as a percentage of total revenues increased to 12.9% in the third quarter of 2018, from 12.7% in the third quarter of 2017. SG&amp;A expenses as a percentage of total revenues have recently ranged from 12.1% to 13.9%. In general, when new and used commercial vehicle revenues decrease as a percentage of total revenues, SG&amp;A expenses as a percentage of total revenues will be at, or exceed, the higher end of this range. For 2018, we expect SG&amp;A expenses as a percentage of total revenues to range from 13.0% to 13.5% and the selling portion of SG&amp;A expenses to be approximately 25.0% to 30.0% of new and used commercial vehicle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 increased $0.4 million, or 2.9%, in the third quarter of 2018, compared to the third quarter of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increased $1.4 million, or 44.1%, in the third quarter of 2018, compared to the third quarter of 2017. This increase is primarily related to the increase in the LIBOR rate over the last year and increased inventory levels, compared to the third quarter of 2017. Net interest expense in 2018 will depend on inventory levels, interest rate fluctuations and the amount of cash available to make prepayments on our floor plan arrangements.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$8.8 million, or 19.5%, in the third quarter of 2018, compared to the third quarter of 2017, as a result of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decreased $3.0 million, or 19.5%, in the third quarter of 2018, compared to the third quarter of 2017. This decrease in income tax expense is primarily the result of the reduction of the U.S. Corporate tax rate from the enactment of the Tax Act in December 2017. We provided for taxes at a 23.25% effective rate in the third quarter of 2018 and 38.75% in the third quarter of 2017. In the third quarter of 2018, we recorded a $92,000 tax benefit related to excess tax benefits of equity compensation, which reduced income tax expense. In the third quarter of 2017, we recorded a $1.9 million tax benefit related to excess tax benefits of equity compensation, which reduced income tax expense. We expect our effective tax rate to be approximately 24.25% of pretax income in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to Nine Months Ended September 30, 2017</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Unless otherwise stated below, our variance explanations and future expectations with regard to the items discussed in this section are set forth in the discussion of the Three Months Ended September 30, 2018, Compared to Three Months Ended September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Total revenues increased $460.0 million, or 13.1%, in the first nine months of 2018, compared to the first nine months of 2017. Sales of new and used commercial vehicles increased $278.0 million, or 12.5%, in the first nine months of 2018, compared to the first nine months of 2017.</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Aftermarket Products and Services revenues increased $157.5 million, or 14.4%, in the first nine months of 2018, compared to the first nine months of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sold 9,855 heavy-duty trucks during the first nine months of 2018, a 1.5% increase compared to 9,705 heavy-duty trucks in the first nine months of 2017. According to A.C.T. Research, U.S. Class 8 truck sales increased 31.6% in the first nine months of 2018, compared to the first nine months of 2017.</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sold 9,528 medium-duty commercial vehicles, including 1,133 buses, during the first nine months of 2018, a 12.7% increase compared to 8,454 medium-duty commercial vehicles, including 827 buses, in the first nine months of 2017. A.C.T. Research estimates that unit sales of Class 4 through 7 commercial vehicles, including buses, in the U.S increased approximately 6.2% in the first nine months of 2018, compared to the first nine months of 2017.</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1,677 light-duty commercial vehicles during the first nine months of 2018, a 32.4% increase compared to 1,267 light-duty commercial vehicles in the first nine months of 2017.</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6,111 used commercial vehicles during the first nine months of 2018, a 17.6% increase compared to 5,197 used commercial vehicles in the first nine months of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$18.4 million, or 11.6%, in the first nine months of 2018, compared to the first nine months of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increased $2.2 million, or 16.8%, in the first nine months of 2018, compared to the first nine months of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$102.4 million, or 16.6%, in the first nine months of 2018, compared to the first nine months of 2017. Gross profit as a percentage of sales increased to 18.1% in the first nine months of 2018, from 17.6% in the first nine months of 2017.</w:t>
      </w:r>
    </w:p>
    <w:p>
      <w:pPr>
        <w:spacing w:after="0" w:line="170"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Gross margins from our Aftermarket Products and Services operations increased to 37.0% in the first nine months of 2018, from 36.5% in the first nine months of 2017. Gross profit for the Aftermarket Products and Services departments was $461.9 million in the first nine months of 2018, compared to $398.6 million in the first nine months of 2017. Gross profits from parts sales represented 58% of total gross profit for Aftermarket Products and Services operations in the first nine months of 2018 and 57% in the first nine months of 2017. Service and body shop operations represented 42% of total gross profit for Aftermarket Products and Services operations in the first nine months of 2018 and 43% in the first nine months of 2017.</w:t>
      </w:r>
    </w:p>
    <w:p>
      <w:pPr>
        <w:spacing w:after="0" w:line="1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were 8.0% in the first nine months of both 2018 and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6.2% in the first nine months of 2018, from 5.9% in the first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12.1% in the first nine months of 2018, from 10.7% in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from truck lease and rental sales increased to 17.1% in the first nine months of 2018, from 15.9% in the first nine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SG&amp;A expenses increased $58.7 million, or 12.5%, in the first nine months of 2018, compared to the first nine months of 2017. SG&amp;A expenses equaled 13.3% of total revenue in the first nine months of 2018, and 13.4% in the first nine months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Depreciation and amortization expense increased $20.0 million, or 53.6%, in the first nine months of 2018, compared to the first nine months of 2017. This increase is primarily related to the additional amortization expense related to the replacement of our ERP Platform components in the first six months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$4.6 million, or 52.2%, in the first nine months of 2018, compared to the first nine months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$19.2 million, or 18.8%, in the first nine months of 2018, compared to the first nine months of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Income taxes decreased $6.6 million, or 18.5%, in the first nine months of 2018, compared to the first nine months of 2017. In the first nine months of 2018, we recorded a $0.3 million tax benefit related to excess tax benefits of equity compensation, which reduced income tax expense. In the first nine months of 2017, we recorded a $3.9 million tax benefit related to excess tax benefits of equity compensation, which reduced income tax expense. We provided for taxes at a 24.25% rate in the first nine months of 2018 and a 38.75% rate in the first nine months of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2018, we had working capital of approximately $234.2 million, including $205.6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on September 30, 2018, however, $11.6 million was pledged to secure various letters of credit related to self-insurance products, leaving $5.9 million available for future borrowings as of September 30, 2018.</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21, 2017, we entered into a working capital facility with BMO Harris (the “Working Capital Facility”). The Working Capital Facility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(as defined in the Floor Plan Working Capital Facility) or otherwise. There were no advances outstanding under the Working Capital Facility as of September 30, 2018.</w:t>
      </w:r>
    </w:p>
    <w:p>
      <w:pPr>
        <w:spacing w:after="0" w:line="16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September 30, 2018,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expect to purchase or lease trucks worth approximately $165.0 million to $190.0 million for our leasing operations during 2018, depending on customer demand, all of which will be financed. We also expect to make capital expenditures for recurring items such as computers, shop tools and equipment and vehicles of approximately $25.0 million to $30.0 million during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under contract to construct a new facility in Atlanta, Georgia at an estimated cost of $8.6 million.</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October 22, 2018, our Board of Directors declared a cash dividend of $0.12 per share of Class A and Class B Common Stock, to be paid on December 10, 2018, to all shareholders of record as of November 7, 2018. The total dividend disbursement is estimated at approximately $4.7 million.</w:t>
      </w:r>
    </w:p>
    <w:p>
      <w:pPr>
        <w:spacing w:after="0" w:line="124"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7"/>
          <w:szCs w:val="17"/>
          <w:color w:val="auto"/>
        </w:rPr>
        <w:t>On November 30, 2017, we announced that our Board of Directors authorized the repurchase, from time to time, of up to an aggregate of $40.0 million shares of Class A Common Stock and/or Class B Common Stock. On March 14, 2018, we announced that our Board of Directors approved an increase of $35.0 million to our existing stock purchase program, up to an aggregate of $75.0 million of our shares of Class A Common Stock and/or Class B Common Stock. On October 31, 2018, our Board of Directors approved a new stock repurchase program authorizing management to repurchase, from time to time, up to an aggregate of $150.0 million of our shares of Class A Common Stock and/or Class B Common Stock. This new stock repurchase program replaces the prior stock repurchase program described above.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As of October 31, 2018, we had repurchased $61.7 million of our shares of common stock under the prior stock repurchase program, which was scheduled to expire on November 29, 2018 and was terminated effective October 31, 2018. The new stock repurchase program expires on December 31, 2019, and may be suspended or discontinued anytime.</w:t>
      </w:r>
    </w:p>
    <w:p>
      <w:pPr>
        <w:spacing w:after="0" w:line="1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September 30, 2018.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Cash and cash equivalents increased by $81.0 million during the nine months ended September 30, 2018 and decreased by $45.9 million during the nine months ended September 30, 2017.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nine months of 2018, operating activities resulted in net cash provided by operations of $203.0 million. Net cash provided by operating activities primarily consisted of $92.1 million in net income, as well as non-cash adjustments related to depreciation and amortization of $142.6 million, stock-based compensation of $15.9 million and $12.1 million of deferred income tax. Cash provided by operating activities included an aggregate of $59.1 million net change in operating assets and liabilities. Included in the net change in operating assets and liabilities were cash inflows of $32.9 million from increases in accounts payable and accrued liabilities, $13.2 million from an increase in customer deposits and $87.5 million from the net increase in floor plan, trade, which were offset by cash outflows of $200.7 million from increases in inventory. The majority of commercial vehicle inventory is financed through our floor plan credit agreements.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first nine months of 2017, operating activities resulted in net cash provided by operations of $170.3 million. Net cash provided by operating activities primarily consisted of $66.3 million in net income, as well as non-cash adjustments related to depreciation and amortization of $117.1 million, stock-based compensation of $12.0 million and $8.6 million of deferred income tax. Cash provided by operating activities included an aggregate of $33.3 million net change in operating assets and liabilities. Included in the net change in operating assets and liabilities were cash inflows of $23.5 million from increases in accounts payable and accrued liabilities, $4.6 million from an increase in customer deposits and $26.4 million from the net increase in floor plan, trade, which were offset by cash outflows of $87.8 million from increases in inventory. The majority of commercial vehicle inventory is financed through our floor plan credit agreements.</w:t>
      </w:r>
    </w:p>
    <w:p>
      <w:pPr>
        <w:spacing w:after="0" w:line="17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September 30, 2018, the interest rate on the wholesale financing agreement was 6.75% before considering the applicable incentives. As of September 30, 2018, we had an outstanding balance of approximately $149.9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nine months of 2018, cash used in investing activities was $165.8 million. Cash flows used in investing activities consists primarily of cash used for capital expenditures. Capital expenditures totaled $176.2 million during the first nine months of 2018 and consisted primarily of purchases of property and equipment, improvements to our existing dealership facilities, and $120.8 million for purchases of lease and rental vehicles for the rental and leasing operations, which were directly offset by borrowings of long-term debt. We expect to purchase or lease vehicles worth approximately $165.0 million to $190.0 million for our rental and leasing operations in 2018, depending on customer demand, all of which will be financed. During 2018, we expect to make capital expenditures for recurring items such as computers, shop equipment and vehicles of $25.0 million to $30.0 million.</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the first nine months of 2017, cash used in investing activities was $129.7 million. Cash flows used in investing activities consisted primarily of cash used for capital expenditures. Capital expenditures totaled $138.8 million during the first nine months of 2017 and consisted primarily of purchases of property and equipment, improvements to our existing dealership facilities, and $103.6 million for purchases of lease and rental vehicles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 non-trade. During the first nine months of 2018, we generated $43.8 million in net cash from financing activities, primarily related to $124.5 million from net draws on floor plan notes payable, non-trade, borrowings of $115.2 million of long-term debt and $3.8 million from the issuance of shares related to equity compensation plans. These cash inflows were partially offset by $136.9 million for principal repayments of long-term debt and capital lease obligations and $58.1 million to purchase 1,391,541 shares of Rush Class A and Class B common stock. Additionally, during the first nine months of 2018, the Company paid cash dividends of $4.7 million. The borrowings of long-term debt were primarily related to purchasing units for the rental and leasing operations.</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nine months of 2017, we generated $5.3 million in net cash from financing activities, primarily related to $33.6 million from net draws on floor plan notes payable, non-trade, borrowings of $97.3 million of long-term debt and $20.1 million from the issuance of shares related to equity compensation plans. These cash inflows were partially offset by $117.8 million for principal repayments of long-term debt and capital lease obligations and $27.4 million to purchase 837,494 shares of Rush Class B common stock.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1.0% of the aggregate revolving loan commitments if such termination occurs prior to June 30, 2019, subject to specified limited exceptions. On September 30, 2018, we had approximately $757.7 million outstanding under the Floor Plan Credit Agreement. The average daily outstanding borrowings under the Floor Plan Credit Agreement were $655.6 million during the nine months ended September 30, 2018.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6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days.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September 30, 2018, our backlog of commercial vehicle orders was approximately $2,089.4 million, compared to a backlog of commercial vehicle orders of approximately $1,005.8 million on September 30, 2017.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2018 and we expect to fill our backlog orders during the remainder of 2018 and the first half of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253,000 in 2015.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body shop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September 30, 2018, we had floor plan borrowings and variable interest rate real estate debt of approximately $1,073.6 million. Assuming an increase or decrease in LIBOR of 100 basis points, annual interest expense could correspondingly increase or decrease by approximately $10.7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2018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September 30, 2018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2017 Annual Report on Form 10-K (the “2017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2017 Annual Report.</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third quarter of 2018 is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Average</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Price Paid</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Per Share</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(1)</w:t>
            </w:r>
          </w:p>
        </w:tc>
        <w:tc>
          <w:tcPr>
            <w:tcW w:w="36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2018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43.94 </w:t>
            </w:r>
            <w:r>
              <w:rPr>
                <w:rFonts w:ascii="Arial" w:cs="Arial" w:eastAsia="Arial" w:hAnsi="Arial"/>
                <w:sz w:val="18"/>
                <w:szCs w:val="18"/>
                <w:b w:val="1"/>
                <w:bCs w:val="1"/>
                <w:color w:val="auto"/>
              </w:rPr>
              <w:t>(4)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August 1 – August 31, 2018</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30,265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43.96 </w:t>
            </w:r>
            <w:r>
              <w:rPr>
                <w:rFonts w:ascii="Arial" w:cs="Arial" w:eastAsia="Arial" w:hAnsi="Arial"/>
                <w:sz w:val="18"/>
                <w:szCs w:val="18"/>
                <w:b w:val="1"/>
                <w:bCs w:val="1"/>
                <w:color w:val="auto"/>
              </w:rPr>
              <w:t>(5)</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30,265</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24,490,544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41.03 </w:t>
            </w:r>
            <w:r>
              <w:rPr>
                <w:rFonts w:ascii="Arial" w:cs="Arial" w:eastAsia="Arial" w:hAnsi="Arial"/>
                <w:sz w:val="18"/>
                <w:szCs w:val="18"/>
                <w:b w:val="1"/>
                <w:bCs w:val="1"/>
                <w:color w:val="auto"/>
              </w:rPr>
              <w:t>(6)</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245,778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14,399,275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291,598</w:t>
            </w:r>
          </w:p>
        </w:tc>
        <w:tc>
          <w:tcPr>
            <w:tcW w:w="1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14,399,275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-8255</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-8255</wp:posOffset>
            </wp:positionV>
            <wp:extent cx="2058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60" w:right="38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repurchased shares under a stock repurchase program announced on November 30, 2017, which authorized the repurchase of up to</w:t>
      </w:r>
    </w:p>
    <w:p>
      <w:pPr>
        <w:spacing w:after="0" w:line="32" w:lineRule="exact"/>
        <w:rPr>
          <w:rFonts w:ascii="Arial" w:cs="Arial" w:eastAsia="Arial" w:hAnsi="Arial"/>
          <w:sz w:val="16"/>
          <w:szCs w:val="16"/>
          <w:color w:val="auto"/>
        </w:rPr>
      </w:pPr>
    </w:p>
    <w:p>
      <w:pPr>
        <w:ind w:left="660"/>
        <w:spacing w:after="0" w:line="250" w:lineRule="auto"/>
        <w:rPr>
          <w:rFonts w:ascii="Arial" w:cs="Arial" w:eastAsia="Arial" w:hAnsi="Arial"/>
          <w:sz w:val="16"/>
          <w:szCs w:val="16"/>
          <w:color w:val="auto"/>
        </w:rPr>
      </w:pPr>
      <w:r>
        <w:rPr>
          <w:rFonts w:ascii="Arial" w:cs="Arial" w:eastAsia="Arial" w:hAnsi="Arial"/>
          <w:sz w:val="18"/>
          <w:szCs w:val="18"/>
          <w:color w:val="auto"/>
        </w:rPr>
        <w:t>$40.0 million of its shares of Class A Common Stock and/or Class B Common Stock and will expire on November 29, 2018. On March 14, 2018, the Company announced the approval of an increase of $35.0 million to its existing stock purchase program, up to an aggregate of $75.0 million of its shares of Class A Common Stock and/or Class B Common Stock.</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15,555 shares of Class B Common Stock at an average price paid per share of $43.94.</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30,265 shares of Class B Common Stock at an average price paid per share of $43.96.</w:t>
      </w:r>
    </w:p>
    <w:p>
      <w:pPr>
        <w:spacing w:after="0" w:line="9" w:lineRule="exact"/>
        <w:rPr>
          <w:rFonts w:ascii="Arial" w:cs="Arial" w:eastAsia="Arial" w:hAnsi="Arial"/>
          <w:sz w:val="18"/>
          <w:szCs w:val="18"/>
          <w:color w:val="auto"/>
        </w:rPr>
      </w:pPr>
    </w:p>
    <w:p>
      <w:pPr>
        <w:ind w:left="660" w:right="20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220,000 shares of Class A Common Stock at an average price paid per share of $40.89 and 25,778 shares of Class B Common Stock at an average price paid per share of $42.20.</w:t>
      </w:r>
    </w:p>
    <w:p>
      <w:pPr>
        <w:ind w:left="660" w:right="80" w:hanging="652"/>
        <w:spacing w:after="0" w:line="29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October 31, 2018, our Board of Directors approved a new stock repurchase program authorizing management to repurchase, from time to time, up to an aggregate of $150.0 million of our shares of Class A Common Stock and/or Class B Common Stock. This new stock repurchase program replaces our prior stock repurchase program, which we originally announced on November 30, 2017 as a $40 million stock repurchase program, and subsequently increased to $75 million on March 8, 2018. The prior stock repurchase program was scheduled to expire on November 29, 2018 and was terminated effective October 31, 2018. The new stock repurchase program expires on December 31,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40" w:type="dxa"/>
            <w:vAlign w:val="bottom"/>
            <w:gridSpan w:val="2"/>
          </w:tcPr>
          <w:p>
            <w:pPr>
              <w:spacing w:after="0"/>
              <w:rPr>
                <w:sz w:val="17"/>
                <w:szCs w:val="17"/>
                <w:color w:val="auto"/>
              </w:rPr>
            </w:pPr>
          </w:p>
        </w:tc>
        <w:tc>
          <w:tcPr>
            <w:tcW w:w="996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jc w:val="center"/>
              <w:ind w:right="320"/>
              <w:spacing w:after="0" w:line="196" w:lineRule="exact"/>
              <w:rPr>
                <w:sz w:val="20"/>
                <w:szCs w:val="20"/>
                <w:color w:val="auto"/>
              </w:rPr>
            </w:pPr>
            <w:r>
              <w:rPr>
                <w:rFonts w:ascii="Arial" w:cs="Arial" w:eastAsia="Arial" w:hAnsi="Arial"/>
                <w:sz w:val="18"/>
                <w:szCs w:val="18"/>
                <w:b w:val="1"/>
                <w:bCs w:val="1"/>
                <w:color w:val="auto"/>
                <w:w w:val="94"/>
              </w:rPr>
              <w:t>Number</w:t>
            </w:r>
          </w:p>
        </w:tc>
        <w:tc>
          <w:tcPr>
            <w:tcW w:w="996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80" w:type="dxa"/>
            <w:vAlign w:val="bottom"/>
            <w:vMerge w:val="restart"/>
          </w:tcPr>
          <w:p>
            <w:pPr>
              <w:spacing w:after="0"/>
              <w:rPr>
                <w:sz w:val="20"/>
                <w:szCs w:val="20"/>
                <w:color w:val="auto"/>
              </w:rPr>
            </w:pPr>
          </w:p>
        </w:tc>
        <w:tc>
          <w:tcPr>
            <w:tcW w:w="60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31.1*</w:t>
            </w:r>
          </w:p>
        </w:tc>
        <w:tc>
          <w:tcPr>
            <w:tcW w:w="40" w:type="dxa"/>
            <w:vAlign w:val="bottom"/>
            <w:tcBorders>
              <w:top w:val="single" w:sz="8" w:color="auto"/>
              <w:bottom w:val="single" w:sz="8" w:color="auto"/>
            </w:tcBorders>
            <w:vMerge w:val="restart"/>
          </w:tcPr>
          <w:p>
            <w:pPr>
              <w:spacing w:after="0"/>
              <w:rPr>
                <w:sz w:val="20"/>
                <w:szCs w:val="20"/>
                <w:color w:val="auto"/>
              </w:rPr>
            </w:pPr>
          </w:p>
        </w:tc>
        <w:tc>
          <w:tcPr>
            <w:tcW w:w="400" w:type="dxa"/>
            <w:vAlign w:val="bottom"/>
            <w:vMerge w:val="restart"/>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600" w:type="dxa"/>
            <w:vAlign w:val="bottom"/>
            <w:tcBorders>
              <w:bottom w:val="single" w:sz="8" w:color="0000EE"/>
            </w:tcBorders>
            <w:gridSpan w:val="6"/>
          </w:tcPr>
          <w:p>
            <w:pPr>
              <w:spacing w:after="0" w:line="170"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8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31.2*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CFO pursuant to Rules 13a-14(a) and 15d-14(a) adopted pursuant to Section 302 of the Sarbanes-Oxley Act of 2002.</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gridSpan w:val="3"/>
          </w:tcPr>
          <w:p>
            <w:pPr>
              <w:jc w:val="center"/>
              <w:ind w:left="1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60" w:type="dxa"/>
            <w:vAlign w:val="bottom"/>
            <w:gridSpan w:val="7"/>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Certification of CEO and CFO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2002.</w:t>
              </w:r>
            </w:hyperlink>
          </w:p>
        </w:tc>
        <w:tc>
          <w:tcPr>
            <w:tcW w:w="160" w:type="dxa"/>
            <w:vAlign w:val="bottom"/>
            <w:tcBorders>
              <w:top w:val="single" w:sz="8" w:color="0000EE"/>
            </w:tcBorders>
          </w:tcPr>
          <w:p>
            <w:pPr>
              <w:spacing w:after="0"/>
              <w:rPr>
                <w:sz w:val="17"/>
                <w:szCs w:val="17"/>
                <w:color w:val="auto"/>
              </w:rPr>
            </w:pPr>
          </w:p>
        </w:tc>
        <w:tc>
          <w:tcPr>
            <w:tcW w:w="89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120" w:type="dxa"/>
            <w:vAlign w:val="bottom"/>
            <w:gridSpan w:val="5"/>
          </w:tcPr>
          <w:p>
            <w:pPr>
              <w:jc w:val="center"/>
              <w:ind w:right="340"/>
              <w:spacing w:after="0"/>
              <w:rPr>
                <w:sz w:val="20"/>
                <w:szCs w:val="20"/>
                <w:color w:val="auto"/>
              </w:rPr>
            </w:pPr>
            <w:r>
              <w:rPr>
                <w:rFonts w:ascii="Arial" w:cs="Arial" w:eastAsia="Arial" w:hAnsi="Arial"/>
                <w:sz w:val="18"/>
                <w:szCs w:val="18"/>
                <w:color w:val="auto"/>
                <w:w w:val="97"/>
              </w:rPr>
              <w:t>101.INS*</w:t>
            </w:r>
          </w:p>
        </w:tc>
        <w:tc>
          <w:tcPr>
            <w:tcW w:w="99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2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101.SCH*</w:t>
            </w:r>
          </w:p>
        </w:tc>
        <w:tc>
          <w:tcPr>
            <w:tcW w:w="99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20" w:type="dxa"/>
            <w:vAlign w:val="bottom"/>
            <w:gridSpan w:val="5"/>
          </w:tcPr>
          <w:p>
            <w:pPr>
              <w:jc w:val="center"/>
              <w:ind w:right="340"/>
              <w:spacing w:after="0"/>
              <w:rPr>
                <w:sz w:val="20"/>
                <w:szCs w:val="20"/>
                <w:color w:val="auto"/>
              </w:rPr>
            </w:pPr>
            <w:r>
              <w:rPr>
                <w:rFonts w:ascii="Arial" w:cs="Arial" w:eastAsia="Arial" w:hAnsi="Arial"/>
                <w:sz w:val="18"/>
                <w:szCs w:val="18"/>
                <w:color w:val="auto"/>
              </w:rPr>
              <w:t>101.CAL*</w:t>
            </w:r>
          </w:p>
        </w:tc>
        <w:tc>
          <w:tcPr>
            <w:tcW w:w="99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20" w:type="dxa"/>
            <w:vAlign w:val="bottom"/>
            <w:gridSpan w:val="5"/>
          </w:tcPr>
          <w:p>
            <w:pPr>
              <w:jc w:val="center"/>
              <w:ind w:right="340"/>
              <w:spacing w:after="0"/>
              <w:rPr>
                <w:sz w:val="20"/>
                <w:szCs w:val="20"/>
                <w:color w:val="auto"/>
              </w:rPr>
            </w:pPr>
            <w:r>
              <w:rPr>
                <w:rFonts w:ascii="Arial" w:cs="Arial" w:eastAsia="Arial" w:hAnsi="Arial"/>
                <w:sz w:val="18"/>
                <w:szCs w:val="18"/>
                <w:color w:val="auto"/>
                <w:w w:val="94"/>
              </w:rPr>
              <w:t>101.DEF*</w:t>
            </w:r>
          </w:p>
        </w:tc>
        <w:tc>
          <w:tcPr>
            <w:tcW w:w="99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20" w:type="dxa"/>
            <w:vAlign w:val="bottom"/>
            <w:gridSpan w:val="5"/>
          </w:tcPr>
          <w:p>
            <w:pPr>
              <w:jc w:val="center"/>
              <w:ind w:right="340"/>
              <w:spacing w:after="0"/>
              <w:rPr>
                <w:sz w:val="20"/>
                <w:szCs w:val="20"/>
                <w:color w:val="auto"/>
              </w:rPr>
            </w:pPr>
            <w:r>
              <w:rPr>
                <w:rFonts w:ascii="Arial" w:cs="Arial" w:eastAsia="Arial" w:hAnsi="Arial"/>
                <w:sz w:val="18"/>
                <w:szCs w:val="18"/>
                <w:color w:val="auto"/>
              </w:rPr>
              <w:t>101.LAB*</w:t>
            </w:r>
          </w:p>
        </w:tc>
        <w:tc>
          <w:tcPr>
            <w:tcW w:w="99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20" w:type="dxa"/>
            <w:vAlign w:val="bottom"/>
            <w:gridSpan w:val="5"/>
          </w:tcPr>
          <w:p>
            <w:pPr>
              <w:jc w:val="center"/>
              <w:ind w:right="340"/>
              <w:spacing w:after="0"/>
              <w:rPr>
                <w:sz w:val="20"/>
                <w:szCs w:val="20"/>
                <w:color w:val="auto"/>
              </w:rPr>
            </w:pPr>
            <w:r>
              <w:rPr>
                <w:rFonts w:ascii="Arial" w:cs="Arial" w:eastAsia="Arial" w:hAnsi="Arial"/>
                <w:sz w:val="18"/>
                <w:szCs w:val="18"/>
                <w:color w:val="auto"/>
                <w:w w:val="93"/>
              </w:rPr>
              <w:t>101.PRE*</w:t>
            </w:r>
          </w:p>
        </w:tc>
        <w:tc>
          <w:tcPr>
            <w:tcW w:w="99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48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160" w:type="dxa"/>
            <w:vAlign w:val="bottom"/>
            <w:gridSpan w:val="5"/>
          </w:tcPr>
          <w:p>
            <w:pPr>
              <w:ind w:left="1880"/>
              <w:spacing w:after="0"/>
              <w:rPr>
                <w:sz w:val="20"/>
                <w:szCs w:val="20"/>
                <w:color w:val="auto"/>
              </w:rPr>
            </w:pPr>
            <w:r>
              <w:rPr>
                <w:rFonts w:ascii="Arial" w:cs="Arial" w:eastAsia="Arial" w:hAnsi="Arial"/>
                <w:sz w:val="18"/>
                <w:szCs w:val="18"/>
                <w:color w:val="auto"/>
              </w:rPr>
              <w:t>RUSH ENTERPRISES, INC.</w:t>
            </w:r>
          </w:p>
        </w:tc>
      </w:tr>
      <w:tr>
        <w:trPr>
          <w:trHeight w:val="82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00"/>
              <w:spacing w:after="0"/>
              <w:rPr>
                <w:sz w:val="20"/>
                <w:szCs w:val="20"/>
                <w:color w:val="auto"/>
              </w:rPr>
            </w:pPr>
            <w:r>
              <w:rPr>
                <w:rFonts w:ascii="Arial" w:cs="Arial" w:eastAsia="Arial" w:hAnsi="Arial"/>
                <w:sz w:val="18"/>
                <w:szCs w:val="18"/>
                <w:color w:val="auto"/>
              </w:rPr>
              <w:t>November 9, 2018</w:t>
            </w:r>
          </w:p>
        </w:tc>
        <w:tc>
          <w:tcPr>
            <w:tcW w:w="2240" w:type="dxa"/>
            <w:vAlign w:val="bottom"/>
          </w:tcPr>
          <w:p>
            <w:pPr>
              <w:ind w:left="18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W.M. “RUSTY” RUSH</w:t>
            </w:r>
          </w:p>
        </w:tc>
        <w:tc>
          <w:tcPr>
            <w:tcW w:w="8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920" w:type="dxa"/>
            <w:vAlign w:val="bottom"/>
            <w:gridSpan w:val="4"/>
          </w:tcPr>
          <w:p>
            <w:pPr>
              <w:ind w:left="100"/>
              <w:spacing w:after="0"/>
              <w:rPr>
                <w:sz w:val="20"/>
                <w:szCs w:val="20"/>
                <w:color w:val="auto"/>
              </w:rPr>
            </w:pPr>
            <w:r>
              <w:rPr>
                <w:rFonts w:ascii="Arial" w:cs="Arial" w:eastAsia="Arial" w:hAnsi="Arial"/>
                <w:sz w:val="18"/>
                <w:szCs w:val="18"/>
                <w:color w:val="auto"/>
              </w:rPr>
              <w:t>W.M. “Rusty” Rush</w:t>
            </w:r>
          </w:p>
        </w:tc>
      </w:tr>
      <w:tr>
        <w:trPr>
          <w:trHeight w:val="216"/>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ind w:left="20"/>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r>
      <w:tr>
        <w:trPr>
          <w:trHeight w:val="230"/>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00"/>
              <w:spacing w:after="0"/>
              <w:rPr>
                <w:sz w:val="20"/>
                <w:szCs w:val="20"/>
                <w:color w:val="auto"/>
              </w:rPr>
            </w:pPr>
            <w:r>
              <w:rPr>
                <w:rFonts w:ascii="Arial" w:cs="Arial" w:eastAsia="Arial" w:hAnsi="Arial"/>
                <w:sz w:val="18"/>
                <w:szCs w:val="18"/>
                <w:color w:val="auto"/>
              </w:rPr>
              <w:t>November 9, 2018</w:t>
            </w:r>
          </w:p>
        </w:tc>
        <w:tc>
          <w:tcPr>
            <w:tcW w:w="2240" w:type="dxa"/>
            <w:vAlign w:val="bottom"/>
          </w:tcPr>
          <w:p>
            <w:pPr>
              <w:ind w:left="18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STEVEN L. KELLER</w:t>
            </w:r>
          </w:p>
        </w:tc>
        <w:tc>
          <w:tcPr>
            <w:tcW w:w="920" w:type="dxa"/>
            <w:vAlign w:val="bottom"/>
            <w:gridSpan w:val="2"/>
          </w:tcPr>
          <w:p>
            <w:pPr>
              <w:spacing w:after="0"/>
              <w:rPr>
                <w:sz w:val="24"/>
                <w:szCs w:val="24"/>
                <w:color w:val="auto"/>
              </w:rPr>
            </w:pPr>
          </w:p>
        </w:tc>
      </w:tr>
      <w:tr>
        <w:trPr>
          <w:trHeight w:val="237"/>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20" w:type="dxa"/>
            <w:vAlign w:val="bottom"/>
            <w:gridSpan w:val="4"/>
          </w:tcPr>
          <w:p>
            <w:pPr>
              <w:ind w:left="100"/>
              <w:spacing w:after="0"/>
              <w:rPr>
                <w:sz w:val="20"/>
                <w:szCs w:val="20"/>
                <w:color w:val="auto"/>
              </w:rPr>
            </w:pPr>
            <w:r>
              <w:rPr>
                <w:rFonts w:ascii="Arial" w:cs="Arial" w:eastAsia="Arial" w:hAnsi="Arial"/>
                <w:sz w:val="18"/>
                <w:szCs w:val="18"/>
                <w:color w:val="auto"/>
              </w:rPr>
              <w:t>Steven L. Keller</w:t>
            </w:r>
          </w:p>
        </w:tc>
      </w:tr>
    </w:tbl>
    <w:p>
      <w:pPr>
        <w:ind w:left="61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118" w:right="6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39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26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1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172"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167"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8"/>
        <w:spacing w:after="0" w:line="308" w:lineRule="auto"/>
        <w:tabs>
          <w:tab w:leader="none" w:pos="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656"/>
        <w:spacing w:after="0" w:line="277" w:lineRule="auto"/>
        <w:tabs>
          <w:tab w:leader="none" w:pos="121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0" w:firstLine="656"/>
        <w:spacing w:after="0" w:line="277" w:lineRule="auto"/>
        <w:tabs>
          <w:tab w:leader="none" w:pos="114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Arial" w:cs="Arial" w:eastAsia="Arial" w:hAnsi="Arial"/>
                <w:sz w:val="18"/>
                <w:szCs w:val="18"/>
                <w:color w:val="auto"/>
              </w:rPr>
              <w:t>Date:   November 9, 2018</w:t>
            </w:r>
          </w:p>
        </w:tc>
        <w:tc>
          <w:tcPr>
            <w:tcW w:w="5080" w:type="dxa"/>
            <w:vAlign w:val="bottom"/>
            <w:gridSpan w:val="3"/>
          </w:tcPr>
          <w:p>
            <w:pPr>
              <w:ind w:left="1880"/>
              <w:spacing w:after="0"/>
              <w:rPr>
                <w:sz w:val="20"/>
                <w:szCs w:val="20"/>
                <w:color w:val="auto"/>
              </w:rPr>
            </w:pPr>
            <w:r>
              <w:rPr>
                <w:rFonts w:ascii="Arial" w:cs="Arial" w:eastAsia="Arial" w:hAnsi="Arial"/>
                <w:sz w:val="18"/>
                <w:szCs w:val="18"/>
                <w:color w:val="auto"/>
              </w:rPr>
              <w:t>By:   /S/ W.M. “RUSTY” RUSH</w:t>
            </w:r>
          </w:p>
        </w:tc>
      </w:tr>
      <w:tr>
        <w:trPr>
          <w:trHeight w:val="20"/>
        </w:trPr>
        <w:tc>
          <w:tcPr>
            <w:tcW w:w="3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3840" w:type="dxa"/>
            <w:vAlign w:val="bottom"/>
          </w:tcPr>
          <w:p>
            <w:pPr>
              <w:spacing w:after="0"/>
              <w:rPr>
                <w:sz w:val="19"/>
                <w:szCs w:val="19"/>
                <w:color w:val="auto"/>
              </w:rPr>
            </w:pPr>
          </w:p>
        </w:tc>
        <w:tc>
          <w:tcPr>
            <w:tcW w:w="5080" w:type="dxa"/>
            <w:vAlign w:val="bottom"/>
            <w:gridSpan w:val="3"/>
          </w:tcPr>
          <w:p>
            <w:pPr>
              <w:ind w:left="2280"/>
              <w:spacing w:after="0"/>
              <w:rPr>
                <w:sz w:val="20"/>
                <w:szCs w:val="20"/>
                <w:color w:val="auto"/>
              </w:rPr>
            </w:pPr>
            <w:r>
              <w:rPr>
                <w:rFonts w:ascii="Arial" w:cs="Arial" w:eastAsia="Arial" w:hAnsi="Arial"/>
                <w:sz w:val="18"/>
                <w:szCs w:val="18"/>
                <w:color w:val="auto"/>
              </w:rPr>
              <w:t>W.M. “Rusty” Rush</w:t>
            </w:r>
          </w:p>
        </w:tc>
      </w:tr>
      <w:tr>
        <w:trPr>
          <w:trHeight w:val="216"/>
        </w:trPr>
        <w:tc>
          <w:tcPr>
            <w:tcW w:w="3840" w:type="dxa"/>
            <w:vAlign w:val="bottom"/>
          </w:tcPr>
          <w:p>
            <w:pPr>
              <w:spacing w:after="0"/>
              <w:rPr>
                <w:sz w:val="18"/>
                <w:szCs w:val="18"/>
                <w:color w:val="auto"/>
              </w:rPr>
            </w:pPr>
          </w:p>
        </w:tc>
        <w:tc>
          <w:tcPr>
            <w:tcW w:w="5080" w:type="dxa"/>
            <w:vAlign w:val="bottom"/>
            <w:gridSpan w:val="3"/>
          </w:tcPr>
          <w:p>
            <w:pPr>
              <w:ind w:left="228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3840" w:type="dxa"/>
            <w:vAlign w:val="bottom"/>
          </w:tcPr>
          <w:p>
            <w:pPr>
              <w:spacing w:after="0"/>
              <w:rPr>
                <w:sz w:val="18"/>
                <w:szCs w:val="18"/>
                <w:color w:val="auto"/>
              </w:rPr>
            </w:pPr>
          </w:p>
        </w:tc>
        <w:tc>
          <w:tcPr>
            <w:tcW w:w="5080" w:type="dxa"/>
            <w:vAlign w:val="bottom"/>
            <w:gridSpan w:val="3"/>
          </w:tcPr>
          <w:p>
            <w:pPr>
              <w:ind w:left="2280"/>
              <w:spacing w:after="0"/>
              <w:rPr>
                <w:sz w:val="20"/>
                <w:szCs w:val="20"/>
                <w:color w:val="auto"/>
              </w:rPr>
            </w:pPr>
            <w:r>
              <w:rPr>
                <w:rFonts w:ascii="Arial" w:cs="Arial" w:eastAsia="Arial" w:hAnsi="Arial"/>
                <w:sz w:val="18"/>
                <w:szCs w:val="18"/>
                <w:color w:val="auto"/>
              </w:rPr>
              <w:t>Chairman of the Board</w:t>
            </w:r>
          </w:p>
        </w:tc>
      </w:tr>
      <w:tr>
        <w:trPr>
          <w:trHeight w:val="230"/>
        </w:trPr>
        <w:tc>
          <w:tcPr>
            <w:tcW w:w="3840" w:type="dxa"/>
            <w:vAlign w:val="bottom"/>
          </w:tcPr>
          <w:p>
            <w:pPr>
              <w:spacing w:after="0"/>
              <w:rPr>
                <w:sz w:val="20"/>
                <w:szCs w:val="20"/>
                <w:color w:val="auto"/>
              </w:rPr>
            </w:pPr>
          </w:p>
        </w:tc>
        <w:tc>
          <w:tcPr>
            <w:tcW w:w="5080" w:type="dxa"/>
            <w:vAlign w:val="bottom"/>
            <w:gridSpan w:val="3"/>
          </w:tcPr>
          <w:p>
            <w:pPr>
              <w:ind w:left="22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39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2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10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17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16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8"/>
        <w:spacing w:after="0" w:line="308" w:lineRule="auto"/>
        <w:tabs>
          <w:tab w:leader="none" w:pos="39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656"/>
        <w:spacing w:after="0" w:line="277" w:lineRule="auto"/>
        <w:tabs>
          <w:tab w:leader="none" w:pos="121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0" w:firstLine="656"/>
        <w:spacing w:after="0" w:line="277"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Arial" w:cs="Arial" w:eastAsia="Arial" w:hAnsi="Arial"/>
                <w:sz w:val="18"/>
                <w:szCs w:val="18"/>
                <w:color w:val="auto"/>
              </w:rPr>
              <w:t>Date:   November 9, 2018</w:t>
            </w:r>
          </w:p>
        </w:tc>
        <w:tc>
          <w:tcPr>
            <w:tcW w:w="5440" w:type="dxa"/>
            <w:vAlign w:val="bottom"/>
            <w:gridSpan w:val="3"/>
          </w:tcPr>
          <w:p>
            <w:pPr>
              <w:ind w:left="1880"/>
              <w:spacing w:after="0"/>
              <w:rPr>
                <w:sz w:val="20"/>
                <w:szCs w:val="20"/>
                <w:color w:val="auto"/>
              </w:rPr>
            </w:pPr>
            <w:r>
              <w:rPr>
                <w:rFonts w:ascii="Arial" w:cs="Arial" w:eastAsia="Arial" w:hAnsi="Arial"/>
                <w:sz w:val="18"/>
                <w:szCs w:val="18"/>
                <w:color w:val="auto"/>
              </w:rPr>
              <w:t>By: /S/ STEVEN L. KELLER</w:t>
            </w:r>
          </w:p>
        </w:tc>
      </w:tr>
      <w:tr>
        <w:trPr>
          <w:trHeight w:val="222"/>
        </w:trPr>
        <w:tc>
          <w:tcPr>
            <w:tcW w:w="3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Steven L. Keller</w:t>
            </w:r>
          </w:p>
        </w:tc>
        <w:tc>
          <w:tcPr>
            <w:tcW w:w="138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Chairman,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480" w:type="dxa"/>
            <w:vAlign w:val="bottom"/>
            <w:gridSpan w:val="2"/>
          </w:tcPr>
          <w:p>
            <w:pPr>
              <w:spacing w:after="0"/>
              <w:rPr>
                <w:sz w:val="20"/>
                <w:szCs w:val="20"/>
                <w:color w:val="auto"/>
              </w:rPr>
            </w:pPr>
            <w:r>
              <w:rPr>
                <w:rFonts w:ascii="Arial" w:cs="Arial" w:eastAsia="Arial" w:hAnsi="Arial"/>
                <w:sz w:val="18"/>
                <w:szCs w:val="18"/>
                <w:color w:val="auto"/>
              </w:rPr>
              <w:t>By:</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 W.M. “RUSTY” RUSH</w:t>
            </w:r>
          </w:p>
        </w:tc>
      </w:tr>
      <w:tr>
        <w:trPr>
          <w:trHeight w:val="20"/>
        </w:trPr>
        <w:tc>
          <w:tcPr>
            <w:tcW w:w="260" w:type="dxa"/>
            <w:vAlign w:val="bottom"/>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3360" w:type="dxa"/>
            <w:vAlign w:val="bottom"/>
            <w:gridSpan w:val="4"/>
          </w:tcPr>
          <w:p>
            <w:pPr>
              <w:spacing w:after="0"/>
              <w:rPr>
                <w:sz w:val="20"/>
                <w:szCs w:val="20"/>
                <w:color w:val="auto"/>
              </w:rPr>
            </w:pPr>
            <w:r>
              <w:rPr>
                <w:rFonts w:ascii="Arial" w:cs="Arial" w:eastAsia="Arial" w:hAnsi="Arial"/>
                <w:sz w:val="18"/>
                <w:szCs w:val="18"/>
                <w:color w:val="auto"/>
              </w:rPr>
              <w:t>Name: W.M. “Rusty” Rush</w:t>
            </w:r>
          </w:p>
        </w:tc>
      </w:tr>
      <w:tr>
        <w:trPr>
          <w:trHeight w:val="216"/>
        </w:trPr>
        <w:tc>
          <w:tcPr>
            <w:tcW w:w="3360" w:type="dxa"/>
            <w:vAlign w:val="bottom"/>
            <w:gridSpan w:val="4"/>
          </w:tcPr>
          <w:p>
            <w:pPr>
              <w:spacing w:after="0"/>
              <w:rPr>
                <w:sz w:val="20"/>
                <w:szCs w:val="20"/>
                <w:color w:val="auto"/>
              </w:rPr>
            </w:pPr>
            <w:r>
              <w:rPr>
                <w:rFonts w:ascii="Arial" w:cs="Arial" w:eastAsia="Arial" w:hAnsi="Arial"/>
                <w:sz w:val="18"/>
                <w:szCs w:val="18"/>
                <w:color w:val="auto"/>
                <w:w w:val="94"/>
              </w:rPr>
              <w:t>Title:  President, Chief Executive Officer and</w:t>
            </w:r>
          </w:p>
        </w:tc>
      </w:tr>
      <w:tr>
        <w:trPr>
          <w:trHeight w:val="216"/>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Chairman of the Board</w:t>
            </w:r>
          </w:p>
        </w:tc>
      </w:tr>
      <w:tr>
        <w:trPr>
          <w:trHeight w:val="230"/>
        </w:trPr>
        <w:tc>
          <w:tcPr>
            <w:tcW w:w="480" w:type="dxa"/>
            <w:vAlign w:val="bottom"/>
            <w:gridSpan w:val="2"/>
          </w:tcPr>
          <w:p>
            <w:pPr>
              <w:spacing w:after="0"/>
              <w:rPr>
                <w:sz w:val="20"/>
                <w:szCs w:val="20"/>
                <w:color w:val="auto"/>
              </w:rPr>
            </w:pPr>
            <w:r>
              <w:rPr>
                <w:rFonts w:ascii="Arial" w:cs="Arial" w:eastAsia="Arial" w:hAnsi="Arial"/>
                <w:sz w:val="18"/>
                <w:szCs w:val="18"/>
                <w:color w:val="auto"/>
              </w:rPr>
              <w:t>Date:</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November 9, 2018</w:t>
            </w:r>
          </w:p>
        </w:tc>
      </w:tr>
    </w:tbl>
    <w:p>
      <w:pPr>
        <w:spacing w:after="0" w:line="200" w:lineRule="exact"/>
        <w:rPr>
          <w:sz w:val="20"/>
          <w:szCs w:val="20"/>
          <w:color w:val="auto"/>
        </w:rPr>
      </w:pPr>
    </w:p>
    <w:p>
      <w:pPr>
        <w:spacing w:after="0" w:line="2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center"/>
        <w:ind w:right="1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400" w:hanging="762"/>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00" w:hanging="762"/>
        <w:spacing w:after="0" w:line="277"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STEVEN L. KELLER</w:t>
            </w:r>
          </w:p>
        </w:tc>
        <w:tc>
          <w:tcPr>
            <w:tcW w:w="82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Steven L. Keller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780" w:type="dxa"/>
            <w:vAlign w:val="bottom"/>
            <w:gridSpan w:val="3"/>
          </w:tcPr>
          <w:p>
            <w:pPr>
              <w:ind w:left="60"/>
              <w:spacing w:after="0"/>
              <w:rPr>
                <w:sz w:val="20"/>
                <w:szCs w:val="20"/>
                <w:color w:val="auto"/>
              </w:rPr>
            </w:pPr>
            <w:r>
              <w:rPr>
                <w:rFonts w:ascii="Arial" w:cs="Arial" w:eastAsia="Arial" w:hAnsi="Arial"/>
                <w:sz w:val="18"/>
                <w:szCs w:val="18"/>
                <w:color w:val="auto"/>
                <w:w w:val="91"/>
              </w:rPr>
              <w:t>Chief Financial Officer and Treasurer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November 9, 2018</w:t>
            </w:r>
          </w:p>
        </w:tc>
      </w:tr>
    </w:tbl>
    <w:p>
      <w:pPr>
        <w:spacing w:after="0" w:line="200" w:lineRule="exact"/>
        <w:rPr>
          <w:sz w:val="20"/>
          <w:szCs w:val="20"/>
          <w:color w:val="auto"/>
        </w:rPr>
      </w:pP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0900"/>
      </w:cols>
      <w:pgMar w:left="380" w:top="58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2019-12-28T17:42:01Z</dcterms:created>
  <dcterms:modified xsi:type="dcterms:W3CDTF">2019-12-28T17:42:01Z</dcterms:modified>
</cp:coreProperties>
</file>