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820" w:right="460" w:hanging="715"/>
        <w:spacing w:after="0" w:line="237" w:lineRule="auto"/>
        <w:tabs>
          <w:tab w:leader="none" w:pos="8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480" w:hanging="715"/>
        <w:spacing w:after="0" w:line="256" w:lineRule="auto"/>
        <w:tabs>
          <w:tab w:leader="none" w:pos="8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6100" w:type="dxa"/>
            <w:vAlign w:val="bottom"/>
          </w:tcPr>
          <w:p>
            <w:pPr>
              <w:ind w:left="1660"/>
              <w:spacing w:after="0"/>
              <w:rPr>
                <w:sz w:val="20"/>
                <w:szCs w:val="20"/>
                <w:color w:val="auto"/>
              </w:rPr>
            </w:pPr>
            <w:r>
              <w:rPr>
                <w:rFonts w:ascii="Arial" w:cs="Arial" w:eastAsia="Arial" w:hAnsi="Arial"/>
                <w:sz w:val="18"/>
                <w:szCs w:val="18"/>
                <w:b w:val="1"/>
                <w:bCs w:val="1"/>
                <w:color w:val="auto"/>
              </w:rPr>
              <w:t>to</w:t>
            </w:r>
          </w:p>
        </w:tc>
      </w:tr>
      <w:tr>
        <w:trPr>
          <w:trHeight w:val="486"/>
        </w:trPr>
        <w:tc>
          <w:tcPr>
            <w:tcW w:w="3740" w:type="dxa"/>
            <w:vAlign w:val="bottom"/>
          </w:tcPr>
          <w:p>
            <w:pPr>
              <w:spacing w:after="0"/>
              <w:rPr>
                <w:sz w:val="24"/>
                <w:szCs w:val="24"/>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b w:val="1"/>
                <w:bCs w:val="1"/>
                <w:color w:val="auto"/>
                <w:w w:val="90"/>
              </w:rPr>
              <w:t>Commission file number 0-20797</w:t>
            </w:r>
          </w:p>
        </w:tc>
      </w:tr>
      <w:tr>
        <w:trPr>
          <w:trHeight w:val="566"/>
        </w:trPr>
        <w:tc>
          <w:tcPr>
            <w:tcW w:w="9840" w:type="dxa"/>
            <w:vAlign w:val="bottom"/>
            <w:gridSpan w:val="2"/>
          </w:tcPr>
          <w:p>
            <w:pPr>
              <w:jc w:val="center"/>
              <w:ind w:left="1278"/>
              <w:spacing w:after="0"/>
              <w:rPr>
                <w:sz w:val="20"/>
                <w:szCs w:val="20"/>
                <w:color w:val="auto"/>
              </w:rPr>
            </w:pPr>
            <w:r>
              <w:rPr>
                <w:rFonts w:ascii="Arial" w:cs="Arial" w:eastAsia="Arial" w:hAnsi="Arial"/>
                <w:sz w:val="32"/>
                <w:szCs w:val="32"/>
                <w:b w:val="1"/>
                <w:bCs w:val="1"/>
                <w:color w:val="auto"/>
                <w:w w:val="99"/>
              </w:rPr>
              <w:t>RUSH ENTERPRISES, INC.</w:t>
            </w:r>
          </w:p>
        </w:tc>
      </w:tr>
      <w:tr>
        <w:trPr>
          <w:trHeight w:val="230"/>
        </w:trPr>
        <w:tc>
          <w:tcPr>
            <w:tcW w:w="3740" w:type="dxa"/>
            <w:vAlign w:val="bottom"/>
          </w:tcPr>
          <w:p>
            <w:pPr>
              <w:spacing w:after="0"/>
              <w:rPr>
                <w:sz w:val="20"/>
                <w:szCs w:val="20"/>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740" w:type="dxa"/>
            <w:vAlign w:val="bottom"/>
          </w:tcPr>
          <w:p>
            <w:pPr>
              <w:jc w:val="center"/>
              <w:ind w:left="1538"/>
              <w:spacing w:after="0"/>
              <w:rPr>
                <w:sz w:val="20"/>
                <w:szCs w:val="20"/>
                <w:color w:val="auto"/>
              </w:rPr>
            </w:pPr>
            <w:r>
              <w:rPr>
                <w:rFonts w:ascii="Arial" w:cs="Arial" w:eastAsia="Arial" w:hAnsi="Arial"/>
                <w:sz w:val="18"/>
                <w:szCs w:val="18"/>
                <w:b w:val="1"/>
                <w:bCs w:val="1"/>
                <w:color w:val="auto"/>
                <w:w w:val="82"/>
              </w:rPr>
              <w:t>Texas</w:t>
            </w:r>
          </w:p>
        </w:tc>
        <w:tc>
          <w:tcPr>
            <w:tcW w:w="610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16"/>
        </w:trPr>
        <w:tc>
          <w:tcPr>
            <w:tcW w:w="3740" w:type="dxa"/>
            <w:vAlign w:val="bottom"/>
          </w:tcPr>
          <w:p>
            <w:pPr>
              <w:jc w:val="center"/>
              <w:ind w:left="1538"/>
              <w:spacing w:after="0"/>
              <w:rPr>
                <w:sz w:val="20"/>
                <w:szCs w:val="20"/>
                <w:color w:val="auto"/>
              </w:rPr>
            </w:pPr>
            <w:r>
              <w:rPr>
                <w:rFonts w:ascii="Arial" w:cs="Arial" w:eastAsia="Arial" w:hAnsi="Arial"/>
                <w:sz w:val="18"/>
                <w:szCs w:val="18"/>
                <w:color w:val="auto"/>
                <w:w w:val="93"/>
              </w:rPr>
              <w:t>(State or other jurisdiction of</w:t>
            </w:r>
          </w:p>
        </w:tc>
        <w:tc>
          <w:tcPr>
            <w:tcW w:w="6100" w:type="dxa"/>
            <w:vAlign w:val="bottom"/>
          </w:tcPr>
          <w:p>
            <w:pPr>
              <w:jc w:val="center"/>
              <w:ind w:left="3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9840" w:type="dxa"/>
            <w:vAlign w:val="bottom"/>
            <w:gridSpan w:val="2"/>
          </w:tcPr>
          <w:p>
            <w:pPr>
              <w:jc w:val="center"/>
              <w:ind w:right="4370"/>
              <w:spacing w:after="0"/>
              <w:rPr>
                <w:sz w:val="20"/>
                <w:szCs w:val="20"/>
                <w:color w:val="auto"/>
              </w:rPr>
            </w:pPr>
            <w:r>
              <w:rPr>
                <w:rFonts w:ascii="Arial" w:cs="Arial" w:eastAsia="Arial" w:hAnsi="Arial"/>
                <w:sz w:val="18"/>
                <w:szCs w:val="18"/>
                <w:color w:val="auto"/>
                <w:w w:val="93"/>
              </w:rPr>
              <w:t>incorporation or organization)</w:t>
            </w:r>
          </w:p>
        </w:tc>
      </w:tr>
      <w:tr>
        <w:trPr>
          <w:trHeight w:val="414"/>
        </w:trPr>
        <w:tc>
          <w:tcPr>
            <w:tcW w:w="3740" w:type="dxa"/>
            <w:vAlign w:val="bottom"/>
          </w:tcPr>
          <w:p>
            <w:pPr>
              <w:spacing w:after="0"/>
              <w:rPr>
                <w:sz w:val="24"/>
                <w:szCs w:val="24"/>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b w:val="1"/>
                <w:bCs w:val="1"/>
                <w:color w:val="auto"/>
                <w:w w:val="91"/>
              </w:rPr>
              <w:t>555 I.H. 35 South, Suite 500</w:t>
            </w:r>
          </w:p>
        </w:tc>
      </w:tr>
      <w:tr>
        <w:trPr>
          <w:trHeight w:val="220"/>
        </w:trPr>
        <w:tc>
          <w:tcPr>
            <w:tcW w:w="3740" w:type="dxa"/>
            <w:vAlign w:val="bottom"/>
          </w:tcPr>
          <w:p>
            <w:pPr>
              <w:spacing w:after="0"/>
              <w:rPr>
                <w:sz w:val="19"/>
                <w:szCs w:val="19"/>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b w:val="1"/>
                <w:bCs w:val="1"/>
                <w:color w:val="auto"/>
                <w:w w:val="89"/>
              </w:rPr>
              <w:t>New Braunfels, Texas 78130</w:t>
            </w:r>
          </w:p>
        </w:tc>
      </w:tr>
      <w:tr>
        <w:trPr>
          <w:trHeight w:val="216"/>
        </w:trPr>
        <w:tc>
          <w:tcPr>
            <w:tcW w:w="3740" w:type="dxa"/>
            <w:vAlign w:val="bottom"/>
          </w:tcPr>
          <w:p>
            <w:pPr>
              <w:spacing w:after="0"/>
              <w:rPr>
                <w:sz w:val="18"/>
                <w:szCs w:val="18"/>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3740" w:type="dxa"/>
            <w:vAlign w:val="bottom"/>
          </w:tcPr>
          <w:p>
            <w:pPr>
              <w:spacing w:after="0"/>
              <w:rPr>
                <w:sz w:val="20"/>
                <w:szCs w:val="20"/>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color w:val="auto"/>
                <w:w w:val="94"/>
              </w:rPr>
              <w:t>(Zip Code)</w:t>
            </w:r>
          </w:p>
        </w:tc>
      </w:tr>
      <w:tr>
        <w:trPr>
          <w:trHeight w:val="418"/>
        </w:trPr>
        <w:tc>
          <w:tcPr>
            <w:tcW w:w="3740" w:type="dxa"/>
            <w:vAlign w:val="bottom"/>
          </w:tcPr>
          <w:p>
            <w:pPr>
              <w:spacing w:after="0"/>
              <w:rPr>
                <w:sz w:val="24"/>
                <w:szCs w:val="24"/>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b w:val="1"/>
                <w:bCs w:val="1"/>
                <w:color w:val="auto"/>
                <w:w w:val="90"/>
              </w:rPr>
              <w:t>(830) 626-5200</w:t>
            </w:r>
          </w:p>
        </w:tc>
      </w:tr>
      <w:tr>
        <w:trPr>
          <w:trHeight w:val="230"/>
        </w:trPr>
        <w:tc>
          <w:tcPr>
            <w:tcW w:w="9840" w:type="dxa"/>
            <w:vAlign w:val="bottom"/>
            <w:gridSpan w:val="2"/>
          </w:tcPr>
          <w:p>
            <w:pPr>
              <w:jc w:val="center"/>
              <w:ind w:left="1278"/>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56"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530" w:right="199" w:bottom="0" w:gutter="0" w:footer="0" w:header="0"/>
        </w:sectPr>
      </w:pPr>
    </w:p>
    <w:p>
      <w:pPr>
        <w:ind w:left="5780"/>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o</w:t>
      </w:r>
    </w:p>
    <w:p>
      <w:pPr>
        <w:spacing w:after="0" w:line="200" w:lineRule="exact"/>
        <w:rPr>
          <w:sz w:val="24"/>
          <w:szCs w:val="24"/>
          <w:color w:val="auto"/>
        </w:rPr>
      </w:pPr>
    </w:p>
    <w:p>
      <w:pPr>
        <w:sectPr>
          <w:pgSz w:w="11900" w:h="16838" w:orient="portrait"/>
          <w:cols w:equalWidth="0" w:num="2">
            <w:col w:w="6180" w:space="720"/>
            <w:col w:w="4560"/>
          </w:cols>
          <w:pgMar w:left="240" w:top="530" w:right="199" w:bottom="0" w:gutter="0" w:footer="0" w:header="0"/>
          <w:type w:val="continuous"/>
        </w:sectPr>
      </w:pPr>
    </w:p>
    <w:p>
      <w:pPr>
        <w:spacing w:after="0" w:line="22" w:lineRule="exact"/>
        <w:rPr>
          <w:sz w:val="24"/>
          <w:szCs w:val="24"/>
          <w:color w:val="auto"/>
        </w:rPr>
      </w:pPr>
    </w:p>
    <w:p>
      <w:pPr>
        <w:ind w:right="960" w:firstLine="648"/>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60"/>
          </w:cols>
          <w:pgMar w:left="240" w:top="530" w:right="199" w:bottom="0" w:gutter="0" w:footer="0" w:header="0"/>
          <w:type w:val="continuous"/>
        </w:sectPr>
      </w:pPr>
    </w:p>
    <w:p>
      <w:pPr>
        <w:spacing w:after="0" w:line="1" w:lineRule="exact"/>
        <w:rPr>
          <w:sz w:val="24"/>
          <w:szCs w:val="24"/>
          <w:color w:val="auto"/>
        </w:rPr>
      </w:pPr>
    </w:p>
    <w:p>
      <w:pPr>
        <w:ind w:left="660"/>
        <w:spacing w:after="0"/>
        <w:tabs>
          <w:tab w:leader="none" w:pos="32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222" w:lineRule="exact"/>
        <w:rPr>
          <w:sz w:val="24"/>
          <w:szCs w:val="24"/>
          <w:color w:val="auto"/>
        </w:rPr>
      </w:pPr>
    </w:p>
    <w:p>
      <w:pPr>
        <w:sectPr>
          <w:pgSz w:w="11900" w:h="16838" w:orient="portrait"/>
          <w:cols w:equalWidth="0" w:num="2">
            <w:col w:w="5240" w:space="720"/>
            <w:col w:w="5500"/>
          </w:cols>
          <w:pgMar w:left="240" w:top="530" w:right="199" w:bottom="0" w:gutter="0" w:footer="0" w:header="0"/>
          <w:type w:val="continuous"/>
        </w:sectPr>
      </w:pPr>
    </w:p>
    <w:p>
      <w:pPr>
        <w:spacing w:after="0" w:line="11"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780"/>
        <w:spacing w:after="0"/>
        <w:tabs>
          <w:tab w:leader="none" w:pos="6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ectPr>
          <w:pgSz w:w="11900" w:h="16838" w:orient="portrait"/>
          <w:cols w:equalWidth="0" w:num="1">
            <w:col w:w="11460"/>
          </w:cols>
          <w:pgMar w:left="240" w:top="530" w:right="199" w:bottom="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August 3, 2007.</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Title of Class</w:t>
            </w:r>
          </w:p>
        </w:tc>
        <w:tc>
          <w:tcPr>
            <w:tcW w:w="5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840" w:type="dxa"/>
            <w:vAlign w:val="bottom"/>
            <w:gridSpan w:val="2"/>
            <w:vMerge w:val="continue"/>
          </w:tcPr>
          <w:p>
            <w:pPr>
              <w:spacing w:after="0"/>
              <w:rPr>
                <w:sz w:val="14"/>
                <w:szCs w:val="14"/>
                <w:color w:val="auto"/>
              </w:rPr>
            </w:pP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$.01 Par Value</w:t>
            </w:r>
          </w:p>
        </w:tc>
        <w:tc>
          <w:tcPr>
            <w:tcW w:w="260" w:type="dxa"/>
            <w:vAlign w:val="bottom"/>
          </w:tcPr>
          <w:p>
            <w:pPr>
              <w:spacing w:after="0"/>
              <w:rPr>
                <w:sz w:val="16"/>
                <w:szCs w:val="16"/>
                <w:color w:val="auto"/>
              </w:rPr>
            </w:pPr>
          </w:p>
        </w:tc>
        <w:tc>
          <w:tcPr>
            <w:tcW w:w="5580" w:type="dxa"/>
            <w:vAlign w:val="bottom"/>
            <w:tcBorders>
              <w:top w:val="single" w:sz="8" w:color="auto"/>
            </w:tcBorders>
          </w:tcPr>
          <w:p>
            <w:pPr>
              <w:jc w:val="right"/>
              <w:ind w:right="2301"/>
              <w:spacing w:after="0" w:line="195" w:lineRule="exact"/>
              <w:rPr>
                <w:sz w:val="20"/>
                <w:szCs w:val="20"/>
                <w:color w:val="auto"/>
              </w:rPr>
            </w:pPr>
            <w:r>
              <w:rPr>
                <w:rFonts w:ascii="Arial" w:cs="Arial" w:eastAsia="Arial" w:hAnsi="Arial"/>
                <w:sz w:val="18"/>
                <w:szCs w:val="18"/>
                <w:color w:val="auto"/>
              </w:rPr>
              <w:t>17,312,715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Class B Common Stock, $.01 Par Value</w:t>
            </w:r>
          </w:p>
        </w:tc>
        <w:tc>
          <w:tcPr>
            <w:tcW w:w="5580" w:type="dxa"/>
            <w:vAlign w:val="bottom"/>
          </w:tcPr>
          <w:p>
            <w:pPr>
              <w:jc w:val="right"/>
              <w:ind w:right="2341"/>
              <w:spacing w:after="0"/>
              <w:rPr>
                <w:sz w:val="20"/>
                <w:szCs w:val="20"/>
                <w:color w:val="auto"/>
              </w:rPr>
            </w:pPr>
            <w:r>
              <w:rPr>
                <w:rFonts w:ascii="Arial" w:cs="Arial" w:eastAsia="Arial" w:hAnsi="Arial"/>
                <w:sz w:val="18"/>
                <w:szCs w:val="18"/>
                <w:color w:val="auto"/>
              </w:rPr>
              <w:t>8,137,278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55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720"/>
        <w:spacing w:after="0"/>
        <w:tabs>
          <w:tab w:leader="none" w:pos="188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9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June 30, 2007 (unaudited) and December 31, 2006</w:t>
        </w:r>
      </w:hyperlink>
    </w:p>
    <w:p>
      <w:pPr>
        <w:sectPr>
          <w:pgSz w:w="11900" w:h="16838" w:orient="portrait"/>
          <w:cols w:equalWidth="0" w:num="1">
            <w:col w:w="11460"/>
          </w:cols>
          <w:pgMar w:left="240" w:top="530" w:right="199" w:bottom="0" w:gutter="0" w:footer="0" w:header="0"/>
          <w:type w:val="continuous"/>
        </w:sectPr>
      </w:pPr>
    </w:p>
    <w:bookmarkStart w:id="1" w:name="page2"/>
    <w:bookmarkEnd w:id="1"/>
    <w:p>
      <w:pPr>
        <w:ind w:left="1900" w:right="1780"/>
        <w:spacing w:after="0" w:line="277"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Income - For the Three Months and Six Months Ended June 30, 2007 and 2006</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(unaudited)</w:t>
        </w:r>
      </w:hyperlink>
    </w:p>
    <w:p>
      <w:pPr>
        <w:spacing w:after="0" w:line="170" w:lineRule="exact"/>
        <w:rPr>
          <w:sz w:val="20"/>
          <w:szCs w:val="20"/>
          <w:color w:val="auto"/>
        </w:rPr>
      </w:pPr>
    </w:p>
    <w:p>
      <w:pPr>
        <w:ind w:left="19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Six Months Ended June 30, 2007 and 2006 (unaudited)</w:t>
        </w:r>
      </w:hyperlink>
    </w:p>
    <w:p>
      <w:pPr>
        <w:spacing w:after="0" w:line="225" w:lineRule="exact"/>
        <w:rPr>
          <w:sz w:val="20"/>
          <w:szCs w:val="20"/>
          <w:color w:val="auto"/>
        </w:rPr>
      </w:pPr>
    </w:p>
    <w:p>
      <w:pPr>
        <w:ind w:left="19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720"/>
        <w:spacing w:after="0"/>
        <w:tabs>
          <w:tab w:leader="none" w:pos="188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720"/>
        <w:spacing w:after="0"/>
        <w:tabs>
          <w:tab w:leader="none" w:pos="1880" w:val="left"/>
        </w:tabs>
        <w:rPr>
          <w:rFonts w:ascii="Arial" w:cs="Arial" w:eastAsia="Arial" w:hAnsi="Arial"/>
          <w:sz w:val="16"/>
          <w:szCs w:val="16"/>
          <w:u w:val="single" w:color="auto"/>
          <w:color w:val="0000EE"/>
        </w:rPr>
      </w:pPr>
      <w:hyperlink w:anchor="page16">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6">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ind w:left="720"/>
        <w:spacing w:after="0"/>
        <w:tabs>
          <w:tab w:leader="none" w:pos="1880" w:val="left"/>
        </w:tabs>
        <w:rPr>
          <w:rFonts w:ascii="Arial" w:cs="Arial" w:eastAsia="Arial" w:hAnsi="Arial"/>
          <w:sz w:val="15"/>
          <w:szCs w:val="15"/>
          <w:u w:val="single" w:color="auto"/>
          <w:color w:val="0000EE"/>
        </w:rPr>
      </w:pPr>
      <w:hyperlink w:anchor="page16">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6">
        <w:r>
          <w:rPr>
            <w:rFonts w:ascii="Arial" w:cs="Arial" w:eastAsia="Arial" w:hAnsi="Arial"/>
            <w:sz w:val="15"/>
            <w:szCs w:val="15"/>
            <w:u w:val="single" w:color="auto"/>
            <w:color w:val="0000EE"/>
          </w:rPr>
          <w:t>Controls and Procedures</w:t>
        </w:r>
      </w:hyperlink>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PART II. OTHER INFORMATION</w:t>
        </w:r>
      </w:hyperlink>
    </w:p>
    <w:p>
      <w:pPr>
        <w:spacing w:after="0" w:line="21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w:t>
              </w:r>
            </w:hyperlink>
          </w:p>
        </w:tc>
        <w:tc>
          <w:tcPr>
            <w:tcW w:w="120" w:type="dxa"/>
            <w:vAlign w:val="bottom"/>
          </w:tcPr>
          <w:p>
            <w:pPr>
              <w:spacing w:after="0"/>
              <w:rPr>
                <w:sz w:val="17"/>
                <w:szCs w:val="17"/>
                <w:color w:val="auto"/>
              </w:rPr>
            </w:pPr>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Item 1A.</w:t>
              </w:r>
            </w:hyperlink>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4840" w:type="dxa"/>
            <w:vAlign w:val="bottom"/>
            <w:gridSpan w:val="7"/>
          </w:tcPr>
          <w:p>
            <w:pPr>
              <w:ind w:left="50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Defaults Upon Senior Securities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Submission of Matters to a Vote of Security Holders</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5.</w:t>
              </w:r>
            </w:hyperlink>
          </w:p>
        </w:tc>
        <w:tc>
          <w:tcPr>
            <w:tcW w:w="120" w:type="dxa"/>
            <w:vAlign w:val="bottom"/>
          </w:tcPr>
          <w:p>
            <w:pPr>
              <w:spacing w:after="0"/>
              <w:rPr>
                <w:sz w:val="24"/>
                <w:szCs w:val="24"/>
                <w:color w:val="auto"/>
              </w:rPr>
            </w:pPr>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6.</w:t>
              </w:r>
            </w:hyperlink>
          </w:p>
        </w:tc>
        <w:tc>
          <w:tcPr>
            <w:tcW w:w="120" w:type="dxa"/>
            <w:vAlign w:val="bottom"/>
          </w:tcPr>
          <w:p>
            <w:pPr>
              <w:spacing w:after="0"/>
              <w:rPr>
                <w:sz w:val="24"/>
                <w:szCs w:val="24"/>
                <w:color w:val="auto"/>
              </w:rPr>
            </w:pPr>
          </w:p>
        </w:tc>
        <w:tc>
          <w:tcPr>
            <w:tcW w:w="4840" w:type="dxa"/>
            <w:vAlign w:val="bottom"/>
            <w:gridSpan w:val="7"/>
          </w:tcPr>
          <w:p>
            <w:pPr>
              <w:ind w:left="500"/>
              <w:spacing w:after="0"/>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2007 AND DECEMBER 31, 2006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717,475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1,133,370</w:t>
            </w:r>
          </w:p>
        </w:tc>
        <w:tc>
          <w:tcPr>
            <w:tcW w:w="2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1,128,410</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ind w:left="160"/>
              <w:spacing w:after="0"/>
              <w:rPr>
                <w:sz w:val="20"/>
                <w:szCs w:val="20"/>
                <w:color w:val="auto"/>
              </w:rPr>
            </w:pPr>
            <w:r>
              <w:rPr>
                <w:rFonts w:ascii="Arial" w:cs="Arial" w:eastAsia="Arial" w:hAnsi="Arial"/>
                <w:sz w:val="18"/>
                <w:szCs w:val="18"/>
                <w:color w:val="auto"/>
              </w:rPr>
              <w:t>Floor plan notes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418,922</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446,354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59,546</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173,348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36,420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Preferred stock, par value $.01 per share; 1,000,000 shares authorized; 0 shares outstanding in 2007 and 2006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w w:val="98"/>
              </w:rPr>
              <w:t>Common stock, par value $.01 per share; 40,000,000 class A shares and 10,000,000 class B shares authorized;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w w:val="98"/>
              </w:rPr>
              <w:t>17,261,688 class A shares and 8,129,615 class B shares outstanding in 2007; 17,069,494 class A shares and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8,072,226 class B shares outstanding in 2006</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174,823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Retained earnings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195,628</w:t>
            </w:r>
          </w:p>
        </w:tc>
        <w:tc>
          <w:tcPr>
            <w:tcW w:w="2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169,556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370,705</w:t>
            </w:r>
          </w:p>
        </w:tc>
        <w:tc>
          <w:tcPr>
            <w:tcW w:w="2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1,133,370</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1,128,410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356,504</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423,717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734,140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787,064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1,050,662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328,708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393,298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676,600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21,415</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427,679</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481,272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869,441</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15,980</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25,353</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w:t>
            </w:r>
          </w:p>
        </w:tc>
        <w:tc>
          <w:tcPr>
            <w:tcW w:w="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25,265</w:t>
            </w:r>
          </w:p>
        </w:tc>
        <w:tc>
          <w:tcPr>
            <w:tcW w:w="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24,853</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25,561</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25,215</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25,471</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25,174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57"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7"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Six Months Ended</w:t>
      </w:r>
    </w:p>
    <w:p>
      <w:pPr>
        <w:jc w:val="center"/>
        <w:ind w:left="9220"/>
        <w:spacing w:after="0" w:line="221"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1"/>
              <w:spacing w:after="0" w:line="136"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1"/>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26,072</w:t>
            </w:r>
          </w:p>
        </w:tc>
        <w:tc>
          <w:tcPr>
            <w:tcW w:w="2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(used in) operating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(36,105)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lines of credit, net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Draws (payments) on floor plan notes payable,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(27,432)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165,695</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Income taxes</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10,369</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40" w:firstLine="648"/>
        <w:spacing w:after="0" w:line="297"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w:t>
      </w:r>
    </w:p>
    <w:p>
      <w:pPr>
        <w:sectPr>
          <w:pgSz w:w="11900" w:h="16838" w:orient="portrait"/>
          <w:cols w:equalWidth="0" w:num="1">
            <w:col w:w="11420"/>
          </w:cols>
          <w:pgMar w:left="240" w:top="364" w:right="239" w:bottom="0" w:gutter="0" w:footer="0" w:header="0"/>
        </w:sectPr>
      </w:pPr>
    </w:p>
    <w:bookmarkStart w:id="4" w:name="page5"/>
    <w:bookmarkEnd w:id="4"/>
    <w:p>
      <w:pPr>
        <w:spacing w:after="0" w:line="1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2006. Results of operations for interim periods are not necessarily indicative of results that may be expected for any other interim periods or the full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Company is required to perform an annual impairment review of goodwill. The Company performs its annual review during the fourth quarter of each year and, therefore, did not record an impairment charge related to goodwill during the second quarter of 2007. Management is not aware of any impairment charge that may be required; however, a change in economic conditions, if one occurs, could result in an impairment charge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420" w:firstLine="648"/>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82"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During the second quarter of 2007, the Company renegotiated its contractual obligations with its retail funding sources regarding early repayment penalties, which occur as a result of a premature termination of finance contracts sold by the Company. As a result of these negotiations, the Company expects to decrease the amount of finance income it will recognize at the time the contract is sold and to decrease the amount of early repayment penalties it will owe its retail funding sources in the future.</w:t>
      </w:r>
    </w:p>
    <w:p>
      <w:pPr>
        <w:spacing w:after="0" w:line="187" w:lineRule="exact"/>
        <w:rPr>
          <w:sz w:val="20"/>
          <w:szCs w:val="20"/>
          <w:color w:val="auto"/>
        </w:rPr>
      </w:pPr>
    </w:p>
    <w:p>
      <w:pPr>
        <w:ind w:right="680" w:firstLine="648"/>
        <w:spacing w:after="0" w:line="257"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4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ind w:left="160"/>
              <w:spacing w:after="0" w:line="201" w:lineRule="exact"/>
              <w:rPr>
                <w:sz w:val="20"/>
                <w:szCs w:val="20"/>
                <w:color w:val="auto"/>
              </w:rPr>
            </w:pPr>
            <w:r>
              <w:rPr>
                <w:rFonts w:ascii="Arial" w:cs="Arial" w:eastAsia="Arial" w:hAnsi="Arial"/>
                <w:sz w:val="18"/>
                <w:szCs w:val="18"/>
                <w:color w:val="auto"/>
                <w:w w:val="94"/>
              </w:rPr>
              <w:t>Numerator for basic and diluted earnings per share, net income available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to common shareholders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13,048,000</w:t>
            </w:r>
          </w:p>
        </w:tc>
        <w:tc>
          <w:tcPr>
            <w:tcW w:w="2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14,867,000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26,072,000</w:t>
            </w:r>
          </w:p>
        </w:tc>
        <w:tc>
          <w:tcPr>
            <w:tcW w:w="28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26,444,000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Denominator for basic earnings per share, adjusted weighted average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25,352,595</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24,998,226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25,265,415</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24,853,185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207,999</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216,438</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line="182" w:lineRule="exact"/>
              <w:rPr>
                <w:sz w:val="20"/>
                <w:szCs w:val="20"/>
                <w:color w:val="auto"/>
              </w:rPr>
            </w:pPr>
            <w:r>
              <w:rPr>
                <w:rFonts w:ascii="Arial" w:cs="Arial" w:eastAsia="Arial" w:hAnsi="Arial"/>
                <w:sz w:val="18"/>
                <w:szCs w:val="18"/>
                <w:color w:val="auto"/>
                <w:w w:val="96"/>
              </w:rPr>
              <w:t>Denominator for diluted earnings per share, adjusted weighted 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25,560,594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25,214,664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25,471,152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9"/>
              </w:rPr>
              <w:t>25,174,345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outstanding and assumed conversions</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2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400" w:firstLine="648"/>
        <w:spacing w:after="0" w:line="28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the Company’s employees and directors including employee stock options and employee stock purchases related to the Employee Stock Purchase Plan based on estimated fair values. The Company adopted SFAS 123(R) using the modified prospective transition method, which requires the application of the accounting standard as of January 1, 2006. Upon adoption of SFAS 123(R), the Company continues to use the Black-Scholes option-pricing model which was previously used for the Company’s pro forma information required under SFAS 123. Stock-based compensation expense, included in selling, general and administrative expense, related to employee stock options and employee stock purchases under SFAS 123(R) for the three months ended June 30, 2007 was $1.3 million and for the three months ended June 30, 2006 was $0.9 million. Stock-based compensation expense, included in selling, general and administrative expense, related to employee stock options and employee stock purchases under SFAS 123(R) for the six months ended June 30, 2007 was $2.4 million and for the six months ended June 30, 2006 was $1.9 million. As of June 30, 2007, there was $4.5 million of total unrecognized compensation cost related to non-vested share-based compensation arrangements granted under the Rush Enterprises, Inc. Long-Term Incentive Plan to be recognized over a weighted-average period of 3.5 years.</w:t>
      </w:r>
    </w:p>
    <w:p>
      <w:pPr>
        <w:sectPr>
          <w:pgSz w:w="11900" w:h="16849" w:orient="portrait"/>
          <w:cols w:equalWidth="0" w:num="1">
            <w:col w:w="11420"/>
          </w:cols>
          <w:pgMar w:left="240" w:top="125" w:right="239" w:bottom="0" w:gutter="0" w:footer="0" w:header="0"/>
        </w:sectPr>
      </w:pPr>
    </w:p>
    <w:bookmarkStart w:id="5" w:name="page6"/>
    <w:bookmarkEnd w:id="5"/>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 trucks manufactured by GMC and Isuzu, and parts and service. The transaction was valued at approximately $6.3 million, with the purchase price paid in cash.</w:t>
      </w:r>
    </w:p>
    <w:p>
      <w:pPr>
        <w:spacing w:after="0" w:line="18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$ 5,570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Accrued expenses</w:t>
            </w:r>
          </w:p>
        </w:tc>
        <w:tc>
          <w:tcPr>
            <w:tcW w:w="21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6,312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Allen-Jensen, Inc. acquisition will be amortized over 15 years for tax purposes.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 Pro forma information is not included because Advanced Transportation Insurance Services, Inc.’s results of operations would not have a material effect on the Company’s financial statements. The entire purchase price was allocated to goodwill and $1.6 million of the goodwill will be amortized over 15 years for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the annual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accounts for intersegment sales and transfers as if the sales or transfers were to third parties; that is, at current market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intersegment sales during the quarters ended June 30, 2007 and 2006.</w:t>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June 30, 2007 and 2006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Truck</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6"/>
              </w:rPr>
              <w:t>Equipment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1,080,838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1,133,370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1,080,838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1,133,370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240" w:top="125" w:right="61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Three months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54457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5760" cy="137160"/>
                    </a:xfrm>
                    <a:prstGeom prst="rect">
                      <a:avLst/>
                    </a:prstGeom>
                    <a:noFill/>
                  </pic:spPr>
                </pic:pic>
              </a:graphicData>
            </a:graphic>
          </wp:anchor>
        </w:drawing>
      </w:r>
    </w:p>
    <w:p>
      <w:pPr>
        <w:sectPr>
          <w:pgSz w:w="11900" w:h="16838" w:orient="portrait"/>
          <w:cols w:equalWidth="0" w:num="1">
            <w:col w:w="11040"/>
          </w:cols>
          <w:pgMar w:left="240" w:top="125" w:right="61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544,080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20,248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8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21,777</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1,638</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915,059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25,645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2006</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1,018,601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39,187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8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38,855</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3,226</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915,059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25,645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958,717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 benefits meeting the “more likely than not” recognition threshold be recognized or continue to be recognized on its effective date. As required, the Company has adopted the provisions of FIN 48 effective January 1, 2007.</w:t>
      </w:r>
    </w:p>
    <w:p>
      <w:pPr>
        <w:spacing w:after="0" w:line="17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As of January 1, 2007 and June 30, 2007, the Company included accruals for unrecognized income tax benefits totaling $1.4 million as a component of accrued liabilities. The unrecognized tax benefits of $1.4 million, if recognized, would impact the Company’s effective tax rate. The interest expense liability related to unrecognized tax benefits on January 1, 2007 was not material. No amounts were accrued for penalties.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the adoption date of FIN 48, the tax years ended December 31, 2002 through 2006 remained subject to examination by tax authorities.</w:t>
      </w: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Pronouncements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September 2006, the FASB issued SFAS No. 157, “Fair Value Measurement” (“SFAS No. 157”). SFAS No.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No. 157 is effective for financial statements issued for fiscal years beginning after November 15, 2007, and interim periods within those fiscal years. Early adoption is permitted. The Company does not expect that the adoption of SFAS No. 157 will have a significant impact on its consolidated results of operations and financial position.</w:t>
      </w: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2006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ectPr>
          <w:pgSz w:w="11900" w:h="16838" w:orient="portrait"/>
          <w:cols w:equalWidth="0" w:num="1">
            <w:col w:w="11000"/>
          </w:cols>
          <w:pgMar w:left="240" w:top="356" w:right="659" w:bottom="0" w:gutter="0" w:footer="0" w:header="0"/>
        </w:sectPr>
      </w:pPr>
    </w:p>
    <w:bookmarkStart w:id="7" w:name="page8"/>
    <w:bookmarkEnd w:id="7"/>
    <w:p>
      <w:pPr>
        <w:spacing w:after="0" w:line="5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right="40"/>
        <w:spacing w:after="0" w:line="216"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as registered trademark of General Motors Corporation. Hino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Nissan Diesel Motor Co., Ltd. Isuzu</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is a registered trademark of Ford Motor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Company’s Rush Truck Centers sell trucks manufactured by Peterbilt Motors Company (a division of PACCAR, Inc.), GMC, Hino, UD, Ford or Isuzu. The Company also operates a John Deere construction equipment dealership at its Rush Equipment Center in Houston, Texas. Through its strategically located network of Rush Truck Centers</w:t>
      </w: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and its Rush Equipment Center, the Company provides one-stop service for the needs of its customers, including retail sales of new and used trucks and construction equipment, aftermarket parts sales, service and repair facilities, and financing, leasing and rental, and insurance products.</w:t>
      </w:r>
    </w:p>
    <w:p>
      <w:pPr>
        <w:spacing w:after="0" w:line="12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45 Rush Truck Centers in Alabama, Arizona, California, Colorado, Florida, Georgia, New Mexico, Oklahoma, Tennessee and Texas.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 trucks manufactured by GMC and Isuzu, and parts and service. The transaction was valued at approximately $6.3 million, with the purchase price paid in cash. See Note 6–Acquisitions of the Notes to the Consolidated Financial Statements for a detailed discussion of the allocation of the purchase price of certain assets of Allen-Jensen, Inc.</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estimates and assumptions used in the preparation of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w:t>
      </w:r>
    </w:p>
    <w:p>
      <w:pPr>
        <w:sectPr>
          <w:pgSz w:w="11900" w:h="16894" w:orient="portrait"/>
          <w:cols w:equalWidth="0" w:num="1">
            <w:col w:w="11020"/>
          </w:cols>
          <w:pgMar w:left="240" w:top="125" w:right="639" w:bottom="0" w:gutter="0" w:footer="0" w:header="0"/>
        </w:sectPr>
      </w:pPr>
    </w:p>
    <w:bookmarkStart w:id="8" w:name="page9"/>
    <w:bookmarkEnd w:id="8"/>
    <w:p>
      <w:pPr>
        <w:ind w:right="20"/>
        <w:spacing w:after="0" w:line="279" w:lineRule="auto"/>
        <w:rPr>
          <w:sz w:val="20"/>
          <w:szCs w:val="20"/>
          <w:color w:val="auto"/>
        </w:rPr>
      </w:pPr>
      <w:r>
        <w:rPr>
          <w:rFonts w:ascii="Arial" w:cs="Arial" w:eastAsia="Arial" w:hAnsi="Arial"/>
          <w:sz w:val="17"/>
          <w:szCs w:val="17"/>
          <w:color w:val="auto"/>
        </w:rPr>
        <w:t>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second quarter of 2007. Management is not aware of any impairment charge that may be required; however, a change in economic conditions, if one occurs, could result in an impairment charge in the future.</w:t>
      </w:r>
    </w:p>
    <w:p>
      <w:pPr>
        <w:spacing w:after="0" w:line="3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retail funding sources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underlying contracts. In the case of finance contracts, a customer may prepay, or fail to pay, thereby terminating the underlying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38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ectPr>
          <w:pgSz w:w="11900" w:h="16838" w:orient="portrait"/>
          <w:cols w:equalWidth="0" w:num="1">
            <w:col w:w="11020"/>
          </w:cols>
          <w:pgMar w:left="240" w:top="125" w:right="639" w:bottom="147" w:gutter="0" w:footer="0" w:header="0"/>
        </w:sectPr>
      </w:pPr>
    </w:p>
    <w:bookmarkStart w:id="9" w:name="page10"/>
    <w:bookmarkEnd w:id="9"/>
    <w:p>
      <w:pPr>
        <w:ind w:right="380" w:firstLine="648"/>
        <w:spacing w:after="0" w:line="291"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Income.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Upon adoption of SFAS 123(R), the Company continues to use the Black-Scholes option-pricing model which was previously used for the Company’s pro forma information required under SFAS 123.</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2007 and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8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1"/>
                <w:szCs w:val="11"/>
                <w:color w:val="auto"/>
              </w:rPr>
            </w:pPr>
          </w:p>
        </w:tc>
        <w:tc>
          <w:tcPr>
            <w:tcW w:w="580" w:type="dxa"/>
            <w:vAlign w:val="bottom"/>
            <w:tcBorders>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Parts and service</w:t>
            </w: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Lease and rental</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thousands):</w:t>
      </w:r>
    </w:p>
    <w:p>
      <w:pPr>
        <w:spacing w:after="0" w:line="13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2,695</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3,899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4,994</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11.7 %</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180"/>
              <w:spacing w:after="0"/>
              <w:rPr>
                <w:sz w:val="20"/>
                <w:szCs w:val="20"/>
                <w:color w:val="auto"/>
              </w:rPr>
            </w:pPr>
            <w:r>
              <w:rPr>
                <w:rFonts w:ascii="Arial" w:cs="Arial" w:eastAsia="Arial" w:hAnsi="Arial"/>
                <w:sz w:val="18"/>
                <w:szCs w:val="18"/>
                <w:color w:val="auto"/>
              </w:rPr>
              <w:t>Total new truck unit sales</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6,662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Used truck unit sales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2,061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466.1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11.2 %</w:t>
            </w:r>
          </w:p>
        </w:tc>
        <w:tc>
          <w:tcPr>
            <w:tcW w:w="14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149.8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new truck revenue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615.9</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13.4 % $</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105.4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105.4%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702"/>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right"/>
              <w:ind w:right="85"/>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The management of the Company uses several performance metrics to evaluate the performance of its truck dealerships.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considers its “absorption rate” to be of critical importance. Absorption rate is calculated by dividing the gross profit from the parts, service and body shop departments by the overhead expenses of all of a truck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absorption rate was approximately 80%. The Company</w:t>
      </w:r>
    </w:p>
    <w:p>
      <w:pPr>
        <w:sectPr>
          <w:pgSz w:w="11900" w:h="16838" w:orient="portrait"/>
          <w:cols w:equalWidth="0" w:num="1">
            <w:col w:w="11380"/>
          </w:cols>
          <w:pgMar w:left="240" w:top="125" w:right="279" w:bottom="0" w:gutter="0" w:footer="0" w:header="0"/>
        </w:sectPr>
      </w:pPr>
    </w:p>
    <w:bookmarkStart w:id="10" w:name="page11"/>
    <w:bookmarkEnd w:id="10"/>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has made a concerted effort to increase its absorption rate since then. Management believes that maintaining an absorption rate in excess of 100% is critical to the Company’s ability to generate consistent earnings in a cyclical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2007 Compared to Three Months Ended June 30, 2006</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As expected, the Company continued to experience the softening of the Class 8 truck market in the second quarter. While the Company previously expected United States retail sales of Class 8 units to be weaker in the second and third quarters of 2007, the Company now expects industry Class 8 deliveries to remain soft for the second half of the year. The Company anticipates that Class 8 order intake will increase beginning in early 2008. Additionally, the Company believes industry conditions including normal customer trade cycles and new diesel emission regulations scheduled to take effect in 2010 will result in a pre-buy of Class 8 trucks beginning in 2008 similar to the pre-buy experienced in 2005 and 2006. The magnitude of the 2008 and 2009 pre-buy will be largely dictated by the economy in the U.S., among other factors.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prepared for the expected decrease in Class 8 truck sales in 2007 by ensuring the Company had a large inventory of Class 8 trucks with engines built before the new diesel engine emissions guidelines took effect to sustain it during the first half of 2007. There is more demand for Class 8 trucks with engines built before the new diesel engine emissions guideline took effect than for Class 8 trucks with engines built subsequently to January 1, 2007. Since the last industry downturn in 2002, the Company has focused on expanding its medium-duty and vocational truck offerings, increasing parts and service sales and increasing operational efficiencies throughout the organization.</w:t>
      </w:r>
    </w:p>
    <w:p>
      <w:pPr>
        <w:spacing w:after="0" w:line="18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While industry deliveries of U.S. Class 8 units are down 37% for the first six months of the year, according to A.C.T. Research Co., LLC (“A.C.T. Research”), a heavy-duty truck industry data and forecasting services provider, the Company’s Class 8 deliveries are only down 22%. The Company’s medium-duty truck deliveries increased 11.7% from the second quarter of last year to the second quarter of 2007. The Company’s second quarter absorption rate held steady at approximately 109%, compared to the second quarter of 2006, despite fewer Class 8 truck deliveries. The Company’s same store absorption rate increased to 106.2% in the first half of 2007 versus 105.3% in the first half of 2006.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Revenues decreased $49.8 million, or 8.7%, in the second quarter of 2007 compared to the second quarter of 2006. Sales of new and used trucks decreased $67.2 million, or 15.9%, in the second quarter of 2007 compared to the second quarter of 2006. This decrease in new and used truck revenue is primarily due to decreased sales of new Class 8 trucks due to the diesel engine emissions guidelines which caused a pre-buy of Class 8 trucks in 2006 and has decreased demand for new Class 8 trucks with engines built subsequent to January 1, 2007.</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Company’s unit sales of new Class 8 trucks decreased 30.6% in the second quarter of 2007 compared to the second quarter of 2006. According to A.C.T. Research, U.S. Class 8 truck sales decreased 50% in the second quarter of 2007 compared to the second quarter of 2006. In 2006, the Company retained a 4.1% share of the Class 8 truck sales market in the U.S. The Company expects its share to range between 4.0% and 5.0% of the U.S. Class 8 truck sales market in 2007, which would result in the sale of approximately 7,000 to 7,500 Class 8 trucks based on A.C.T. Research’s current 2007 retail sales estimates of 163,000 units.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Company’s unit sales of new medium-duty trucks increased 11.7% in the second quarter of 2007 compared to the second quarter of 2006. The Company continues to improve its medium-duty truck sales by adding experienced medium-duty sales personnel, introducing new medium-duty franchises at some of the Company’s Rush Truck Centers and through acquisitions. Overall, new medium-duty truck sales revenue increased approximately $7.4 million, or 11.2%, in the second quarter of 2007 compared to the second quarter of 2006. A.C.T. Research currently expects a 13% decline in United States retail sales of Class 4, 5, 6, and 7 medium-duty trucks. The Company expects same store medium-duty sales to remain flat in 2007 compared to 2006. In 2006, the Company achieved a 1.7% share of the Class 4 through 7 truck sales market in the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Company expects its share to be approximately 2.5% of the U.S. Class 4 through 7 truck sales market in 2007, which would result in the sale of approximately 6,000 Class 4 through 7 trucks based on A.C.T. Research’s current 2007 retail sales estimates of 241,000 units.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Unit sales of used trucks increased 3.1% in the second quarter of 2007 compared to the second quarter of 2006. Used truck average revenue per unit increased by approximately 10.0%. In 2007, the Company expects used truck sales to be largely dependent upon our ability to acquire quality used trucks and maintain an adequate used truck inventory. The Company expects to sell approximately 4,000 used trucks in 2007 compared to 4,005 in 2006.</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Parts and service sales increased $8.1 million, or 7.2%, in the second quarter of 2007 compared to the second quarter of 2006. The parts and service sales increase was consistent with management’s expectations, which take into account general economic conditions, successful business development, acquisitions and price increases for parts and labor. The Company expects parts and service sales to increase approximately 10% during the remainder of 2007 compared to 2006.</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Sales of new and used construction equipment increased $5.0 million, or 31.7%, in the second quarter of 2007 compared to the second quarter of 2006. The Company is continuing to make a concerted effort to increase its market share in the Houston area. John Deere’s market share in the Houston area construction equipment market decreased to 22.2% in the six month period ended June 30, 2007 from 23.6% in the six month period ended June 30, 2006. The decrease in John Deere’s market share is primarily due to the decrease in direct manufacturer sales in the Houston area in the second quarter of 2007 compared to the second quarter of 2006. The Company believes it can increase John Deere’s market share in the Houston area to approximately 23.0% in 2007.</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Truck lease and rental revenues increased $3.0 million, or 29.5%, in the second quarter of 2007 compared to the second quarter of 2006. This increase in lease and rental revenue is primarily related to the increased number of units in the lease and rental fleet in the second quarter of 2007 compared to the second quarter of 2006. The Company expects lease and rental revenue to increase 13% to 18% during the remainder of 2007 compared to 2006 because of additions made to the Company’s lease and rental fleet in the second half of 2006.</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Finance and insurance revenues increased $1.3 million, or 25.3%, in the second quarter of 2007 compared to the second quarter of 2006. This increase is due to the Company arranging financing on a higher percentage of trucks sold and to a nonrecurring reserve release related to the Company’s new early repayment charge back program. The Company expects to be charged fewer early repayment penalties under this new program. The Company expects</w:t>
      </w:r>
    </w:p>
    <w:p>
      <w:pPr>
        <w:sectPr>
          <w:pgSz w:w="11900" w:h="16912" w:orient="portrait"/>
          <w:cols w:equalWidth="0" w:num="1">
            <w:col w:w="11420"/>
          </w:cols>
          <w:pgMar w:left="240" w:top="125" w:right="239" w:bottom="0" w:gutter="0" w:footer="0" w:header="0"/>
        </w:sectPr>
      </w:pPr>
    </w:p>
    <w:bookmarkStart w:id="11" w:name="page12"/>
    <w:bookmarkEnd w:id="11"/>
    <w:p>
      <w:pPr>
        <w:spacing w:after="0" w:line="302" w:lineRule="auto"/>
        <w:rPr>
          <w:sz w:val="20"/>
          <w:szCs w:val="20"/>
          <w:color w:val="auto"/>
        </w:rPr>
      </w:pPr>
      <w:r>
        <w:rPr>
          <w:rFonts w:ascii="Arial" w:cs="Arial" w:eastAsia="Arial" w:hAnsi="Arial"/>
          <w:sz w:val="16"/>
          <w:szCs w:val="16"/>
          <w:color w:val="auto"/>
        </w:rPr>
        <w:t>finance income from new Class 8 truck sales to decrease during the remainder of 2007 compared to the second half of 2006 because of the expected decline in new Class 8 truck sales. The decrease in finance income in the remainder of 2007 will be mitigated by increases in medium-duty truck sales and insurance revenue due to product expansion and recent acquisitions. The Company expects overall finance revenue to remain flat in 2007 compared to 2006. Finance and insurance revenues have limited direct costs and, therefore, contribute a disproportionate share of the Company’s operating profits.</w:t>
      </w:r>
    </w:p>
    <w:p>
      <w:pPr>
        <w:spacing w:after="0" w:line="154"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Other income increased $0.1 million, or 2.6%, in the second quarter of 2007 compared to the second quarter of 2006. Other income consists primarily of document fees on truck sales, the gain on sale realized on trucks from the lease and rental fleet, and commissions earned from John Deere for direct manufacturer sales into our area of responsibility.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Gross profit increased $3.8 million, or 4.3%, in the second quarter of 2007 compared to the second quarter of 2006. Gross profit as a percentage of sales increased to 17.7% in the second quarter of 2007 from 15.5% in the second quarter of 2006. This increase is primarily a result of a change in our product sales mix. Truck sales, a lower margin revenue item, decreased as a percentage of total revenue to 68.6% in the second quarter of 2007 from 74.4% in the second quarter of 2006. Parts and service revenue, a higher margin revenue item, increased as a percentage of total revenue to 23.2% in the second quarter of 2007 from 19.8% in the second quarter of 2006.</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Gross margins on Class 8 truck sales increased to 8.3% in the second quarter of 2007 from 6.8% in the second quarter of 2006. The Company’s 2007 gross margins on Class 8 trucks increased due to the change in the mix of sales to non-fleet customers. For the remainder of 2007, the Company expects overall gross margins from Class 8 truck sales of approximately 6.5% to 7.5% depending upon the premium customers are willing to pay for our remaining trucks with engines built subsequent to December 31, 2007, the mix of sales to fleet versus non-fleet customers, and the level of manufacturer incentives.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Gross margins on medium-duty truck sales decreased to 6.2% in the second quarter of 2007 from 7.2% in the second quarter of 2006. For the remainder of 2007, the Company expects overall gross margins from medium-duty truck sales of approximately 5.5% to 7.0%. The Company’s 2007 gross margins on medium-duty trucks could vary significantly depending upon the mix of fleet and non-fleet purchasers and types of medium-duty trucks sold.</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used truck sales decreased to 8.4% in the second quarter of 2007 from 9.8% in the second quarter of 2006. The decrease in gross margins on used trucks during the second quarter of 2007 is primarily due to the mix of used trucks sold. The Company believes it will be able to continue to achieve margins of approximately 8.0% to 9.0% during the remainder of 2007.</w:t>
      </w:r>
    </w:p>
    <w:p>
      <w:pPr>
        <w:spacing w:after="0" w:line="181"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Gross margins from the Company’s parts, service and body shop operations increased to 42.2% in the second quarter of 2007 from 41.3% in the second quarter of 2006. This increase in gross margins is mainly attributable to the increased parts purchase discounts in the second quarter of 2007 compared to the second quarter of 2006. Gross profit for the parts, service and body shop departments increased to $50.9 million in the second quarter of 2007 from $46.4 million in the second quarter of 2006. The Company expects to maintain gross margins on parts, service and body shop operations of approximately 40.0% to 42.0% during the remainder of 2007.</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increased to 11.1% in the second quarter of 2007 from 10.8% in the second quarter of 2006. Gross margins on new and used construction equipment can fluctuate depending on the mix of products sold. The Company expects 2007 gross margins to remain in a range of 10.0% to 12.0% as the Company attempts to increase its market share.</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Gross margins from truck lease and rental sales decreased to 17.3% in the second quarter of 2007 from approximately 22.9% in the second quarter of 2006. The decrease in the gross margin from lease and rental sales is primarily due to the decline in the utilization of the rental fleet, which is a result of the additions to our rental fleet in 2006. We expect gross margins to gradually increase as our utilization rate increases throughout the remainder of 2007.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Selling, general and administrative (“SG&amp;A”) expenses increased $5.0 million, or 8.6%, in the second quarter of 2007 compared to the second quarter of 2006. SG&amp;A expenses as a percentage of sales were 12.0% in the second quarter of 2007 compared to 10.1% in the second quarter of 2006. SG&amp;A expenses as a percentage of revenue have historically ranged from 10.0% to 16.0%. In the second quarter of 2007, the selling portion of SG&amp;A expenses decreased 10.8% and the general and administrative portion of SG&amp;A increased 11.6% compared to the second quarter of 2006. The general and administrative portion of SG&amp;A will increase approximately 5% to 10% in 2007 due to the effect of inflation and acquisitions made in 2006 and early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Net interest expense increased $1.0 million, or 28.9%, in the second quarter of 2007 compared to the second quarter of 2006. This increase is primarily due to the increase in floor plan notes payable. To take advantage of increased demand for trucks with diesel engines manufactured prior to January 1, 2007, the Company maintained higher levels of truck inventory in the second quarter of 2007 than it has traditionally maintained, which increased the Company’s floor plan notes payable. The Company expects net interest expense in 2007 to increase approximately 10.0% compared to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Income before income taxes decreased $2.7 million, or 11.5%, in the second quarter of 2007 compared to the second quarter of 2006. The Company expects income for the remainder of 2007 to decrease compared to 2006 because of the expected significant decrease in Class 8 truck sales during the remainder of 2007 relative to 2006.</w:t>
      </w:r>
    </w:p>
    <w:p>
      <w:pPr>
        <w:sectPr>
          <w:pgSz w:w="11900" w:h="16838" w:orient="portrait"/>
          <w:cols w:equalWidth="0" w:num="1">
            <w:col w:w="11420"/>
          </w:cols>
          <w:pgMar w:left="240" w:top="125" w:right="239" w:bottom="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Income taxes decreased $1.0 million, or 10.3%, in the second quarter of 2007 compared to the second quarter of 2006. The Company provided for taxes at an effective rate of 37.5% in the second quarter of 2006 and 38.0% in the second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2007 Compared to Six Months Ended June 30, 2006</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regards to the items discussed in this section are set forth in the discussion of the “Three Months Ended June 30, 2007 Compared to Three Months Ended June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Revenues decreased $16.5 million, or 1.5%, in the first six months of 2007 compared to the first six months of 2006. Sales of new and used trucks decreased $52.9 million, or 6.7%, in the first six months of 2007 compared to the first six months of 2006. This decrease in new and used truck revenue is primarily due to decreased sales of Class 8 trucks as discussed above.</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Unit sales of new Class 8 trucks decreased 21.9% in the first six months of 2007 compared to the first six months of 2006. The Class 8 truck sales market in the U.S. decreased 37% in the first six months of 2007 compared to the first six months of 2006 according to estimates of A.C.T. Research.</w:t>
      </w:r>
    </w:p>
    <w:p>
      <w:pPr>
        <w:spacing w:after="0" w:line="12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Unit sales of new medium-duty trucks increased 33.1% in the first six months of 2007 compared to the first six months of 2006. Overall, new medium-duty truck sales revenue increased approximately $34.8 million, or 30.3%, in the first six months of 2007 compared to the first six months of 2006.</w:t>
      </w:r>
    </w:p>
    <w:p>
      <w:pPr>
        <w:spacing w:after="0" w:line="12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Unit sales of used trucks increased 2.4% in the first six months of 2007 compared to the first six months of 2006. Used truck average revenue per unit increased by approximately 9.7%.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Parts and service sales increased $20.5 million, or 9.4%, in the first six months of 2007 compared to the first six months of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new and used construction equipment increased $7.3 million, or 24.2%, in the first six months of 2007 compared to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Truck lease and rental revenues increased $5.7 million, or 29.1%, in the first six months of 2007 compared to the first six months of 2006.</w:t>
      </w:r>
    </w:p>
    <w:p>
      <w:pPr>
        <w:spacing w:after="0" w:line="23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Finance and insurance revenues increased $2.7 million, or 29.8%, in the first six months of 2007 compared to the first six months of 2006. Finance and insurance revenues have limited direct costs and, therefore, contribute a disproportionate share of the Company’s operating profits.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increased $0.3 million, or 7.3%, in the first six months of 2007 compared to the first six months of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Gross profit increased $11.7 million, or 6.9%, in the first six months of 2007 compared to the first six months of 2006. Gross profit as a percentage of sales increased to 17.2% in the first six months of 2007 from 15.9% in the first six months of 2006. This increase is primarily a result of a change in our product sales mix. Truck sales, a lower margin revenue item, decreased as a percentage of total revenue to 69.9% in the first six months of 2007 from 73.8% in the first six months of 2006. Parts and service revenue, a higher margin revenue item, increased as a percentage of total revenue to 22.6% in the first six months of 2007 from 20.4% in the first six months of 2006.</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Class 8 truck sales increased to 8.4% in the first six months of 2007 from 7.5% in the first six months of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medium-duty truck sales decreased to 5.7% in the first six months of 2007 from 6.8% in the first six months of 2006.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used truck sales decreased slightly to 8.9% in the first six months of 2007 from 9.0% in the first six months of 2006.</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41.9% in the first six months of 2007 from 40.9% in the first six months of 2006. Gross profit for the parts, service and body shop departments increased to $99.7 million in the first six months of 2007 from $89.0 million in the first six months of 2006.</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decreased to 10.8% in the first six months of 2007 from 11.4% in the first six months of 2006. This decrease in gross margins is attributable to the Company’s efforts to increase its market share in the Houston area, which has required the Company to sell construction equipment at lower margins.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Gross margins from truck lease and rental sales decreased to 15.4% in the first six months of 2007 from approximately 23.4% in the first six months of 2006. The Company expects gross margins from lease and rental sales of approximately 15.0% to 18.0% in 2007.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ectPr>
          <w:pgSz w:w="11900" w:h="16838" w:orient="portrait"/>
          <w:cols w:equalWidth="0" w:num="1">
            <w:col w:w="11340"/>
          </w:cols>
          <w:pgMar w:left="240" w:top="125" w:right="31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ectPr>
          <w:pgSz w:w="11900" w:h="16838" w:orient="portrait"/>
          <w:cols w:equalWidth="0" w:num="1">
            <w:col w:w="11340"/>
          </w:cols>
          <w:pgMar w:left="240" w:top="125" w:right="319" w:bottom="0" w:gutter="0" w:footer="0" w:header="0"/>
          <w:type w:val="continuous"/>
        </w:sectPr>
      </w:pPr>
    </w:p>
    <w:bookmarkStart w:id="13" w:name="page14"/>
    <w:bookmarkEnd w:id="13"/>
    <w:p>
      <w:pPr>
        <w:jc w:val="both"/>
        <w:ind w:right="380" w:firstLine="648"/>
        <w:spacing w:after="0" w:line="342" w:lineRule="auto"/>
        <w:rPr>
          <w:sz w:val="20"/>
          <w:szCs w:val="20"/>
          <w:color w:val="auto"/>
        </w:rPr>
      </w:pPr>
      <w:r>
        <w:rPr>
          <w:rFonts w:ascii="Arial" w:cs="Arial" w:eastAsia="Arial" w:hAnsi="Arial"/>
          <w:sz w:val="16"/>
          <w:szCs w:val="16"/>
          <w:color w:val="auto"/>
        </w:rPr>
        <w:t>Selling, general and administrative (“SG&amp;A”) expenses increased $8.8 million, or 7.7%, in the first six months of 2007 compared to the first six months of 2006. SG&amp;A expenses as a percentage of sales were 11.7% in the first six months of 2007 compared to 10.7% in the first six months of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Net interest expense increased $2.0 million, or 28.3%, in the first six months of 2007 compared to the first six months of 2006. This increase is primarily due to the increase in floor plan notes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Income before income taxes decreased $0.3 million, or 0.6%, in the first six months of 2007 compared to the first six months of 2006. The Company believes that income before income taxes will decrease in 2007 compared to 2006 because of the expected significant decrease in heavy-duty truck sales during the remainder of 2007 relative to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Income taxes remained flat in the first six months of 2007 compared to the first six months of 2006. The Company provided for taxes at an effective rate of 37.5% in the first six months of 2006 and 38.0% in the first six months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of new facilities. Historically, these cash requirements have been met through the retention of profits and borrowings under our floor plan arrangements. As of June 30, 2007, the Company had working capital of approximately $178.7 million, including $165.7 million in cash available to fund our operations.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may request working capital advances in the minimum amount of $100,000 from GE Capital, its primary truck lender. However, such working capital advances may not cause the total indebtedness owed GE Capital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exceed an amount equal to the wholesale advances made against the then current inventory less any payment reductions then due. There were no working capital advances outstanding under this agreement at June 30, 2007.</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June 30, 2007, however, $6.3 million was pledged to secure various letters of credit related to self-insurance products, leaving $1.7 million available for future borrowings as of June 30, 2007.</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signed agreements with SAP America, Inc and Titan Technology Partners, Limited to purchase and implement SAP enterprise software and a new SAP dealership management system. The cost of the SAP software and implementation is estimated between $10.0 million and $12.0 million. The Company has no other material commitments for capital expenditures as of June 30, 2007.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Cash and cash equivalents increased by $4.1 million during the six months ended June 30, 2007 and increased by $7.4 million during the six months ended June 30, 2006.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2007, operating activities resulted in net cash provided by operations of $65.2 million. Cash provided by operating activities was primarily impacted by the decrease in accounts receivable and the decrease in inventory. During the first six months of 2006, operating activities resulted in net cash used in operations of $8.8 million.</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believes that changes in aggregate floor plan liabilities are directly linked to changes in vehicle inventory and, therefore, are an integral part of understanding changes in our working capital and operating cash flow. Consequently, the Company has provided the following reconciliation of cash flow from operating activities as reported in our consolidated statement of cash flows as if changes in vehicle floor plan were classified as an operating activity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29"/>
        </w:trPr>
        <w:tc>
          <w:tcPr>
            <w:tcW w:w="6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1"/>
                <w:szCs w:val="11"/>
                <w:color w:val="auto"/>
              </w:rPr>
            </w:pPr>
          </w:p>
        </w:tc>
      </w:tr>
      <w:tr>
        <w:trPr>
          <w:trHeight w:val="210"/>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(8,834)</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(Payments) draws on floor plan notes payable as reported</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(27,432)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58,957</w:t>
            </w:r>
          </w:p>
        </w:tc>
        <w:tc>
          <w:tcPr>
            <w:tcW w:w="80" w:type="dxa"/>
            <w:vAlign w:val="bottom"/>
          </w:tcPr>
          <w:p>
            <w:pPr>
              <w:spacing w:after="0"/>
              <w:rPr>
                <w:sz w:val="18"/>
                <w:szCs w:val="18"/>
                <w:color w:val="auto"/>
              </w:rPr>
            </w:pPr>
          </w:p>
        </w:tc>
      </w:tr>
      <w:tr>
        <w:trPr>
          <w:trHeight w:val="210"/>
        </w:trPr>
        <w:tc>
          <w:tcPr>
            <w:tcW w:w="6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w w:val="98"/>
              </w:rPr>
              <w:t>Net cash provided by operating activities including all floor plan notes payable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37,772</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50,123</w:t>
            </w:r>
          </w:p>
        </w:tc>
        <w:tc>
          <w:tcPr>
            <w:tcW w:w="8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Investing Activities</w:t>
      </w:r>
    </w:p>
    <w:p>
      <w:pPr>
        <w:sectPr>
          <w:pgSz w:w="11900" w:h="16838" w:orient="portrait"/>
          <w:cols w:equalWidth="0" w:num="1">
            <w:col w:w="11420"/>
          </w:cols>
          <w:pgMar w:left="240" w:top="125" w:right="239" w:bottom="0" w:gutter="0" w:footer="0" w:header="0"/>
          <w:type w:val="continuous"/>
        </w:sectPr>
      </w:pPr>
    </w:p>
    <w:bookmarkStart w:id="14" w:name="page15"/>
    <w:bookmarkEnd w:id="14"/>
    <w:p>
      <w:pPr>
        <w:ind w:firstLine="648"/>
        <w:spacing w:after="0" w:line="271" w:lineRule="auto"/>
        <w:rPr>
          <w:sz w:val="20"/>
          <w:szCs w:val="20"/>
          <w:color w:val="auto"/>
        </w:rPr>
      </w:pPr>
      <w:r>
        <w:rPr>
          <w:rFonts w:ascii="Arial" w:cs="Arial" w:eastAsia="Arial" w:hAnsi="Arial"/>
          <w:sz w:val="17"/>
          <w:szCs w:val="17"/>
          <w:color w:val="auto"/>
        </w:rPr>
        <w:t>Cash flows from investing activities consist primarily of cash used for capital expenditures and business acquisitions. During the first six months of 2007, the Company used $40.5 million in investing activities. Capital expenditures consisted of purchases of property and equipment, and improvements to our existing dealership facilities of $36.1 million. Property and equipment purchases during the first six months of 2007 consisted of $21.4 million for additional units for the rental and leasing operations, which was directly offset by borrowings of long-term debt. The Company expects to purchase trucks worth approximately $40.0 million for its leasing operations in 2007 depending on customer demand. During 2007, the Company expects to make capital expenditures for recurring items such as computers, shop equipment and vehicles of approximately $12.0 million in addition to $6.1 million for the SAP software implementation described above. Cash used in business acquisitions was $7.0 million during the first six months of 2007. See Note 6 - Acquisitions of the Notes to Consolidated Financial Statements for a detailed discussion of these acquisitions.</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first six months of 2006, cash used in investing activities was $59.1 million. Capital expenditures consisted of purchases of property and equipment, and improvements to our existing dealership facilities of $39.7 million. Property and equipment purchases during the first six months of 2006 consisted of $18.4 million of additional units for the rental and leasing operations, which was directly offset by borrowings of long-term debt. Cash used in business acquisitions was $22.5 million during the first six months of 2006.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Cash used in financing activities was $20.6 million during the first six months of 2007. The Company had borrowings of long-term debt of $23.1 million and repayments of long-term debt of $17.1 million during the first six months of 2007. The Company had net payments of floor plan notes payable of $27.4 million during the first six months of 2007. The borrowings of long-term debt were primarily related to the increase in the lease and rental fleet.</w:t>
      </w:r>
    </w:p>
    <w:p>
      <w:pPr>
        <w:spacing w:after="0" w:line="171"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Cash used in financing activities was $75.3 million during the first six months of 2006. The Company had borrowings of long-term debt of $36.4 million and repayments of long-term debt of $22.0 million during the first six months of 2006. The Company had net draws of floor plan notes payable of $59.0 million during the first six months of 2006. The borrowings of long-term debt were primarily related to the increase in the lease and rental fleet and refinancing of the corporate aircraft.</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June 30, 2007, the Company had approximately $402.4 million outstanding under its floor plan financing agreement with GE Capital.</w:t>
      </w:r>
    </w:p>
    <w:p>
      <w:pPr>
        <w:spacing w:after="0" w:line="179" w:lineRule="exact"/>
        <w:rPr>
          <w:sz w:val="20"/>
          <w:szCs w:val="20"/>
          <w:color w:val="auto"/>
        </w:rPr>
      </w:pPr>
    </w:p>
    <w:p>
      <w:pPr>
        <w:ind w:right="20" w:firstLine="648"/>
        <w:spacing w:after="0" w:line="256" w:lineRule="auto"/>
        <w:rPr>
          <w:sz w:val="20"/>
          <w:szCs w:val="20"/>
          <w:color w:val="auto"/>
        </w:rPr>
      </w:pPr>
      <w:r>
        <w:rPr>
          <w:rFonts w:ascii="Arial" w:cs="Arial" w:eastAsia="Arial" w:hAnsi="Arial"/>
          <w:sz w:val="17"/>
          <w:szCs w:val="17"/>
          <w:color w:val="auto"/>
        </w:rPr>
        <w:t>Substantially all of the Company’s new construction equipment purchases are financed by John Deere and CitiCapital. The Company finances substantially all of the purchase price of its new construction equipment inventory under its floor plan facilities. The Company’s floor plan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 principal payments for sold inventory to CitiCapital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for sold used construction equipment are made no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June 30, 2007, the Company’s floor plan arrangement with CitiCapital permits the financing of up to $13.5 million in construction equipment. On June 30, 2007, the Company had $5.2 million outstanding under its floor plan financing arrangements with John Deere and $11.3 million outstanding under its floor plan financing arrangement with CitiCapital.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On June 30, 2007, the Company’s backlog of truck orders was approximately $216.3 million as compared to a backlog of truck orders of approximately $676.8 million on June 30, 2006.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with engines built after January 1, 2007, delivery times for heavy-duty trucks have decreased significantly from delivery times during peak demand in 2006. As a result, purchasers of heavy-duty trucks do not need to place orders several months in advance and our backlog has significantly decreased.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truck business is moderately seasonal. Seasonal effects on new truck sales related to the seasonal purchasing patterns of any single customer type are mitigated by the Company’s diverse customer base, including small and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large fleets, governments, corporations and owner operators. However, truck parts and service operations historically have experienced higher volumes of sales in the second and third quarters.</w:t>
      </w:r>
    </w:p>
    <w:p>
      <w:pPr>
        <w:sectPr>
          <w:pgSz w:w="11900" w:h="16838" w:orient="portrait"/>
          <w:cols w:equalWidth="0" w:num="1">
            <w:col w:w="11400"/>
          </w:cols>
          <w:pgMar w:left="240" w:top="125" w:right="259" w:bottom="0" w:gutter="0" w:footer="0" w:header="0"/>
        </w:sectPr>
      </w:pPr>
    </w:p>
    <w:bookmarkStart w:id="15" w:name="page16"/>
    <w:bookmarkEnd w:id="15"/>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Class 8 trucks are defined by the American Automobile Association as trucks with a minimum gross vehicle weight rating above 33,000 pounds. Domestic Class 8 unit sales are expected to decrease dramatically to approximately 163,000 units during 2007 according to A.C.T. Research. Through geographic expansion, concentration on higher margin parts and service operations and diversification of its customer base, the Company attempts to reduce the negative impact on the Company’s earnings of adverse general economic conditions or cyclical trends affecting the heavy-duty truck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w:t>
      </w:r>
    </w:p>
    <w:p>
      <w:pPr>
        <w:spacing w:after="0" w:line="254" w:lineRule="auto"/>
        <w:rPr>
          <w:sz w:val="20"/>
          <w:szCs w:val="20"/>
          <w:color w:val="auto"/>
        </w:rPr>
      </w:pPr>
      <w:r>
        <w:rPr>
          <w:rFonts w:ascii="Arial" w:cs="Arial" w:eastAsia="Arial" w:hAnsi="Arial"/>
          <w:sz w:val="18"/>
          <w:szCs w:val="18"/>
          <w:color w:val="auto"/>
        </w:rPr>
        <w:t>2007. The 2007 emission guidelines caused the heavy-duty truck industry to experience a significant increase in demand for trucks during 2005, 2006 and the first quarter of 2007. The Company expects this recent period of increased demand to be followed by a decrease in demand for heavy-duty trucks in the third and fourth quarters of 2007. The severity of the decrease in demand for heavy-duty trucks will depend largely upon general economic conditions but the cost, reliability and efficiency of the new diesel engines will also impact demand.</w:t>
      </w:r>
    </w:p>
    <w:p>
      <w:pPr>
        <w:spacing w:after="0" w:line="19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EPA has also mandated even stricter emissions guidelines regarding nitrous oxides for all diesel engines built subsequent to January 1, 2010. If new diesel engine emission standards are implemented in 2010, we expect deliveries of heavy-duty and medium-duty trucks to significantly decrease in 2010 relative to 2009. The EPA has also proposed regulations requiring emissions controls systems on 2010 and later heavy-duty and medium-duty trucks to be monitored for malfunctions via an onboard diagnostic system similar to those required in passenger vehicles since the mid-1990s, which could also impact demand for trucks.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is exposed to some market risk through interest rates related to our floor plan borrowing arrangements, variable rate debt and discount rates related to finance sales. Floor plan borrowings are based on the LIBOR and prime rates of interest and are used to meet working capital needs. As of June 30, 2007, the Company had floor plan borrowings of approximately $418.9 million. Assuming an increase in the LIBOR or prime rates of interest of 100 basis points, annual interest expense could increase by approximately $4.2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of $165.7 million at June 30, 2007. These funds are generally invested in highly liquid money market accounts, government-sponsored enterprises, corporate bonds and offset of floor plan debt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$1.7 million. We have not used derivative financial instruments in our investment portfolio.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2007 to provide reasonable assurance that information required to be disclosed in the reports filed or submitted under the Securities Exchange Act of 1934 is recorded, processed, summarized and reported within the time periods specified in the Securities and Exchange Commission’s rules and forms.</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2007 that has materially affected, or is reasonably likely to materially affect, the Company’s internal control over financial reporting.</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second quarter of 2007, nor did it repurchase any shares of its Class A Common Stock or Class B Common Stock during the second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matters were voted upon at the Annual Meeting of Shareholders held on May 22, 2007, and received the votes set forth below:</w:t>
      </w:r>
    </w:p>
    <w:p>
      <w:pPr>
        <w:spacing w:after="0" w:line="237" w:lineRule="exact"/>
        <w:rPr>
          <w:sz w:val="20"/>
          <w:szCs w:val="20"/>
          <w:color w:val="auto"/>
        </w:rPr>
      </w:pPr>
    </w:p>
    <w:p>
      <w:pPr>
        <w:ind w:left="1300" w:right="640" w:hanging="644"/>
        <w:spacing w:after="0" w:line="277" w:lineRule="auto"/>
        <w:tabs>
          <w:tab w:leader="none" w:pos="1313"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following persons nominated were reelected to serve as directors and received the number of votes set forth opposite their respective names:</w:t>
      </w:r>
    </w:p>
    <w:p>
      <w:pPr>
        <w:spacing w:after="0" w:line="132" w:lineRule="exact"/>
        <w:rPr>
          <w:sz w:val="20"/>
          <w:szCs w:val="20"/>
          <w:color w:val="auto"/>
        </w:rPr>
      </w:pPr>
    </w:p>
    <w:tbl>
      <w:tblPr>
        <w:tblLayout w:type="fixed"/>
        <w:tblInd w:w="2160" w:type="dxa"/>
        <w:tblCellMar>
          <w:top w:w="0" w:type="dxa"/>
          <w:left w:w="0" w:type="dxa"/>
          <w:bottom w:w="0" w:type="dxa"/>
          <w:right w:w="0" w:type="dxa"/>
        </w:tblCellMar>
      </w:tblPr>
      <w:tr>
        <w:trPr>
          <w:trHeight w:val="161"/>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Votes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Votes</w:t>
            </w:r>
          </w:p>
        </w:tc>
        <w:tc>
          <w:tcPr>
            <w:tcW w:w="0" w:type="dxa"/>
            <w:vAlign w:val="bottom"/>
          </w:tcPr>
          <w:p>
            <w:pPr>
              <w:spacing w:after="0"/>
              <w:rPr>
                <w:sz w:val="1"/>
                <w:szCs w:val="1"/>
                <w:color w:val="auto"/>
              </w:rPr>
            </w:pPr>
          </w:p>
        </w:tc>
      </w:tr>
      <w:tr>
        <w:trPr>
          <w:trHeight w:val="162"/>
        </w:trPr>
        <w:tc>
          <w:tcPr>
            <w:tcW w:w="3140" w:type="dxa"/>
            <w:vAlign w:val="bottom"/>
            <w:gridSpan w:val="3"/>
            <w:vMerge w:val="continue"/>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8,007,540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1080" w:type="dxa"/>
            <w:vAlign w:val="bottom"/>
          </w:tcPr>
          <w:p>
            <w:pPr>
              <w:jc w:val="right"/>
              <w:spacing w:after="0"/>
              <w:rPr>
                <w:sz w:val="20"/>
                <w:szCs w:val="20"/>
                <w:color w:val="auto"/>
              </w:rPr>
            </w:pPr>
            <w:r>
              <w:rPr>
                <w:rFonts w:ascii="Arial" w:cs="Arial" w:eastAsia="Arial" w:hAnsi="Arial"/>
                <w:sz w:val="18"/>
                <w:szCs w:val="18"/>
                <w:color w:val="auto"/>
              </w:rPr>
              <w:t>8,008,485</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Krause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8,008,107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John D. Rock</w:t>
            </w:r>
          </w:p>
        </w:tc>
        <w:tc>
          <w:tcPr>
            <w:tcW w:w="1080" w:type="dxa"/>
            <w:vAlign w:val="bottom"/>
          </w:tcPr>
          <w:p>
            <w:pPr>
              <w:jc w:val="right"/>
              <w:spacing w:after="0"/>
              <w:rPr>
                <w:sz w:val="20"/>
                <w:szCs w:val="20"/>
                <w:color w:val="auto"/>
              </w:rPr>
            </w:pPr>
            <w:r>
              <w:rPr>
                <w:rFonts w:ascii="Arial" w:cs="Arial" w:eastAsia="Arial" w:hAnsi="Arial"/>
                <w:sz w:val="18"/>
                <w:szCs w:val="18"/>
                <w:color w:val="auto"/>
              </w:rPr>
              <w:t>8,030,443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D. Marshall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8,034,295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Thomas A. Akin</w:t>
            </w:r>
          </w:p>
        </w:tc>
        <w:tc>
          <w:tcPr>
            <w:tcW w:w="1080" w:type="dxa"/>
            <w:vAlign w:val="bottom"/>
          </w:tcPr>
          <w:p>
            <w:pPr>
              <w:jc w:val="right"/>
              <w:spacing w:after="0"/>
              <w:rPr>
                <w:sz w:val="20"/>
                <w:szCs w:val="20"/>
                <w:color w:val="auto"/>
              </w:rPr>
            </w:pPr>
            <w:r>
              <w:rPr>
                <w:rFonts w:ascii="Arial" w:cs="Arial" w:eastAsia="Arial" w:hAnsi="Arial"/>
                <w:sz w:val="18"/>
                <w:szCs w:val="18"/>
                <w:color w:val="auto"/>
              </w:rPr>
              <w:t>8,035,152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300" w:right="62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the adoption of the Rush Enterprises, Inc. 2007 Long-Term Incentive Plan received 5,260,242 votes FOR and 2,117,142 votes AGAINST, with 2,328 abstentions and 726,164 broker non-votes.</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2007 fiscal year received 8,098,379 votes FOR and 6,537 votes AGAINST, with 959 abstentions.</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All three proposals submitted at the Annual Meeting of Shareholders held on May 22, 2007 received more than the number of favorable votes required for approval, and were therefore duly and validly approved by the Company’s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20" w:type="dxa"/>
            <w:vAlign w:val="bottom"/>
            <w:gridSpan w:val="2"/>
          </w:tcPr>
          <w:p>
            <w:pPr>
              <w:jc w:val="right"/>
              <w:ind w:right="3259"/>
              <w:spacing w:after="0"/>
              <w:rPr>
                <w:sz w:val="20"/>
                <w:szCs w:val="20"/>
                <w:color w:val="auto"/>
              </w:rPr>
            </w:pPr>
            <w:r>
              <w:rPr>
                <w:rFonts w:ascii="Arial" w:cs="Arial" w:eastAsia="Arial" w:hAnsi="Arial"/>
                <w:sz w:val="18"/>
                <w:szCs w:val="18"/>
                <w:color w:val="auto"/>
              </w:rPr>
              <w:t>26</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38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gridSpan w:val="2"/>
          </w:tcPr>
          <w:p>
            <w:pPr>
              <w:spacing w:after="0"/>
              <w:rPr>
                <w:sz w:val="24"/>
                <w:szCs w:val="24"/>
                <w:color w:val="auto"/>
              </w:rPr>
            </w:pPr>
          </w:p>
        </w:tc>
        <w:tc>
          <w:tcPr>
            <w:tcW w:w="788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1146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324"/>
        </w:trPr>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00" w:type="dxa"/>
            <w:vAlign w:val="bottom"/>
            <w:gridSpan w:val="2"/>
            <w:vMerge w:val="restart"/>
          </w:tcPr>
          <w:p>
            <w:pPr>
              <w:ind w:left="35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2"/>
        </w:trPr>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7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Rush Enterprises, Inc. Amended and Restated Bylaws (incorporated herein by reference to Exhibit 3.1 of the</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4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(File No. 000-20797) filed May 24, 2007).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-979170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-979170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64" w:right="199" w:bottom="0" w:gutter="0" w:footer="0" w:header="0"/>
        </w:sectPr>
      </w:pPr>
    </w:p>
    <w:bookmarkStart w:id="17" w:name="page18"/>
    <w:bookmarkEnd w:id="17"/>
    <w:p>
      <w:pPr>
        <w:spacing w:after="0" w:line="22" w:lineRule="exact"/>
        <w:rPr>
          <w:sz w:val="20"/>
          <w:szCs w:val="20"/>
          <w:color w:val="auto"/>
        </w:rPr>
      </w:pPr>
    </w:p>
    <w:p>
      <w:pPr>
        <w:ind w:left="1240" w:right="1179" w:hanging="877"/>
        <w:spacing w:after="0" w:line="293" w:lineRule="auto"/>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Wholesale Security Agreement, dated September 20, 2005, by and among General Electric Capital Corporation and Rush Truck Centers of Alabama, Inc., Rush Truck Centers of Arizona, Inc., Rush Truck Centers of California, Inc., Rush Truck Centers of Colorado, Inc., Rush Truck Centers of Florida, Inc., Rush Truck Centers of New Mexico, Inc., Rush Truck Centers of Oklahoma, Inc., Rush Truck Centers of Tennessee, Inc., and Rush Truck Centers of Texas, L.P. (incorporated herein by reference to Exhibit 10.1 of the Company’s Current Report on Form 8-K (File No. 000-20797) filed September 23, 2005).</w:t>
      </w:r>
    </w:p>
    <w:p>
      <w:pPr>
        <w:spacing w:after="0" w:line="165" w:lineRule="exact"/>
        <w:rPr>
          <w:sz w:val="20"/>
          <w:szCs w:val="20"/>
          <w:color w:val="auto"/>
        </w:rPr>
      </w:pPr>
    </w:p>
    <w:p>
      <w:pPr>
        <w:ind w:left="1240" w:right="1139" w:hanging="877"/>
        <w:spacing w:after="0" w:line="293" w:lineRule="auto"/>
        <w:tabs>
          <w:tab w:leader="none" w:pos="12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Addendum to Wholesale Security Agreement, dated September 20, 2005, by and among General Electric Capital Corporation and Rush Truck Centers of Alabama, Inc., Rush Truck Centers of Arizona, Inc., Rush Truck Centers of California, Inc., Rush Truck Centers of Colorado, Inc., Rush Truck Centers of Florida, Inc., Rush Truck Centers of New Mexico, Inc., Rush Truck Centers of Oklahoma, Inc., Rush Truck Centers of Tennessee, Inc., and Rush Truck Centers of Texas, L.P. (incorporated herein by reference to Exhibit 10.2 of the Company’s Current Report on Form 8-K (File No. 000-20797) filed September 23, 2005).</w:t>
      </w:r>
    </w:p>
    <w:p>
      <w:pPr>
        <w:spacing w:after="0" w:line="165" w:lineRule="exact"/>
        <w:rPr>
          <w:sz w:val="20"/>
          <w:szCs w:val="20"/>
          <w:color w:val="auto"/>
        </w:rPr>
      </w:pPr>
    </w:p>
    <w:p>
      <w:pPr>
        <w:ind w:left="1240" w:right="1179" w:hanging="877"/>
        <w:spacing w:after="0" w:line="291" w:lineRule="auto"/>
        <w:tabs>
          <w:tab w:leader="none" w:pos="12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Agreement Amending the Wholesale Security Agreement and Conditionally the Sale of Collateral on a Delayed Payment Privilege Basis, dated September 20, 2005, by and among General Electric Capital Corporation and Rush Truck Centers of Alabama, Inc., Rush Truck Centers of Arizona, Inc., Rush Truck Centers of California, Inc., Rush Truck Centers of Colorado, Inc., Rush Truck Centers of Florida, Inc., Rush Truck Centers of New Mexico, Inc., Rush Truck Centers of Oklahoma, Inc., Rush Truck Centers of Tennessee, Inc., and Rush Truck Centers of Texas, L.P. (incorporated herein by reference to Exhibit 10.3 of the Company’s Current Report on Form 8-K (File No. 000-20797) filed September 23, 2005).</w:t>
      </w:r>
    </w:p>
    <w:p>
      <w:pPr>
        <w:spacing w:after="0" w:line="167" w:lineRule="exact"/>
        <w:rPr>
          <w:sz w:val="20"/>
          <w:szCs w:val="20"/>
          <w:color w:val="auto"/>
        </w:rPr>
      </w:pPr>
    </w:p>
    <w:p>
      <w:pPr>
        <w:ind w:left="1240" w:right="1179" w:hanging="877"/>
        <w:spacing w:after="0" w:line="254" w:lineRule="auto"/>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Second Amendment to Addendum to Wholesale Security Agreement, dated January 22, 2007, by and between General Electric Capital Corporation and Rush Medium Duty Truck Centers of Colorado, Inc., Rush Truck Centers of Alabama, Inc., Rush Truck Centers of Arizona, Inc., Rush Truck Centers of California, Inc., Rush Truck Centers of Colorado, Inc., Rush Truck Centers of Florida, Inc., Rush Truck Centers of Georgia, Inc., Rush Truck Centers of New Mexico, Inc., Rush Truck Centers of Oklahoma, Inc., Rush Truck Centers of Tennessee, Inc., and Rush Truck Centers of Texas, L.P. (incorporated herein by reference to Exhibit 10.4 of the Company’s Current Report on Form 8-K (File No. 000-20797) filed January 23, 2007).</w:t>
      </w:r>
    </w:p>
    <w:p>
      <w:pPr>
        <w:spacing w:after="0" w:line="192" w:lineRule="exact"/>
        <w:rPr>
          <w:sz w:val="20"/>
          <w:szCs w:val="20"/>
          <w:color w:val="auto"/>
        </w:rPr>
      </w:pPr>
    </w:p>
    <w:p>
      <w:pPr>
        <w:ind w:left="1240" w:right="1179" w:hanging="877"/>
        <w:spacing w:after="0" w:line="284" w:lineRule="auto"/>
        <w:tabs>
          <w:tab w:leader="none" w:pos="12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Amendment to Wholesale Security Agreement, dated May 15, 2007, by and among General Electric Capital Corporation and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Texas, L.P., Rush GMC Truck Center of El Paso, Inc., Rush GMC Truck Center of Phoenix, Inc., Rush GMC Truck Center of San Diego, Inc., and Rush GMC Truck Center of Tucson, Inc. (incorporated herein by reference to Exhibit 10.5 of the Company’s Current Report on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Form 8-K (File No. 000-20797) filed May 18, 2007).</w:t>
      </w:r>
    </w:p>
    <w:p>
      <w:pPr>
        <w:spacing w:after="0" w:line="211" w:lineRule="exact"/>
        <w:rPr>
          <w:sz w:val="20"/>
          <w:szCs w:val="20"/>
          <w:color w:val="auto"/>
        </w:rPr>
      </w:pPr>
    </w:p>
    <w:p>
      <w:pPr>
        <w:ind w:left="1240" w:right="1159" w:hanging="877"/>
        <w:spacing w:after="0" w:line="270" w:lineRule="auto"/>
        <w:tabs>
          <w:tab w:leader="none" w:pos="12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Fourth Amendment to Addendum to Wholesale Security Agreement, dated May 21, 2007, by and among General Electric Capital Corporation and Rush Truck Centers of Alabama, Inc., Rush Truck Centers of Arizona, Inc., Rush Truck Centers of California, Inc., Rush Medium Duty Truck Centers of Colorado, Inc., Rush Truck Centers of Colorado, Inc., Rush Truck Centers of Florida, Inc., Rush Truck Centers of Georgia, Inc., Rush Truck Centers of New Mexico, Inc., Rush Truck Centers of Oklahoma, Inc., Rush Truck Centers of Tennessee, Inc., Rush Truck Centers of Texas, L.P., Rush GMC Truck Center of El Paso, Inc., Rush GMC Truck Center of Phoenix, Inc., Rush GMC Truck Center of San Diego, Inc., and Rush GMC Truck Center of Tucson, Inc. (incorporated herein by reference to Exhibit 10.6 of the Company’s Current Report on Form 8-K (File No. 000-20797) filed May 24, 2007).</w:t>
      </w:r>
    </w:p>
    <w:p>
      <w:pPr>
        <w:spacing w:after="0" w:line="182" w:lineRule="exact"/>
        <w:rPr>
          <w:sz w:val="20"/>
          <w:szCs w:val="20"/>
          <w:color w:val="auto"/>
        </w:rPr>
      </w:pPr>
    </w:p>
    <w:p>
      <w:pPr>
        <w:ind w:left="1240" w:right="1279" w:hanging="877"/>
        <w:spacing w:after="0" w:line="277" w:lineRule="auto"/>
        <w:tabs>
          <w:tab w:leader="none" w:pos="12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Rush Enterprises, Inc. 2007 Long-Term Incentive Plan (incorporated herein by reference to Appendix A to the Company’s Proxy Statement filed April 17, 2007).</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8060" w:type="dxa"/>
            <w:vAlign w:val="bottom"/>
          </w:tcPr>
          <w:p>
            <w:pPr>
              <w:ind w:left="180"/>
              <w:spacing w:after="0"/>
              <w:rPr>
                <w:sz w:val="20"/>
                <w:szCs w:val="20"/>
                <w:color w:val="auto"/>
              </w:rPr>
            </w:pPr>
            <w:r>
              <w:rPr>
                <w:rFonts w:ascii="Arial" w:cs="Arial" w:eastAsia="Arial" w:hAnsi="Arial"/>
                <w:sz w:val="18"/>
                <w:szCs w:val="18"/>
                <w:color w:val="auto"/>
                <w:w w:val="91"/>
              </w:rPr>
              <w:t>Form of Stock Option Agreement (incorporated herein by reference to Exhibit 4.4 of the Company’s Form S-</w:t>
            </w:r>
          </w:p>
        </w:tc>
      </w:tr>
      <w:tr>
        <w:trPr>
          <w:trHeight w:val="230"/>
        </w:trPr>
        <w:tc>
          <w:tcPr>
            <w:tcW w:w="70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8 (File No. 333-144821) filed July 24, 2007).</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8060" w:type="dxa"/>
            <w:vAlign w:val="bottom"/>
          </w:tcPr>
          <w:p>
            <w:pPr>
              <w:ind w:left="180"/>
              <w:spacing w:after="0"/>
              <w:rPr>
                <w:sz w:val="20"/>
                <w:szCs w:val="20"/>
                <w:color w:val="auto"/>
              </w:rPr>
            </w:pPr>
            <w:r>
              <w:rPr>
                <w:rFonts w:ascii="Arial" w:cs="Arial" w:eastAsia="Arial" w:hAnsi="Arial"/>
                <w:sz w:val="18"/>
                <w:szCs w:val="18"/>
                <w:color w:val="auto"/>
                <w:w w:val="95"/>
              </w:rPr>
              <w:t>Certification of CEO pursuant to Rules 13a-14(a) and 15d-14(a) adopted pursuant to Section 302 of the</w:t>
            </w:r>
          </w:p>
        </w:tc>
      </w:tr>
      <w:tr>
        <w:trPr>
          <w:trHeight w:val="230"/>
        </w:trPr>
        <w:tc>
          <w:tcPr>
            <w:tcW w:w="70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Pr>
          <w:p>
            <w:pPr>
              <w:ind w:left="180"/>
              <w:spacing w:after="0"/>
              <w:rPr>
                <w:sz w:val="20"/>
                <w:szCs w:val="20"/>
                <w:color w:val="auto"/>
              </w:rPr>
            </w:pPr>
            <w:r>
              <w:rPr>
                <w:rFonts w:ascii="Arial" w:cs="Arial" w:eastAsia="Arial" w:hAnsi="Arial"/>
                <w:sz w:val="18"/>
                <w:szCs w:val="18"/>
                <w:color w:val="auto"/>
                <w:w w:val="95"/>
              </w:rPr>
              <w:t>Certification of CFO pursuant to Rules 13a-14(a) and 15d-14(a) adopted pursuant to Section 302 of the</w:t>
            </w:r>
          </w:p>
        </w:tc>
      </w:tr>
      <w:tr>
        <w:trPr>
          <w:trHeight w:val="230"/>
        </w:trPr>
        <w:tc>
          <w:tcPr>
            <w:tcW w:w="70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8060" w:type="dxa"/>
            <w:vAlign w:val="bottom"/>
          </w:tcPr>
          <w:p>
            <w:pPr>
              <w:ind w:left="180"/>
              <w:spacing w:after="0"/>
              <w:rPr>
                <w:sz w:val="20"/>
                <w:szCs w:val="20"/>
                <w:color w:val="auto"/>
              </w:rPr>
            </w:pPr>
            <w:r>
              <w:rPr>
                <w:rFonts w:ascii="Arial" w:cs="Arial" w:eastAsia="Arial" w:hAnsi="Arial"/>
                <w:sz w:val="18"/>
                <w:szCs w:val="18"/>
                <w:color w:val="auto"/>
                <w:w w:val="89"/>
              </w:rPr>
              <w:t>Certification of CEO pursuant to 18 U.S.C. Section 1350 as adopted pursuant to Section 906 of the Sarbanes-</w:t>
            </w:r>
          </w:p>
        </w:tc>
      </w:tr>
      <w:tr>
        <w:trPr>
          <w:trHeight w:val="230"/>
        </w:trPr>
        <w:tc>
          <w:tcPr>
            <w:tcW w:w="70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8060" w:type="dxa"/>
            <w:vAlign w:val="bottom"/>
          </w:tcPr>
          <w:p>
            <w:pPr>
              <w:ind w:left="180"/>
              <w:spacing w:after="0"/>
              <w:rPr>
                <w:sz w:val="20"/>
                <w:szCs w:val="20"/>
                <w:color w:val="auto"/>
              </w:rPr>
            </w:pPr>
            <w:r>
              <w:rPr>
                <w:rFonts w:ascii="Arial" w:cs="Arial" w:eastAsia="Arial" w:hAnsi="Arial"/>
                <w:sz w:val="18"/>
                <w:szCs w:val="18"/>
                <w:color w:val="auto"/>
                <w:w w:val="89"/>
              </w:rPr>
              <w:t>Certification of CFO pursuant to 18 U.S.C. Section 1350 as adopted pursuant to Section 906 of the Sarbanes-</w:t>
            </w:r>
          </w:p>
        </w:tc>
      </w:tr>
      <w:tr>
        <w:trPr>
          <w:trHeight w:val="230"/>
        </w:trPr>
        <w:tc>
          <w:tcPr>
            <w:tcW w:w="700" w:type="dxa"/>
            <w:vAlign w:val="bottom"/>
          </w:tcPr>
          <w:p>
            <w:pPr>
              <w:spacing w:after="0"/>
              <w:rPr>
                <w:sz w:val="20"/>
                <w:szCs w:val="20"/>
                <w:color w:val="auto"/>
              </w:rPr>
            </w:pPr>
          </w:p>
        </w:tc>
        <w:tc>
          <w:tcPr>
            <w:tcW w:w="8060" w:type="dxa"/>
            <w:vAlign w:val="bottom"/>
          </w:tcPr>
          <w:p>
            <w:pPr>
              <w:ind w:left="18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60" w:orient="portrait"/>
          <w:cols w:equalWidth="0" w:num="1">
            <w:col w:w="10219"/>
          </w:cols>
          <w:pgMar w:left="240" w:top="125" w:right="1440" w:bottom="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60" w:orient="portrait"/>
          <w:cols w:equalWidth="0" w:num="1">
            <w:col w:w="10219"/>
          </w:cols>
          <w:pgMar w:left="240" w:top="125" w:right="1440"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3"/>
          </w:tcPr>
          <w:p>
            <w:pPr>
              <w:ind w:left="320"/>
              <w:spacing w:after="0"/>
              <w:rPr>
                <w:sz w:val="20"/>
                <w:szCs w:val="20"/>
                <w:color w:val="auto"/>
              </w:rPr>
            </w:pPr>
            <w:r>
              <w:rPr>
                <w:rFonts w:ascii="Arial" w:cs="Arial" w:eastAsia="Arial" w:hAnsi="Arial"/>
                <w:sz w:val="18"/>
                <w:szCs w:val="18"/>
                <w:color w:val="auto"/>
              </w:rPr>
              <w:t>RUSH ENTERPRISES, INC.</w:t>
            </w:r>
          </w:p>
        </w:tc>
        <w:tc>
          <w:tcPr>
            <w:tcW w:w="0" w:type="dxa"/>
            <w:vAlign w:val="bottom"/>
          </w:tcPr>
          <w:p>
            <w:pPr>
              <w:spacing w:after="0"/>
              <w:rPr>
                <w:sz w:val="1"/>
                <w:szCs w:val="1"/>
                <w:color w:val="auto"/>
              </w:rPr>
            </w:pPr>
          </w:p>
        </w:tc>
      </w:tr>
      <w:tr>
        <w:trPr>
          <w:trHeight w:val="864"/>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2700" w:type="dxa"/>
            <w:vAlign w:val="bottom"/>
            <w:gridSpan w:val="3"/>
          </w:tcPr>
          <w:p>
            <w:pPr>
              <w:ind w:left="20"/>
              <w:spacing w:after="0"/>
              <w:rPr>
                <w:sz w:val="20"/>
                <w:szCs w:val="20"/>
                <w:color w:val="auto"/>
              </w:rPr>
            </w:pPr>
            <w:r>
              <w:rPr>
                <w:rFonts w:ascii="Arial" w:cs="Arial" w:eastAsia="Arial" w:hAnsi="Arial"/>
                <w:sz w:val="18"/>
                <w:szCs w:val="18"/>
                <w:color w:val="auto"/>
              </w:rPr>
              <w:t>August 9, 2007</w:t>
            </w:r>
          </w:p>
        </w:tc>
        <w:tc>
          <w:tcPr>
            <w:tcW w:w="2620" w:type="dxa"/>
            <w:vAlign w:val="bottom"/>
          </w:tcPr>
          <w:p>
            <w:pPr>
              <w:ind w:left="228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/S/ W.M. “RUSTY” RUSH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48"/>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2700" w:type="dxa"/>
            <w:vAlign w:val="bottom"/>
            <w:gridSpan w:val="3"/>
          </w:tcPr>
          <w:p>
            <w:pPr>
              <w:ind w:left="20"/>
              <w:spacing w:after="0"/>
              <w:rPr>
                <w:sz w:val="20"/>
                <w:szCs w:val="20"/>
                <w:color w:val="auto"/>
              </w:rPr>
            </w:pPr>
            <w:r>
              <w:rPr>
                <w:rFonts w:ascii="Arial" w:cs="Arial" w:eastAsia="Arial" w:hAnsi="Arial"/>
                <w:sz w:val="18"/>
                <w:szCs w:val="18"/>
                <w:color w:val="auto"/>
              </w:rPr>
              <w:t>August 9, 2007</w:t>
            </w:r>
          </w:p>
        </w:tc>
        <w:tc>
          <w:tcPr>
            <w:tcW w:w="2620" w:type="dxa"/>
            <w:vAlign w:val="bottom"/>
          </w:tcPr>
          <w:p>
            <w:pPr>
              <w:ind w:left="228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/S/ STEVEN L. KELLER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40" w:type="dxa"/>
            <w:vAlign w:val="bottom"/>
            <w:gridSpan w:val="3"/>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8180" w:type="dxa"/>
            <w:vAlign w:val="bottom"/>
            <w:tcBorders>
              <w:bottom w:val="single" w:sz="8" w:color="010101"/>
            </w:tcBorders>
            <w:gridSpan w:val="4"/>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20" w:type="dxa"/>
            <w:vAlign w:val="bottom"/>
            <w:gridSpan w:val="5"/>
          </w:tcPr>
          <w:p>
            <w:pPr>
              <w:ind w:left="1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2"/>
        </w:trPr>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380" w:type="dxa"/>
            <w:vAlign w:val="bottom"/>
          </w:tcPr>
          <w:p>
            <w:pPr>
              <w:spacing w:after="0"/>
              <w:rPr>
                <w:sz w:val="16"/>
                <w:szCs w:val="16"/>
                <w:color w:val="auto"/>
              </w:rPr>
            </w:pPr>
          </w:p>
        </w:tc>
        <w:tc>
          <w:tcPr>
            <w:tcW w:w="10240" w:type="dxa"/>
            <w:vAlign w:val="bottom"/>
            <w:tcBorders>
              <w:top w:val="single" w:sz="8" w:color="auto"/>
            </w:tcBorders>
            <w:gridSpan w:val="5"/>
          </w:tcPr>
          <w:p>
            <w:pPr>
              <w:spacing w:after="0" w:line="195" w:lineRule="exact"/>
              <w:rPr>
                <w:sz w:val="20"/>
                <w:szCs w:val="20"/>
                <w:color w:val="auto"/>
              </w:rPr>
            </w:pPr>
            <w:r>
              <w:rPr>
                <w:rFonts w:ascii="Arial" w:cs="Arial" w:eastAsia="Arial" w:hAnsi="Arial"/>
                <w:sz w:val="18"/>
                <w:szCs w:val="18"/>
                <w:color w:val="auto"/>
                <w:w w:val="96"/>
              </w:rPr>
              <w:t>Certification of CEO pursuant to Rules 13a-14(a) and 15d-14(a) adopted pursuant to Section 302 of the Sarbanes-Oxley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jc w:val="center"/>
              <w:spacing w:after="0"/>
              <w:rPr>
                <w:sz w:val="20"/>
                <w:szCs w:val="20"/>
                <w:color w:val="auto"/>
              </w:rPr>
            </w:pPr>
            <w:r>
              <w:rPr>
                <w:rFonts w:ascii="Arial" w:cs="Arial" w:eastAsia="Arial" w:hAnsi="Arial"/>
                <w:sz w:val="18"/>
                <w:szCs w:val="18"/>
                <w:color w:val="auto"/>
                <w:w w:val="95"/>
              </w:rPr>
              <w:t>31.2*</w:t>
            </w:r>
          </w:p>
        </w:tc>
        <w:tc>
          <w:tcPr>
            <w:tcW w:w="3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w w:val="97"/>
              </w:rPr>
              <w:t>Certification of CFO pursuant to Rules 13a-14(a) and 15d-14(a) adopted pursuant to Section 302 of the Sarbanes-Oxley Act of 2002.</w:t>
            </w:r>
          </w:p>
        </w:tc>
        <w:tc>
          <w:tcPr>
            <w:tcW w:w="0" w:type="dxa"/>
            <w:vAlign w:val="bottom"/>
          </w:tcPr>
          <w:p>
            <w:pPr>
              <w:spacing w:after="0"/>
              <w:rPr>
                <w:sz w:val="1"/>
                <w:szCs w:val="1"/>
                <w:color w:val="auto"/>
              </w:rPr>
            </w:pPr>
          </w:p>
        </w:tc>
      </w:tr>
      <w:tr>
        <w:trPr>
          <w:trHeight w:val="216"/>
        </w:trPr>
        <w:tc>
          <w:tcPr>
            <w:tcW w:w="800" w:type="dxa"/>
            <w:vAlign w:val="bottom"/>
            <w:gridSpan w:val="3"/>
          </w:tcPr>
          <w:p>
            <w:pPr>
              <w:jc w:val="cente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18"/>
                <w:szCs w:val="18"/>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30"/>
        </w:trPr>
        <w:tc>
          <w:tcPr>
            <w:tcW w:w="800" w:type="dxa"/>
            <w:vAlign w:val="bottom"/>
            <w:gridSpan w:val="3"/>
          </w:tcPr>
          <w:p>
            <w:pPr>
              <w:jc w:val="center"/>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0"/>
                <w:szCs w:val="20"/>
                <w:color w:val="auto"/>
              </w:rPr>
            </w:pPr>
          </w:p>
        </w:tc>
        <w:tc>
          <w:tcPr>
            <w:tcW w:w="10280" w:type="dxa"/>
            <w:vAlign w:val="bottom"/>
            <w:gridSpan w:val="6"/>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-1253490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-1253490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60" w:firstLine="656"/>
        <w:spacing w:after="0" w:line="264"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343"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53"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Date:August 9, 2007</w:t>
            </w:r>
          </w:p>
        </w:tc>
        <w:tc>
          <w:tcPr>
            <w:tcW w:w="2600" w:type="dxa"/>
            <w:vAlign w:val="bottom"/>
          </w:tcPr>
          <w:p>
            <w:pPr>
              <w:ind w:left="21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702"/>
        </w:trPr>
        <w:tc>
          <w:tcPr>
            <w:tcW w:w="3580" w:type="dxa"/>
            <w:vAlign w:val="bottom"/>
          </w:tcPr>
          <w:p>
            <w:pPr>
              <w:spacing w:after="0"/>
              <w:rPr>
                <w:sz w:val="24"/>
                <w:szCs w:val="24"/>
                <w:color w:val="auto"/>
              </w:rPr>
            </w:pPr>
          </w:p>
        </w:tc>
        <w:tc>
          <w:tcPr>
            <w:tcW w:w="2600" w:type="dxa"/>
            <w:vAlign w:val="bottom"/>
          </w:tcPr>
          <w:p>
            <w:pPr>
              <w:ind w:left="2080"/>
              <w:spacing w:after="0"/>
              <w:rPr>
                <w:sz w:val="20"/>
                <w:szCs w:val="20"/>
                <w:color w:val="auto"/>
              </w:rPr>
            </w:pPr>
            <w:r>
              <w:rPr>
                <w:rFonts w:ascii="Arial" w:cs="Arial" w:eastAsia="Arial" w:hAnsi="Arial"/>
                <w:sz w:val="18"/>
                <w:szCs w:val="18"/>
                <w:color w:val="auto"/>
              </w:rPr>
              <w:t>1</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58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20" w:firstLine="8"/>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80" w:firstLine="656"/>
        <w:spacing w:after="0" w:line="264" w:lineRule="auto"/>
        <w:tabs>
          <w:tab w:leader="none" w:pos="13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43"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60" w:firstLine="656"/>
        <w:spacing w:after="0" w:line="264"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8"/>
        <w:spacing w:after="0" w:line="308"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343"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00" w:firstLine="656"/>
        <w:spacing w:after="0" w:line="277" w:lineRule="auto"/>
        <w:tabs>
          <w:tab w:leader="none" w:pos="135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9, 2007</w:t>
            </w:r>
          </w:p>
        </w:tc>
        <w:tc>
          <w:tcPr>
            <w:tcW w:w="7740" w:type="dxa"/>
            <w:vAlign w:val="bottom"/>
            <w:gridSpan w:val="2"/>
          </w:tcPr>
          <w:p>
            <w:pPr>
              <w:ind w:left="2020"/>
              <w:spacing w:after="0"/>
              <w:rPr>
                <w:sz w:val="20"/>
                <w:szCs w:val="20"/>
                <w:color w:val="auto"/>
              </w:rPr>
            </w:pPr>
            <w:r>
              <w:rPr>
                <w:rFonts w:ascii="Arial" w:cs="Arial" w:eastAsia="Arial" w:hAnsi="Arial"/>
                <w:sz w:val="18"/>
                <w:szCs w:val="18"/>
                <w:color w:val="auto"/>
              </w:rPr>
              <w:t>By:   /S/ STEVEN L. KELLER</w:t>
            </w:r>
          </w:p>
        </w:tc>
        <w:tc>
          <w:tcPr>
            <w:tcW w:w="4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702"/>
        </w:trPr>
        <w:tc>
          <w:tcPr>
            <w:tcW w:w="368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68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2007,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488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5980" w:type="dxa"/>
            <w:vAlign w:val="bottom"/>
          </w:tcPr>
          <w:p>
            <w:pPr>
              <w:ind w:left="100"/>
              <w:spacing w:after="0"/>
              <w:rPr>
                <w:sz w:val="20"/>
                <w:szCs w:val="20"/>
                <w:color w:val="auto"/>
              </w:rPr>
            </w:pPr>
            <w:r>
              <w:rPr>
                <w:rFonts w:ascii="Arial" w:cs="Arial" w:eastAsia="Arial" w:hAnsi="Arial"/>
                <w:sz w:val="18"/>
                <w:szCs w:val="18"/>
                <w:color w:val="auto"/>
              </w:rPr>
              <w:t>/S/ W.M. “RUSTY” RUSH</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100" w:type="dxa"/>
            <w:vAlign w:val="bottom"/>
            <w:tcBorders>
              <w:top w:val="single" w:sz="8" w:color="auto"/>
            </w:tcBorders>
          </w:tcPr>
          <w:p>
            <w:pPr>
              <w:spacing w:after="0"/>
              <w:rPr>
                <w:sz w:val="16"/>
                <w:szCs w:val="16"/>
                <w:color w:val="auto"/>
              </w:rPr>
            </w:pPr>
          </w:p>
        </w:tc>
        <w:tc>
          <w:tcPr>
            <w:tcW w:w="5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9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5980" w:type="dxa"/>
            <w:vAlign w:val="bottom"/>
          </w:tcPr>
          <w:p>
            <w:pPr>
              <w:ind w:left="100"/>
              <w:spacing w:after="0"/>
              <w:rPr>
                <w:sz w:val="20"/>
                <w:szCs w:val="20"/>
                <w:color w:val="auto"/>
              </w:rPr>
            </w:pPr>
            <w:r>
              <w:rPr>
                <w:rFonts w:ascii="Arial" w:cs="Arial" w:eastAsia="Arial" w:hAnsi="Arial"/>
                <w:sz w:val="18"/>
                <w:szCs w:val="18"/>
                <w:color w:val="auto"/>
              </w:rPr>
              <w:t>August 9, 2007</w:t>
            </w:r>
          </w:p>
        </w:tc>
      </w:tr>
    </w:tbl>
    <w:p>
      <w:pPr>
        <w:spacing w:after="0" w:line="25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2007,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614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tcPr>
          <w:p>
            <w:pPr>
              <w:spacing w:after="0"/>
              <w:rPr>
                <w:sz w:val="20"/>
                <w:szCs w:val="20"/>
                <w:color w:val="auto"/>
              </w:rPr>
            </w:pPr>
            <w:r>
              <w:rPr>
                <w:rFonts w:ascii="Arial" w:cs="Arial" w:eastAsia="Arial" w:hAnsi="Arial"/>
                <w:sz w:val="18"/>
                <w:szCs w:val="18"/>
                <w:color w:val="auto"/>
              </w:rPr>
              <w:t>August 9, 2007</w:t>
            </w:r>
          </w:p>
        </w:tc>
      </w:tr>
    </w:tbl>
    <w:p>
      <w:pPr>
        <w:spacing w:after="0" w:line="25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2019-12-14T07:13:28Z</dcterms:created>
  <dcterms:modified xsi:type="dcterms:W3CDTF">2019-12-14T07:13:28Z</dcterms:modified>
</cp:coreProperties>
</file>