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60" w:right="400" w:hanging="652"/>
        <w:spacing w:after="0" w:line="237"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80" w:hanging="652"/>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6100" w:type="dxa"/>
            <w:vAlign w:val="bottom"/>
          </w:tcPr>
          <w:p>
            <w:pPr>
              <w:ind w:left="740"/>
              <w:spacing w:after="0"/>
              <w:rPr>
                <w:sz w:val="20"/>
                <w:szCs w:val="20"/>
                <w:color w:val="auto"/>
              </w:rPr>
            </w:pPr>
            <w:r>
              <w:rPr>
                <w:rFonts w:ascii="Arial" w:cs="Arial" w:eastAsia="Arial" w:hAnsi="Arial"/>
                <w:sz w:val="18"/>
                <w:szCs w:val="18"/>
                <w:b w:val="1"/>
                <w:bCs w:val="1"/>
                <w:color w:val="auto"/>
              </w:rPr>
              <w:t>to</w:t>
            </w:r>
          </w:p>
        </w:tc>
      </w:tr>
      <w:tr>
        <w:trPr>
          <w:trHeight w:val="432"/>
        </w:trPr>
        <w:tc>
          <w:tcPr>
            <w:tcW w:w="3840" w:type="dxa"/>
            <w:vAlign w:val="bottom"/>
          </w:tcPr>
          <w:p>
            <w:pPr>
              <w:spacing w:after="0"/>
              <w:rPr>
                <w:sz w:val="24"/>
                <w:szCs w:val="24"/>
                <w:color w:val="auto"/>
              </w:rPr>
            </w:pPr>
          </w:p>
        </w:tc>
        <w:tc>
          <w:tcPr>
            <w:tcW w:w="6100" w:type="dxa"/>
            <w:vAlign w:val="bottom"/>
          </w:tcPr>
          <w:p>
            <w:pPr>
              <w:jc w:val="center"/>
              <w:ind w:right="2270"/>
              <w:spacing w:after="0"/>
              <w:rPr>
                <w:sz w:val="20"/>
                <w:szCs w:val="20"/>
                <w:color w:val="auto"/>
              </w:rPr>
            </w:pPr>
            <w:r>
              <w:rPr>
                <w:rFonts w:ascii="Arial" w:cs="Arial" w:eastAsia="Arial" w:hAnsi="Arial"/>
                <w:sz w:val="18"/>
                <w:szCs w:val="18"/>
                <w:b w:val="1"/>
                <w:bCs w:val="1"/>
                <w:color w:val="auto"/>
                <w:w w:val="90"/>
              </w:rPr>
              <w:t>Commission file number 0-20797</w:t>
            </w:r>
          </w:p>
        </w:tc>
      </w:tr>
      <w:tr>
        <w:trPr>
          <w:trHeight w:val="566"/>
        </w:trPr>
        <w:tc>
          <w:tcPr>
            <w:tcW w:w="9940" w:type="dxa"/>
            <w:vAlign w:val="bottom"/>
            <w:gridSpan w:val="2"/>
          </w:tcPr>
          <w:p>
            <w:pPr>
              <w:jc w:val="center"/>
              <w:ind w:left="1378"/>
              <w:spacing w:after="0"/>
              <w:rPr>
                <w:sz w:val="20"/>
                <w:szCs w:val="20"/>
                <w:color w:val="auto"/>
              </w:rPr>
            </w:pPr>
            <w:r>
              <w:rPr>
                <w:rFonts w:ascii="Arial" w:cs="Arial" w:eastAsia="Arial" w:hAnsi="Arial"/>
                <w:sz w:val="32"/>
                <w:szCs w:val="32"/>
                <w:b w:val="1"/>
                <w:bCs w:val="1"/>
                <w:color w:val="auto"/>
                <w:w w:val="99"/>
              </w:rPr>
              <w:t>RUSH ENTERPRISES, INC.</w:t>
            </w:r>
          </w:p>
        </w:tc>
      </w:tr>
      <w:tr>
        <w:trPr>
          <w:trHeight w:val="230"/>
        </w:trPr>
        <w:tc>
          <w:tcPr>
            <w:tcW w:w="3840" w:type="dxa"/>
            <w:vAlign w:val="bottom"/>
          </w:tcPr>
          <w:p>
            <w:pPr>
              <w:spacing w:after="0"/>
              <w:rPr>
                <w:sz w:val="20"/>
                <w:szCs w:val="20"/>
                <w:color w:val="auto"/>
              </w:rPr>
            </w:pPr>
          </w:p>
        </w:tc>
        <w:tc>
          <w:tcPr>
            <w:tcW w:w="6100" w:type="dxa"/>
            <w:vAlign w:val="bottom"/>
          </w:tcPr>
          <w:p>
            <w:pPr>
              <w:jc w:val="center"/>
              <w:ind w:right="225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3840" w:type="dxa"/>
            <w:vAlign w:val="bottom"/>
          </w:tcPr>
          <w:p>
            <w:pPr>
              <w:jc w:val="center"/>
              <w:ind w:left="1638"/>
              <w:spacing w:after="0"/>
              <w:rPr>
                <w:sz w:val="20"/>
                <w:szCs w:val="20"/>
                <w:color w:val="auto"/>
              </w:rPr>
            </w:pPr>
            <w:r>
              <w:rPr>
                <w:rFonts w:ascii="Arial" w:cs="Arial" w:eastAsia="Arial" w:hAnsi="Arial"/>
                <w:sz w:val="18"/>
                <w:szCs w:val="18"/>
                <w:b w:val="1"/>
                <w:bCs w:val="1"/>
                <w:color w:val="auto"/>
                <w:w w:val="82"/>
              </w:rPr>
              <w:t>Texas</w:t>
            </w:r>
          </w:p>
        </w:tc>
        <w:tc>
          <w:tcPr>
            <w:tcW w:w="6100" w:type="dxa"/>
            <w:vAlign w:val="bottom"/>
          </w:tcPr>
          <w:p>
            <w:pPr>
              <w:jc w:val="right"/>
              <w:ind w:right="790"/>
              <w:spacing w:after="0"/>
              <w:rPr>
                <w:sz w:val="20"/>
                <w:szCs w:val="20"/>
                <w:color w:val="auto"/>
              </w:rPr>
            </w:pPr>
            <w:r>
              <w:rPr>
                <w:rFonts w:ascii="Arial" w:cs="Arial" w:eastAsia="Arial" w:hAnsi="Arial"/>
                <w:sz w:val="18"/>
                <w:szCs w:val="18"/>
                <w:b w:val="1"/>
                <w:bCs w:val="1"/>
                <w:color w:val="auto"/>
              </w:rPr>
              <w:t>74-1733016</w:t>
            </w:r>
          </w:p>
        </w:tc>
      </w:tr>
      <w:tr>
        <w:trPr>
          <w:trHeight w:val="216"/>
        </w:trPr>
        <w:tc>
          <w:tcPr>
            <w:tcW w:w="3840" w:type="dxa"/>
            <w:vAlign w:val="bottom"/>
          </w:tcPr>
          <w:p>
            <w:pPr>
              <w:jc w:val="center"/>
              <w:ind w:left="1638"/>
              <w:spacing w:after="0"/>
              <w:rPr>
                <w:sz w:val="20"/>
                <w:szCs w:val="20"/>
                <w:color w:val="auto"/>
              </w:rPr>
            </w:pPr>
            <w:r>
              <w:rPr>
                <w:rFonts w:ascii="Arial" w:cs="Arial" w:eastAsia="Arial" w:hAnsi="Arial"/>
                <w:sz w:val="18"/>
                <w:szCs w:val="18"/>
                <w:color w:val="auto"/>
                <w:w w:val="93"/>
              </w:rPr>
              <w:t>(State or other jurisdiction of</w:t>
            </w:r>
          </w:p>
        </w:tc>
        <w:tc>
          <w:tcPr>
            <w:tcW w:w="6100" w:type="dxa"/>
            <w:vAlign w:val="bottom"/>
          </w:tcPr>
          <w:p>
            <w:pPr>
              <w:jc w:val="center"/>
              <w:ind w:left="33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9940" w:type="dxa"/>
            <w:vAlign w:val="bottom"/>
            <w:gridSpan w:val="2"/>
          </w:tcPr>
          <w:p>
            <w:pPr>
              <w:jc w:val="center"/>
              <w:ind w:right="4270"/>
              <w:spacing w:after="0"/>
              <w:rPr>
                <w:sz w:val="20"/>
                <w:szCs w:val="20"/>
                <w:color w:val="auto"/>
              </w:rPr>
            </w:pPr>
            <w:r>
              <w:rPr>
                <w:rFonts w:ascii="Arial" w:cs="Arial" w:eastAsia="Arial" w:hAnsi="Arial"/>
                <w:sz w:val="18"/>
                <w:szCs w:val="18"/>
                <w:color w:val="auto"/>
                <w:w w:val="93"/>
              </w:rPr>
              <w:t>incorporation or organization)</w:t>
            </w:r>
          </w:p>
        </w:tc>
      </w:tr>
      <w:tr>
        <w:trPr>
          <w:trHeight w:val="468"/>
        </w:trPr>
        <w:tc>
          <w:tcPr>
            <w:tcW w:w="3840" w:type="dxa"/>
            <w:vAlign w:val="bottom"/>
          </w:tcPr>
          <w:p>
            <w:pPr>
              <w:spacing w:after="0"/>
              <w:rPr>
                <w:sz w:val="24"/>
                <w:szCs w:val="24"/>
                <w:color w:val="auto"/>
              </w:rPr>
            </w:pPr>
          </w:p>
        </w:tc>
        <w:tc>
          <w:tcPr>
            <w:tcW w:w="6100" w:type="dxa"/>
            <w:vAlign w:val="bottom"/>
          </w:tcPr>
          <w:p>
            <w:pPr>
              <w:jc w:val="center"/>
              <w:ind w:right="2270"/>
              <w:spacing w:after="0"/>
              <w:rPr>
                <w:sz w:val="20"/>
                <w:szCs w:val="20"/>
                <w:color w:val="auto"/>
              </w:rPr>
            </w:pPr>
            <w:r>
              <w:rPr>
                <w:rFonts w:ascii="Arial" w:cs="Arial" w:eastAsia="Arial" w:hAnsi="Arial"/>
                <w:sz w:val="18"/>
                <w:szCs w:val="18"/>
                <w:b w:val="1"/>
                <w:bCs w:val="1"/>
                <w:color w:val="auto"/>
                <w:w w:val="91"/>
              </w:rPr>
              <w:t>555 I.H. 35 South, Suite 500</w:t>
            </w:r>
          </w:p>
        </w:tc>
      </w:tr>
      <w:tr>
        <w:trPr>
          <w:trHeight w:val="220"/>
        </w:trPr>
        <w:tc>
          <w:tcPr>
            <w:tcW w:w="3840" w:type="dxa"/>
            <w:vAlign w:val="bottom"/>
          </w:tcPr>
          <w:p>
            <w:pPr>
              <w:spacing w:after="0"/>
              <w:rPr>
                <w:sz w:val="19"/>
                <w:szCs w:val="19"/>
                <w:color w:val="auto"/>
              </w:rPr>
            </w:pPr>
          </w:p>
        </w:tc>
        <w:tc>
          <w:tcPr>
            <w:tcW w:w="6100" w:type="dxa"/>
            <w:vAlign w:val="bottom"/>
          </w:tcPr>
          <w:p>
            <w:pPr>
              <w:jc w:val="center"/>
              <w:ind w:right="2250"/>
              <w:spacing w:after="0"/>
              <w:rPr>
                <w:sz w:val="20"/>
                <w:szCs w:val="20"/>
                <w:color w:val="auto"/>
              </w:rPr>
            </w:pPr>
            <w:r>
              <w:rPr>
                <w:rFonts w:ascii="Arial" w:cs="Arial" w:eastAsia="Arial" w:hAnsi="Arial"/>
                <w:sz w:val="18"/>
                <w:szCs w:val="18"/>
                <w:b w:val="1"/>
                <w:bCs w:val="1"/>
                <w:color w:val="auto"/>
                <w:w w:val="89"/>
              </w:rPr>
              <w:t>New Braunfels, Texas 78130</w:t>
            </w:r>
          </w:p>
        </w:tc>
      </w:tr>
      <w:tr>
        <w:trPr>
          <w:trHeight w:val="216"/>
        </w:trPr>
        <w:tc>
          <w:tcPr>
            <w:tcW w:w="3840" w:type="dxa"/>
            <w:vAlign w:val="bottom"/>
          </w:tcPr>
          <w:p>
            <w:pPr>
              <w:spacing w:after="0"/>
              <w:rPr>
                <w:sz w:val="18"/>
                <w:szCs w:val="18"/>
                <w:color w:val="auto"/>
              </w:rPr>
            </w:pPr>
          </w:p>
        </w:tc>
        <w:tc>
          <w:tcPr>
            <w:tcW w:w="6100" w:type="dxa"/>
            <w:vAlign w:val="bottom"/>
          </w:tcPr>
          <w:p>
            <w:pPr>
              <w:jc w:val="center"/>
              <w:ind w:right="2270"/>
              <w:spacing w:after="0"/>
              <w:rPr>
                <w:sz w:val="20"/>
                <w:szCs w:val="20"/>
                <w:color w:val="auto"/>
              </w:rPr>
            </w:pPr>
            <w:r>
              <w:rPr>
                <w:rFonts w:ascii="Arial" w:cs="Arial" w:eastAsia="Arial" w:hAnsi="Arial"/>
                <w:sz w:val="18"/>
                <w:szCs w:val="18"/>
                <w:color w:val="auto"/>
                <w:w w:val="92"/>
              </w:rPr>
              <w:t>(Address of principal executive offices)</w:t>
            </w:r>
          </w:p>
        </w:tc>
      </w:tr>
      <w:tr>
        <w:trPr>
          <w:trHeight w:val="230"/>
        </w:trPr>
        <w:tc>
          <w:tcPr>
            <w:tcW w:w="3840" w:type="dxa"/>
            <w:vAlign w:val="bottom"/>
          </w:tcPr>
          <w:p>
            <w:pPr>
              <w:spacing w:after="0"/>
              <w:rPr>
                <w:sz w:val="20"/>
                <w:szCs w:val="20"/>
                <w:color w:val="auto"/>
              </w:rPr>
            </w:pPr>
          </w:p>
        </w:tc>
        <w:tc>
          <w:tcPr>
            <w:tcW w:w="6100" w:type="dxa"/>
            <w:vAlign w:val="bottom"/>
          </w:tcPr>
          <w:p>
            <w:pPr>
              <w:jc w:val="center"/>
              <w:ind w:right="2250"/>
              <w:spacing w:after="0"/>
              <w:rPr>
                <w:sz w:val="20"/>
                <w:szCs w:val="20"/>
                <w:color w:val="auto"/>
              </w:rPr>
            </w:pPr>
            <w:r>
              <w:rPr>
                <w:rFonts w:ascii="Arial" w:cs="Arial" w:eastAsia="Arial" w:hAnsi="Arial"/>
                <w:sz w:val="18"/>
                <w:szCs w:val="18"/>
                <w:color w:val="auto"/>
                <w:w w:val="94"/>
              </w:rPr>
              <w:t>(Zip Code)</w:t>
            </w:r>
          </w:p>
        </w:tc>
      </w:tr>
      <w:tr>
        <w:trPr>
          <w:trHeight w:val="418"/>
        </w:trPr>
        <w:tc>
          <w:tcPr>
            <w:tcW w:w="3840" w:type="dxa"/>
            <w:vAlign w:val="bottom"/>
          </w:tcPr>
          <w:p>
            <w:pPr>
              <w:spacing w:after="0"/>
              <w:rPr>
                <w:sz w:val="24"/>
                <w:szCs w:val="24"/>
                <w:color w:val="auto"/>
              </w:rPr>
            </w:pPr>
          </w:p>
        </w:tc>
        <w:tc>
          <w:tcPr>
            <w:tcW w:w="6100" w:type="dxa"/>
            <w:vAlign w:val="bottom"/>
          </w:tcPr>
          <w:p>
            <w:pPr>
              <w:jc w:val="center"/>
              <w:ind w:right="2250"/>
              <w:spacing w:after="0"/>
              <w:rPr>
                <w:sz w:val="20"/>
                <w:szCs w:val="20"/>
                <w:color w:val="auto"/>
              </w:rPr>
            </w:pPr>
            <w:r>
              <w:rPr>
                <w:rFonts w:ascii="Arial" w:cs="Arial" w:eastAsia="Arial" w:hAnsi="Arial"/>
                <w:sz w:val="18"/>
                <w:szCs w:val="18"/>
                <w:b w:val="1"/>
                <w:bCs w:val="1"/>
                <w:color w:val="auto"/>
                <w:w w:val="90"/>
              </w:rPr>
              <w:t>(830) 626-5200</w:t>
            </w:r>
          </w:p>
        </w:tc>
      </w:tr>
      <w:tr>
        <w:trPr>
          <w:trHeight w:val="230"/>
        </w:trPr>
        <w:tc>
          <w:tcPr>
            <w:tcW w:w="9940" w:type="dxa"/>
            <w:vAlign w:val="bottom"/>
            <w:gridSpan w:val="2"/>
          </w:tcPr>
          <w:p>
            <w:pPr>
              <w:jc w:val="center"/>
              <w:ind w:left="1378"/>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202" w:lineRule="exact"/>
        <w:rPr>
          <w:sz w:val="24"/>
          <w:szCs w:val="24"/>
          <w:color w:val="auto"/>
        </w:rPr>
      </w:pPr>
    </w:p>
    <w:p>
      <w:pPr>
        <w:jc w:val="both"/>
        <w:ind w:right="260" w:firstLine="648"/>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60"/>
          </w:cols>
          <w:pgMar w:left="240" w:top="530" w:right="199" w:bottom="0" w:gutter="0" w:footer="0" w:header="0"/>
        </w:sectPr>
      </w:pPr>
    </w:p>
    <w:p>
      <w:pPr>
        <w:ind w:left="4540"/>
        <w:spacing w:after="0"/>
        <w:rPr>
          <w:sz w:val="20"/>
          <w:szCs w:val="20"/>
          <w:color w:val="auto"/>
        </w:rPr>
      </w:pPr>
      <w:r>
        <w:rPr>
          <w:rFonts w:ascii="Arial" w:cs="Arial" w:eastAsia="Arial" w:hAnsi="Arial"/>
          <w:sz w:val="15"/>
          <w:szCs w:val="15"/>
          <w:color w:val="auto"/>
        </w:rPr>
        <w:t>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No o</w:t>
      </w:r>
    </w:p>
    <w:p>
      <w:pPr>
        <w:spacing w:after="0" w:line="200" w:lineRule="exact"/>
        <w:rPr>
          <w:sz w:val="24"/>
          <w:szCs w:val="24"/>
          <w:color w:val="auto"/>
        </w:rPr>
      </w:pPr>
    </w:p>
    <w:p>
      <w:pPr>
        <w:sectPr>
          <w:pgSz w:w="11900" w:h="16838" w:orient="portrait"/>
          <w:cols w:equalWidth="0" w:num="2">
            <w:col w:w="4940" w:space="460"/>
            <w:col w:w="6060"/>
          </w:cols>
          <w:pgMar w:left="240" w:top="530" w:right="199" w:bottom="0" w:gutter="0" w:footer="0" w:header="0"/>
          <w:type w:val="continuous"/>
        </w:sectPr>
      </w:pPr>
    </w:p>
    <w:p>
      <w:pPr>
        <w:spacing w:after="0" w:line="11" w:lineRule="exact"/>
        <w:rPr>
          <w:sz w:val="24"/>
          <w:szCs w:val="24"/>
          <w:color w:val="auto"/>
        </w:rPr>
      </w:pPr>
    </w:p>
    <w:p>
      <w:pPr>
        <w:ind w:right="960" w:firstLine="648"/>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60"/>
          </w:cols>
          <w:pgMar w:left="240" w:top="530" w:right="199" w:bottom="0" w:gutter="0" w:footer="0" w:header="0"/>
          <w:type w:val="continuous"/>
        </w:sectPr>
      </w:pPr>
    </w:p>
    <w:p>
      <w:pPr>
        <w:spacing w:after="0" w:line="1" w:lineRule="exact"/>
        <w:rPr>
          <w:sz w:val="24"/>
          <w:szCs w:val="24"/>
          <w:color w:val="auto"/>
        </w:rPr>
      </w:pPr>
    </w:p>
    <w:p>
      <w:pPr>
        <w:ind w:left="900"/>
        <w:spacing w:after="0"/>
        <w:tabs>
          <w:tab w:leader="none" w:pos="38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Non-accelerated filer o</w:t>
      </w:r>
    </w:p>
    <w:p>
      <w:pPr>
        <w:spacing w:after="0" w:line="222" w:lineRule="exact"/>
        <w:rPr>
          <w:sz w:val="24"/>
          <w:szCs w:val="24"/>
          <w:color w:val="auto"/>
        </w:rPr>
      </w:pPr>
    </w:p>
    <w:p>
      <w:pPr>
        <w:sectPr>
          <w:pgSz w:w="11900" w:h="16838" w:orient="portrait"/>
          <w:cols w:equalWidth="0" w:num="2">
            <w:col w:w="5640" w:space="720"/>
            <w:col w:w="5100"/>
          </w:cols>
          <w:pgMar w:left="240" w:top="530" w:right="199" w:bottom="0" w:gutter="0" w:footer="0" w:header="0"/>
          <w:type w:val="continuous"/>
        </w:sectPr>
      </w:pPr>
    </w:p>
    <w:p>
      <w:pPr>
        <w:spacing w:after="0" w:line="65"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4540"/>
        <w:spacing w:after="0"/>
        <w:tabs>
          <w:tab w:leader="none" w:pos="53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ectPr>
          <w:pgSz w:w="11900" w:h="16838" w:orient="portrait"/>
          <w:cols w:equalWidth="0" w:num="1">
            <w:col w:w="11460"/>
          </w:cols>
          <w:pgMar w:left="240" w:top="530" w:right="199" w:bottom="0" w:gutter="0" w:footer="0" w:header="0"/>
          <w:type w:val="continuous"/>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May 2, 2007.</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Title of Class</w:t>
            </w:r>
          </w:p>
        </w:tc>
        <w:tc>
          <w:tcPr>
            <w:tcW w:w="1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4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660" w:type="dxa"/>
            <w:vAlign w:val="bottom"/>
            <w:gridSpan w:val="2"/>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4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$.01 Par Value</w:t>
            </w:r>
          </w:p>
        </w:tc>
        <w:tc>
          <w:tcPr>
            <w:tcW w:w="200" w:type="dxa"/>
            <w:vAlign w:val="bottom"/>
          </w:tcPr>
          <w:p>
            <w:pPr>
              <w:spacing w:after="0"/>
              <w:rPr>
                <w:sz w:val="16"/>
                <w:szCs w:val="16"/>
                <w:color w:val="auto"/>
              </w:rPr>
            </w:pP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17,254,855</w:t>
            </w:r>
          </w:p>
        </w:tc>
        <w:tc>
          <w:tcPr>
            <w:tcW w:w="4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Class B Common Stock, $.01 Par Value</w:t>
            </w:r>
          </w:p>
        </w:tc>
        <w:tc>
          <w:tcPr>
            <w:tcW w:w="1280" w:type="dxa"/>
            <w:vAlign w:val="bottom"/>
          </w:tcPr>
          <w:p>
            <w:pPr>
              <w:jc w:val="right"/>
              <w:spacing w:after="0"/>
              <w:rPr>
                <w:sz w:val="20"/>
                <w:szCs w:val="20"/>
                <w:color w:val="auto"/>
              </w:rPr>
            </w:pPr>
            <w:r>
              <w:rPr>
                <w:rFonts w:ascii="Arial" w:cs="Arial" w:eastAsia="Arial" w:hAnsi="Arial"/>
                <w:sz w:val="18"/>
                <w:szCs w:val="18"/>
                <w:color w:val="auto"/>
              </w:rPr>
              <w:t>8,122,615</w:t>
            </w:r>
          </w:p>
        </w:tc>
        <w:tc>
          <w:tcPr>
            <w:tcW w:w="4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5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5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5"/>
        </w:trPr>
        <w:tc>
          <w:tcPr>
            <w:tcW w:w="54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44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pacing w:after="0" w:line="229" w:lineRule="exact"/>
        <w:rPr>
          <w:sz w:val="24"/>
          <w:szCs w:val="24"/>
          <w:color w:val="auto"/>
        </w:rPr>
      </w:pPr>
    </w:p>
    <w:p>
      <w:pPr>
        <w:ind w:left="540"/>
        <w:spacing w:after="0"/>
        <w:tabs>
          <w:tab w:leader="none" w:pos="156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25" w:lineRule="exact"/>
        <w:rPr>
          <w:sz w:val="20"/>
          <w:szCs w:val="20"/>
          <w:color w:val="auto"/>
        </w:rPr>
      </w:pPr>
    </w:p>
    <w:p>
      <w:pPr>
        <w:ind w:left="15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Balance Sheets - March 31, 2007 (unaudited) and December 31, 2006</w:t>
        </w:r>
      </w:hyperlink>
    </w:p>
    <w:p>
      <w:pPr>
        <w:sectPr>
          <w:pgSz w:w="11900" w:h="16838" w:orient="portrait"/>
          <w:cols w:equalWidth="0" w:num="1">
            <w:col w:w="11460"/>
          </w:cols>
          <w:pgMar w:left="240" w:top="530" w:right="199" w:bottom="0" w:gutter="0" w:footer="0" w:header="0"/>
          <w:type w:val="continuous"/>
        </w:sectPr>
      </w:pPr>
    </w:p>
    <w:bookmarkStart w:id="1" w:name="page2"/>
    <w:bookmarkEnd w:id="1"/>
    <w:p>
      <w:pPr>
        <w:ind w:left="15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Income - For the Three Months Ended March 31, 2007 and 2006 (unaudited)</w:t>
        </w:r>
      </w:hyperlink>
    </w:p>
    <w:p>
      <w:pPr>
        <w:spacing w:after="0" w:line="225" w:lineRule="exact"/>
        <w:rPr>
          <w:sz w:val="20"/>
          <w:szCs w:val="20"/>
          <w:color w:val="auto"/>
        </w:rPr>
      </w:pPr>
    </w:p>
    <w:p>
      <w:pPr>
        <w:ind w:left="15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Cash Flows - For the Three Months Ended March 31, 2007 and 2006 (unaudited)</w:t>
        </w:r>
      </w:hyperlink>
    </w:p>
    <w:p>
      <w:pPr>
        <w:spacing w:after="0" w:line="225" w:lineRule="exact"/>
        <w:rPr>
          <w:sz w:val="20"/>
          <w:szCs w:val="20"/>
          <w:color w:val="auto"/>
        </w:rPr>
      </w:pPr>
    </w:p>
    <w:p>
      <w:pPr>
        <w:ind w:left="15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Consolidated Financial Statements (unaudited)</w:t>
        </w:r>
      </w:hyperlink>
    </w:p>
    <w:p>
      <w:pPr>
        <w:spacing w:after="0" w:line="225" w:lineRule="exact"/>
        <w:rPr>
          <w:sz w:val="20"/>
          <w:szCs w:val="20"/>
          <w:color w:val="auto"/>
        </w:rPr>
      </w:pPr>
    </w:p>
    <w:p>
      <w:pPr>
        <w:ind w:left="540"/>
        <w:spacing w:after="0"/>
        <w:tabs>
          <w:tab w:leader="none" w:pos="156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Management’s Discussion and Analysis of Financial Condition and Results of Operations</w:t>
        </w:r>
      </w:hyperlink>
    </w:p>
    <w:p>
      <w:pPr>
        <w:spacing w:after="0" w:line="225" w:lineRule="exact"/>
        <w:rPr>
          <w:sz w:val="20"/>
          <w:szCs w:val="20"/>
          <w:color w:val="auto"/>
        </w:rPr>
      </w:pPr>
    </w:p>
    <w:p>
      <w:pPr>
        <w:ind w:left="540"/>
        <w:spacing w:after="0"/>
        <w:tabs>
          <w:tab w:leader="none" w:pos="1560" w:val="left"/>
        </w:tabs>
        <w:rPr>
          <w:rFonts w:ascii="Arial" w:cs="Arial" w:eastAsia="Arial" w:hAnsi="Arial"/>
          <w:sz w:val="16"/>
          <w:szCs w:val="16"/>
          <w:u w:val="single" w:color="auto"/>
          <w:color w:val="0000EE"/>
        </w:rPr>
      </w:pPr>
      <w:hyperlink w:anchor="page15">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15">
        <w:r>
          <w:rPr>
            <w:rFonts w:ascii="Arial" w:cs="Arial" w:eastAsia="Arial" w:hAnsi="Arial"/>
            <w:sz w:val="16"/>
            <w:szCs w:val="16"/>
            <w:u w:val="single" w:color="auto"/>
            <w:color w:val="0000EE"/>
          </w:rPr>
          <w:t>Quantitative and Qualitative Disclosures about Market Risk</w:t>
        </w:r>
      </w:hyperlink>
    </w:p>
    <w:p>
      <w:pPr>
        <w:spacing w:after="0" w:line="225" w:lineRule="exact"/>
        <w:rPr>
          <w:sz w:val="20"/>
          <w:szCs w:val="20"/>
          <w:color w:val="auto"/>
        </w:rPr>
      </w:pPr>
    </w:p>
    <w:p>
      <w:pPr>
        <w:ind w:left="540"/>
        <w:spacing w:after="0"/>
        <w:tabs>
          <w:tab w:leader="none" w:pos="1560" w:val="left"/>
        </w:tabs>
        <w:rPr>
          <w:rFonts w:ascii="Arial" w:cs="Arial" w:eastAsia="Arial" w:hAnsi="Arial"/>
          <w:sz w:val="15"/>
          <w:szCs w:val="15"/>
          <w:u w:val="single" w:color="auto"/>
          <w:color w:val="0000EE"/>
        </w:rPr>
      </w:pPr>
      <w:hyperlink w:anchor="page15">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15">
        <w:r>
          <w:rPr>
            <w:rFonts w:ascii="Arial" w:cs="Arial" w:eastAsia="Arial" w:hAnsi="Arial"/>
            <w:sz w:val="15"/>
            <w:szCs w:val="15"/>
            <w:u w:val="single" w:color="auto"/>
            <w:color w:val="0000EE"/>
          </w:rPr>
          <w:t>Controls and Procedures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gridSpan w:val="21"/>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PART II. OTHER INFORMATION</w:t>
              </w:r>
            </w:hyperlink>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1.</w:t>
              </w:r>
            </w:hyperlink>
          </w:p>
        </w:tc>
        <w:tc>
          <w:tcPr>
            <w:tcW w:w="480" w:type="dxa"/>
            <w:vAlign w:val="bottom"/>
            <w:gridSpan w:val="2"/>
          </w:tcPr>
          <w:p>
            <w:pPr>
              <w:spacing w:after="0"/>
              <w:rPr>
                <w:sz w:val="24"/>
                <w:szCs w:val="24"/>
                <w:color w:val="auto"/>
              </w:rPr>
            </w:pPr>
          </w:p>
        </w:tc>
        <w:tc>
          <w:tcPr>
            <w:tcW w:w="7440" w:type="dxa"/>
            <w:vAlign w:val="bottom"/>
            <w:gridSpan w:val="15"/>
          </w:tcPr>
          <w:p>
            <w:pPr>
              <w:ind w:left="40"/>
              <w:spacing w:after="0"/>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1A.</w:t>
              </w:r>
            </w:hyperlink>
          </w:p>
        </w:tc>
        <w:tc>
          <w:tcPr>
            <w:tcW w:w="7440" w:type="dxa"/>
            <w:vAlign w:val="bottom"/>
            <w:gridSpan w:val="15"/>
          </w:tcPr>
          <w:p>
            <w:pPr>
              <w:ind w:left="40"/>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40" w:type="dxa"/>
            <w:vAlign w:val="bottom"/>
            <w:gridSpan w:val="15"/>
          </w:tcPr>
          <w:p>
            <w:pPr>
              <w:ind w:left="40"/>
              <w:spacing w:after="0"/>
              <w:rPr>
                <w:rFonts w:ascii="Arial" w:cs="Arial" w:eastAsia="Arial" w:hAnsi="Arial"/>
                <w:sz w:val="18"/>
                <w:szCs w:val="18"/>
                <w:color w:val="0000EE"/>
              </w:rPr>
            </w:pPr>
            <w:hyperlink w:anchor="page15">
              <w:r>
                <w:rPr>
                  <w:rFonts w:ascii="Arial" w:cs="Arial" w:eastAsia="Arial" w:hAnsi="Arial"/>
                  <w:sz w:val="18"/>
                  <w:szCs w:val="18"/>
                  <w:color w:val="0000EE"/>
                </w:rPr>
                <w:t>Unregistered Sales of Equity Securities and Use of Proceeds</w:t>
              </w:r>
            </w:hyperlink>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3.</w:t>
              </w:r>
            </w:hyperlink>
          </w:p>
        </w:tc>
        <w:tc>
          <w:tcPr>
            <w:tcW w:w="480" w:type="dxa"/>
            <w:vAlign w:val="bottom"/>
            <w:gridSpan w:val="2"/>
          </w:tcPr>
          <w:p>
            <w:pPr>
              <w:spacing w:after="0"/>
              <w:rPr>
                <w:sz w:val="24"/>
                <w:szCs w:val="24"/>
                <w:color w:val="auto"/>
              </w:rPr>
            </w:pPr>
          </w:p>
        </w:tc>
        <w:tc>
          <w:tcPr>
            <w:tcW w:w="7440" w:type="dxa"/>
            <w:vAlign w:val="bottom"/>
            <w:gridSpan w:val="15"/>
          </w:tcPr>
          <w:p>
            <w:pPr>
              <w:ind w:left="40"/>
              <w:spacing w:after="0"/>
              <w:rPr>
                <w:rFonts w:ascii="Arial" w:cs="Arial" w:eastAsia="Arial" w:hAnsi="Arial"/>
                <w:sz w:val="18"/>
                <w:szCs w:val="18"/>
                <w:color w:val="0000EE"/>
              </w:rPr>
            </w:pPr>
            <w:hyperlink w:anchor="page15">
              <w:r>
                <w:rPr>
                  <w:rFonts w:ascii="Arial" w:cs="Arial" w:eastAsia="Arial" w:hAnsi="Arial"/>
                  <w:sz w:val="18"/>
                  <w:szCs w:val="18"/>
                  <w:color w:val="0000EE"/>
                </w:rPr>
                <w:t>Defaults Upon Senior Securities</w:t>
              </w:r>
            </w:hyperlink>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4.</w:t>
              </w:r>
            </w:hyperlink>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40" w:type="dxa"/>
            <w:vAlign w:val="bottom"/>
            <w:gridSpan w:val="15"/>
          </w:tcPr>
          <w:p>
            <w:pPr>
              <w:ind w:left="40"/>
              <w:spacing w:after="0"/>
              <w:rPr>
                <w:rFonts w:ascii="Arial" w:cs="Arial" w:eastAsia="Arial" w:hAnsi="Arial"/>
                <w:sz w:val="18"/>
                <w:szCs w:val="18"/>
                <w:color w:val="0000EE"/>
              </w:rPr>
            </w:pPr>
            <w:hyperlink w:anchor="page16">
              <w:r>
                <w:rPr>
                  <w:rFonts w:ascii="Arial" w:cs="Arial" w:eastAsia="Arial" w:hAnsi="Arial"/>
                  <w:sz w:val="18"/>
                  <w:szCs w:val="18"/>
                  <w:color w:val="0000EE"/>
                </w:rPr>
                <w:t>Submission of Matters to a Vote of Security Holders</w:t>
              </w:r>
            </w:hyperlink>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5.</w:t>
              </w:r>
            </w:hyperlink>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40" w:type="dxa"/>
            <w:vAlign w:val="bottom"/>
            <w:gridSpan w:val="15"/>
          </w:tcPr>
          <w:p>
            <w:pPr>
              <w:ind w:left="40"/>
              <w:spacing w:after="0"/>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6.</w:t>
              </w:r>
            </w:hyperlink>
          </w:p>
        </w:tc>
        <w:tc>
          <w:tcPr>
            <w:tcW w:w="480" w:type="dxa"/>
            <w:vAlign w:val="bottom"/>
            <w:gridSpan w:val="2"/>
          </w:tcPr>
          <w:p>
            <w:pPr>
              <w:spacing w:after="0"/>
              <w:rPr>
                <w:sz w:val="24"/>
                <w:szCs w:val="24"/>
                <w:color w:val="auto"/>
              </w:rPr>
            </w:pPr>
          </w:p>
        </w:tc>
        <w:tc>
          <w:tcPr>
            <w:tcW w:w="7440" w:type="dxa"/>
            <w:vAlign w:val="bottom"/>
            <w:gridSpan w:val="15"/>
          </w:tcPr>
          <w:p>
            <w:pPr>
              <w:ind w:left="40"/>
              <w:spacing w:after="0"/>
              <w:rPr>
                <w:rFonts w:ascii="Arial" w:cs="Arial" w:eastAsia="Arial" w:hAnsi="Arial"/>
                <w:sz w:val="18"/>
                <w:szCs w:val="18"/>
                <w:color w:val="0000EE"/>
              </w:rPr>
            </w:pPr>
            <w:hyperlink w:anchor="page16">
              <w:r>
                <w:rPr>
                  <w:rFonts w:ascii="Arial" w:cs="Arial" w:eastAsia="Arial" w:hAnsi="Arial"/>
                  <w:sz w:val="18"/>
                  <w:szCs w:val="18"/>
                  <w:color w:val="0000EE"/>
                </w:rPr>
                <w:t>Exhibits</w:t>
              </w:r>
            </w:hyperlink>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40" w:type="dxa"/>
            <w:vAlign w:val="bottom"/>
            <w:gridSpan w:val="6"/>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SIGNATURES</w:t>
              </w:r>
            </w:hyperlink>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380" w:type="dxa"/>
            <w:vAlign w:val="bottom"/>
            <w:gridSpan w:val="11"/>
          </w:tcPr>
          <w:p>
            <w:pPr>
              <w:jc w:val="center"/>
              <w:ind w:left="3870"/>
              <w:spacing w:after="0"/>
              <w:rPr>
                <w:sz w:val="20"/>
                <w:szCs w:val="20"/>
                <w:color w:val="auto"/>
              </w:rPr>
            </w:pPr>
            <w:r>
              <w:rPr>
                <w:rFonts w:ascii="Arial" w:cs="Arial" w:eastAsia="Arial" w:hAnsi="Arial"/>
                <w:sz w:val="18"/>
                <w:szCs w:val="18"/>
                <w:color w:val="auto"/>
                <w:w w:val="99"/>
              </w:rPr>
              <w:t>2</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gridSpan w:val="2"/>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8980" w:type="dxa"/>
            <w:vAlign w:val="bottom"/>
            <w:gridSpan w:val="21"/>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80" w:type="dxa"/>
            <w:vAlign w:val="bottom"/>
            <w:gridSpan w:val="21"/>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17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auto"/>
            </w:tcBorders>
            <w:gridSpan w:val="5"/>
          </w:tcPr>
          <w:p>
            <w:pPr>
              <w:jc w:val="center"/>
              <w:spacing w:after="0" w:line="196" w:lineRule="exact"/>
              <w:rPr>
                <w:sz w:val="20"/>
                <w:szCs w:val="20"/>
                <w:color w:val="auto"/>
              </w:rPr>
            </w:pPr>
            <w:r>
              <w:rPr>
                <w:rFonts w:ascii="Arial" w:cs="Arial" w:eastAsia="Arial" w:hAnsi="Arial"/>
                <w:sz w:val="18"/>
                <w:szCs w:val="18"/>
                <w:b w:val="1"/>
                <w:bCs w:val="1"/>
                <w:color w:val="auto"/>
                <w:w w:val="96"/>
              </w:rPr>
              <w:t>MARCH 31, 2007 AND DECEMBER 31, 2006</w:t>
            </w:r>
          </w:p>
        </w:tc>
        <w:tc>
          <w:tcPr>
            <w:tcW w:w="14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20" w:type="dxa"/>
            <w:vAlign w:val="bottom"/>
            <w:gridSpan w:val="6"/>
          </w:tcPr>
          <w:p>
            <w:pPr>
              <w:jc w:val="center"/>
              <w:ind w:right="1700"/>
              <w:spacing w:after="0"/>
              <w:rPr>
                <w:sz w:val="20"/>
                <w:szCs w:val="20"/>
                <w:color w:val="auto"/>
              </w:rPr>
            </w:pPr>
            <w:r>
              <w:rPr>
                <w:rFonts w:ascii="Arial" w:cs="Arial" w:eastAsia="Arial" w:hAnsi="Arial"/>
                <w:sz w:val="18"/>
                <w:szCs w:val="18"/>
                <w:b w:val="1"/>
                <w:bCs w:val="1"/>
                <w:color w:val="auto"/>
                <w:w w:val="89"/>
              </w:rPr>
              <w:t>(In Thousands, Except Shares)</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32"/>
              <w:spacing w:after="0"/>
              <w:rPr>
                <w:sz w:val="20"/>
                <w:szCs w:val="20"/>
                <w:color w:val="auto"/>
              </w:rPr>
            </w:pPr>
            <w:r>
              <w:rPr>
                <w:rFonts w:ascii="Arial" w:cs="Arial" w:eastAsia="Arial" w:hAnsi="Arial"/>
                <w:sz w:val="14"/>
                <w:szCs w:val="14"/>
                <w:b w:val="1"/>
                <w:bCs w:val="1"/>
                <w:color w:val="auto"/>
                <w:w w:val="99"/>
              </w:rPr>
              <w:t>March 31,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2007</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52"/>
              <w:spacing w:after="0" w:line="129"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lef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tcBorders>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162,096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0"/>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0"/>
          </w:tcPr>
          <w:p>
            <w:pPr>
              <w:ind w:left="16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gridSpan w:val="20"/>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717,999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730,319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5"/>
          </w:tcPr>
          <w:p>
            <w:pPr>
              <w:spacing w:after="0"/>
              <w:rPr>
                <w:sz w:val="20"/>
                <w:szCs w:val="20"/>
                <w:color w:val="auto"/>
              </w:rPr>
            </w:pPr>
            <w:r>
              <w:rPr>
                <w:rFonts w:ascii="Arial" w:cs="Arial" w:eastAsia="Arial" w:hAnsi="Arial"/>
                <w:sz w:val="18"/>
                <w:szCs w:val="18"/>
                <w:color w:val="auto"/>
              </w:rPr>
              <w:t>Goodwill, net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119,905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1,128,497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9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Current liabilities:</w:t>
            </w: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Floor plan 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435,332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0"/>
          </w:tcPr>
          <w:p>
            <w:pPr>
              <w:ind w:left="16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0"/>
            <w:shd w:val="clear" w:color="auto" w:fill="CCEEFF"/>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0"/>
          </w:tcPr>
          <w:p>
            <w:pPr>
              <w:ind w:left="16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0"/>
              </w:rPr>
              <w:t>Accrued expenses</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gridSpan w:val="20"/>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554,349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left w:val="single" w:sz="8" w:color="CCEEFF"/>
            </w:tcBorders>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0"/>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169,711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0"/>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-5507355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-5507355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Shareholders’ equity:</w:t>
      </w:r>
    </w:p>
    <w:p>
      <w:pPr>
        <w:sectPr>
          <w:pgSz w:w="11900" w:h="16838" w:orient="portrait"/>
          <w:cols w:equalWidth="0" w:num="1">
            <w:col w:w="11460"/>
          </w:cols>
          <w:pgMar w:left="240" w:top="125"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Preferred stock, par value $.01 per share; 1,000,000 shares authorized; 0 shares outstanding in 2007 and 2006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160"/>
              <w:spacing w:after="0" w:line="201" w:lineRule="exact"/>
              <w:rPr>
                <w:sz w:val="20"/>
                <w:szCs w:val="20"/>
                <w:color w:val="auto"/>
              </w:rPr>
            </w:pPr>
            <w:r>
              <w:rPr>
                <w:rFonts w:ascii="Arial" w:cs="Arial" w:eastAsia="Arial" w:hAnsi="Arial"/>
                <w:sz w:val="18"/>
                <w:szCs w:val="18"/>
                <w:color w:val="auto"/>
                <w:w w:val="98"/>
              </w:rPr>
              <w:t>Common stock, par value $.01 per share; 40,000,000 class A shares and 10,000,000 class B shares authorized;</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w w:val="98"/>
              </w:rPr>
              <w:t>17,142,980 class A shares and 8,092,358 class B shares outstanding in 2007; 17,069,494 class A shares and</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8,072,226 class B shares outstanding in 2006</w:t>
            </w:r>
          </w:p>
        </w:tc>
        <w:tc>
          <w:tcPr>
            <w:tcW w:w="1040" w:type="dxa"/>
            <w:vAlign w:val="bottom"/>
          </w:tcPr>
          <w:p>
            <w:pPr>
              <w:jc w:val="right"/>
              <w:spacing w:after="0"/>
              <w:rPr>
                <w:sz w:val="20"/>
                <w:szCs w:val="20"/>
                <w:color w:val="auto"/>
              </w:rPr>
            </w:pPr>
            <w:r>
              <w:rPr>
                <w:rFonts w:ascii="Arial" w:cs="Arial" w:eastAsia="Arial" w:hAnsi="Arial"/>
                <w:sz w:val="18"/>
                <w:szCs w:val="18"/>
                <w:color w:val="auto"/>
              </w:rPr>
              <w:t>252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171,875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040" w:type="dxa"/>
            <w:vAlign w:val="bottom"/>
          </w:tcPr>
          <w:p>
            <w:pPr>
              <w:jc w:val="right"/>
              <w:spacing w:after="0"/>
              <w:rPr>
                <w:sz w:val="20"/>
                <w:szCs w:val="20"/>
                <w:color w:val="auto"/>
              </w:rPr>
            </w:pPr>
            <w:r>
              <w:rPr>
                <w:rFonts w:ascii="Arial" w:cs="Arial" w:eastAsia="Arial" w:hAnsi="Arial"/>
                <w:sz w:val="18"/>
                <w:szCs w:val="18"/>
                <w:color w:val="auto"/>
              </w:rPr>
              <w:t>182,580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169,556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354,707</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1,128,497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1,128,410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Three Months Ended</w:t>
      </w:r>
    </w:p>
    <w:p>
      <w:pPr>
        <w:jc w:val="center"/>
        <w:ind w:left="876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31"/>
              <w:spacing w:after="0" w:line="136"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51"/>
              <w:spacing w:after="0" w:line="136"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32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377,636</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363,347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2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2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Finance and insurance</w:t>
            </w: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531,258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2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347,892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2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2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10,451</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products sold</w:t>
            </w:r>
          </w:p>
        </w:tc>
        <w:tc>
          <w:tcPr>
            <w:tcW w:w="2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441,762</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2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7,982</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2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Earnings per common share – Basic</w:t>
            </w:r>
          </w:p>
        </w:tc>
        <w:tc>
          <w:tcPr>
            <w:tcW w:w="32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Earnings per common share – Diluted</w:t>
            </w:r>
          </w:p>
        </w:tc>
        <w:tc>
          <w:tcPr>
            <w:tcW w:w="29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29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25,177</w:t>
            </w:r>
          </w:p>
        </w:tc>
        <w:tc>
          <w:tcPr>
            <w:tcW w:w="2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24,707</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2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25,347</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25,050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40"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40" w:right="239" w:bottom="0" w:gutter="0" w:footer="0" w:header="0"/>
          <w:type w:val="continuous"/>
        </w:sectPr>
      </w:pPr>
    </w:p>
    <w:bookmarkStart w:id="3" w:name="page4"/>
    <w:bookmarkEnd w:id="3"/>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w:t>
      </w:r>
    </w:p>
    <w:p>
      <w:pPr>
        <w:jc w:val="center"/>
        <w:ind w:left="922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44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1"/>
              <w:spacing w:after="0" w:line="136"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1"/>
              <w:spacing w:after="0" w:line="136"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13,024</w:t>
            </w:r>
          </w:p>
        </w:tc>
        <w:tc>
          <w:tcPr>
            <w:tcW w:w="260" w:type="dxa"/>
            <w:vAlign w:val="bottom"/>
          </w:tcPr>
          <w:p>
            <w:pPr>
              <w:spacing w:after="0"/>
              <w:rPr>
                <w:sz w:val="18"/>
                <w:szCs w:val="18"/>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8,693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w w:val="98"/>
              </w:rPr>
              <w:t>Stock-based compensation expense related to employee stock options and employee stock purchases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deferred income tax expense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Excess tax benefits from stock-based compensation</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accounts receivable, net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Change in inventories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5,737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prepaid expenses and other, net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Change in trade accounts payable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(6,359)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accrued expenses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(18,612)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(6,968)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(24,669)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Draws (payments) on lines of credit, net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Payments on floor plan notes payable, net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shares relating to employee stock options and employee stock purchases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(9,658)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161,558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162,096</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Income taxes</w:t>
            </w:r>
          </w:p>
        </w:tc>
        <w:tc>
          <w:tcPr>
            <w:tcW w:w="8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w:t>
            </w:r>
          </w:p>
        </w:tc>
        <w:tc>
          <w:tcPr>
            <w:tcW w:w="2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w:t>
      </w:r>
    </w:p>
    <w:p>
      <w:pPr>
        <w:sectPr>
          <w:pgSz w:w="11900" w:h="16894" w:orient="portrait"/>
          <w:cols w:equalWidth="0" w:num="1">
            <w:col w:w="11420"/>
          </w:cols>
          <w:pgMar w:left="240" w:top="513" w:right="239" w:bottom="0" w:gutter="0" w:footer="0" w:header="0"/>
        </w:sectPr>
      </w:pPr>
    </w:p>
    <w:bookmarkStart w:id="4" w:name="page5"/>
    <w:bookmarkEnd w:id="4"/>
    <w:p>
      <w:pPr>
        <w:spacing w:after="0" w:line="1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notes thereto included in the Company’s Annual Report on Form 10-K for the year ended December 31, 2006. Results of operations for interim periods are not necessarily indicative of results that may be expected for any other interim periods or the full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Company is required to perform an annual impairment review of goodwill. The Company performs its annual review during the fourth quarter of each year and, therefore, did not record an impairment charge related to goodwill during the first quarter of 2007. Management is not aware of any impairment charge that may be required; however, a change in economic conditions, if one occurs, could result in an impairment charge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jc w:val="both"/>
        <w:ind w:right="140" w:firstLine="648"/>
        <w:spacing w:after="0" w:line="288" w:lineRule="auto"/>
        <w:rPr>
          <w:sz w:val="20"/>
          <w:szCs w:val="20"/>
          <w:color w:val="auto"/>
        </w:rPr>
      </w:pPr>
      <w:r>
        <w:rPr>
          <w:rFonts w:ascii="Arial" w:cs="Arial" w:eastAsia="Arial" w:hAnsi="Arial"/>
          <w:sz w:val="16"/>
          <w:szCs w:val="16"/>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w:t>
      </w:r>
    </w:p>
    <w:p>
      <w:pPr>
        <w:ind w:right="140"/>
        <w:spacing w:after="0" w:line="252" w:lineRule="auto"/>
        <w:rPr>
          <w:sz w:val="20"/>
          <w:szCs w:val="20"/>
          <w:color w:val="auto"/>
        </w:rPr>
      </w:pPr>
      <w:r>
        <w:rPr>
          <w:rFonts w:ascii="Arial" w:cs="Arial" w:eastAsia="Arial" w:hAnsi="Arial"/>
          <w:sz w:val="18"/>
          <w:szCs w:val="18"/>
          <w:color w:val="auto"/>
        </w:rPr>
        <w:t>However, the Company has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sold without recourse.</w:t>
      </w:r>
    </w:p>
    <w:p>
      <w:pPr>
        <w:spacing w:after="0" w:line="19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As part of the acquisition of certain assets of American Truck Source, Inc. (“ATS”), the Company assumed contingent liabilities to finance companies for notes that ATS initiated on behalf of such finance companies related to the sale of trucks. ATS’s portfolio to which the contingent liability relates is made up of contracts sold with and without recourse, and the Company expects a majority of the portfolio to be liquidated by January 1, 2008. The Company has provided a specific allowance for repossession losses and early repayment penalties related to ATS’s portfolio.</w:t>
      </w:r>
    </w:p>
    <w:p>
      <w:pPr>
        <w:spacing w:after="0" w:line="17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59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96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4 – Earnings Per Share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40" w:type="dxa"/>
            <w:vAlign w:val="bottom"/>
            <w:gridSpan w:val="6"/>
          </w:tcPr>
          <w:p>
            <w:pPr>
              <w:jc w:val="right"/>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March 31, 2007</w:t>
            </w:r>
          </w:p>
        </w:tc>
        <w:tc>
          <w:tcPr>
            <w:tcW w:w="10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March 31, 2006</w:t>
            </w:r>
          </w:p>
        </w:tc>
        <w:tc>
          <w:tcPr>
            <w:tcW w:w="30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ind w:left="160"/>
              <w:spacing w:after="0" w:line="201" w:lineRule="exact"/>
              <w:rPr>
                <w:sz w:val="20"/>
                <w:szCs w:val="20"/>
                <w:color w:val="auto"/>
              </w:rPr>
            </w:pPr>
            <w:r>
              <w:rPr>
                <w:rFonts w:ascii="Arial" w:cs="Arial" w:eastAsia="Arial" w:hAnsi="Arial"/>
                <w:sz w:val="18"/>
                <w:szCs w:val="18"/>
                <w:color w:val="auto"/>
                <w:w w:val="96"/>
              </w:rPr>
              <w:t>Numerator for basic and diluted earnings per share, net income available to</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common shareholders</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13,024,000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11,577,000</w:t>
            </w:r>
          </w:p>
        </w:tc>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Denominator for basic earnings per share, adjusted weighted average shares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25,177,266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24,706,534</w:t>
            </w:r>
          </w:p>
        </w:tc>
        <w:tc>
          <w:tcPr>
            <w:tcW w:w="80" w:type="dxa"/>
            <w:vAlign w:val="bottom"/>
            <w:shd w:val="clear" w:color="auto" w:fill="CCEEFF"/>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and Director stock options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169,373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343,351</w:t>
            </w:r>
          </w:p>
        </w:tc>
        <w:tc>
          <w:tcPr>
            <w:tcW w:w="80" w:type="dxa"/>
            <w:vAlign w:val="bottom"/>
            <w:shd w:val="clear" w:color="auto" w:fill="CCEEFF"/>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80" w:type="dxa"/>
            <w:vAlign w:val="bottom"/>
          </w:tcPr>
          <w:p>
            <w:pPr>
              <w:ind w:left="160"/>
              <w:spacing w:after="0" w:line="182" w:lineRule="exact"/>
              <w:rPr>
                <w:sz w:val="20"/>
                <w:szCs w:val="20"/>
                <w:color w:val="auto"/>
              </w:rPr>
            </w:pPr>
            <w:r>
              <w:rPr>
                <w:rFonts w:ascii="Arial" w:cs="Arial" w:eastAsia="Arial" w:hAnsi="Arial"/>
                <w:sz w:val="18"/>
                <w:szCs w:val="18"/>
                <w:color w:val="auto"/>
                <w:w w:val="92"/>
              </w:rPr>
              <w:t>Denominator for diluted earnings per share, adjusted weighted average shares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3"/>
              </w:rPr>
              <w:t>25,346,639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0"/>
              </w:rPr>
              <w:t>25,049,885</w:t>
            </w:r>
          </w:p>
        </w:tc>
        <w:tc>
          <w:tcPr>
            <w:tcW w:w="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and assumed conversions</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-3105785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-3105785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 under SFAS 123(R)</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On January 1, 2006, the Company adopted SFAS 123(R), which requires the measurement and recognition of compensation expense for all share-based payment awards made to the Company’s employees and directors including employee stock options and employee stock purchases related to the Employee Stock Purchase Plan based on estimated fair values. The Company adopted SFAS 123(R) using the modified prospective transition method, which requires the application of the accounting standard as of January 1, 2006. Upon adoption of SFAS 123(R), the Company continues to use the Black-Scholes option-pricing model which was previously used for the Company’s pro forma information required under SFAS 123. Stock-based compensation expense, included in selling, general and administrative expense, related to employee stock options and employee stock purchases under SFAS 123(R) for the three months ended March 31, 2007 was $1,063,000 and for the three months ended March 31, 2006 was $964,000. As of March 31, 2007, there was $4.9 million of total unrecognized compensation cost related to non-vested share-based compensation arrangements granted under the Rush Enterprises, Inc. Long-Term Incentive Plan to be recognized over a weighted-average period of 3.9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 Acquisitions</w:t>
      </w:r>
    </w:p>
    <w:p>
      <w:pPr>
        <w:spacing w:after="0" w:line="22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In March 2007, the Company purchased certain assets of Allen-Jensen, Inc., which consisted of a GMC and Isuzu truck dealership in Waco, Texas. The Company is operating the facility as a full-service Rush Truck Center offering Peterbilt heavy-duty and medium-duty trucks as well as medium-duty</w:t>
      </w:r>
    </w:p>
    <w:p>
      <w:pPr>
        <w:sectPr>
          <w:pgSz w:w="11900" w:h="16948" w:orient="portrait"/>
          <w:cols w:equalWidth="0" w:num="1">
            <w:col w:w="11460"/>
          </w:cols>
          <w:pgMar w:left="240" w:top="125" w:right="199" w:bottom="0" w:gutter="0" w:footer="0" w:header="0"/>
        </w:sectPr>
      </w:pPr>
    </w:p>
    <w:bookmarkStart w:id="5" w:name="page6"/>
    <w:bookmarkEnd w:id="5"/>
    <w:p>
      <w:pPr>
        <w:ind w:right="320"/>
        <w:spacing w:after="0" w:line="277" w:lineRule="auto"/>
        <w:rPr>
          <w:sz w:val="20"/>
          <w:szCs w:val="20"/>
          <w:color w:val="auto"/>
        </w:rPr>
      </w:pPr>
      <w:r>
        <w:rPr>
          <w:rFonts w:ascii="Arial" w:cs="Arial" w:eastAsia="Arial" w:hAnsi="Arial"/>
          <w:sz w:val="18"/>
          <w:szCs w:val="18"/>
          <w:color w:val="auto"/>
        </w:rPr>
        <w:t>trucks manufactured by GMC and Isuzu, and parts and service. The transaction was valued at approximately $6.3 million, with the purchase price paid in cash.</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Allen-Jensen, Inc. acquisition was accounted for as a purchase; operations of the business acquired are included in the accompanying consolidated financial statements from the date of the acquisition. Pro forma information is not included because Allen-Jensen, Inc.’s results of operations would not have a material effect on the Company’s financial statements. The purchase price was allocated based on the fair values of the assets at the date of acquisition as follows (in thousands):</w:t>
      </w:r>
    </w:p>
    <w:p>
      <w:pPr>
        <w:spacing w:after="0" w:line="201" w:lineRule="exact"/>
        <w:rPr>
          <w:sz w:val="20"/>
          <w:szCs w:val="20"/>
          <w:color w:val="auto"/>
        </w:rPr>
      </w:pPr>
    </w:p>
    <w:tbl>
      <w:tblPr>
        <w:tblLayout w:type="fixed"/>
        <w:tblInd w:w="270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$ 5,570</w:t>
            </w: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Accrued expenses</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r>
      <w:tr>
        <w:trPr>
          <w:trHeight w:val="210"/>
        </w:trPr>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6,303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goodwill acquired in the Allen-Jensen, Inc. acquisition will be amortized over 15 years for tax purposes.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March 2007, the Company purchased certain assets of Advanced Transportation Insurance Services, Inc., an insurance agency headquartered in Laguna Niguel, California. In connection with this acquisition, the Company also purchased the stock of Advance Premium Finance, Inc., a premium finance company associated with Advanced Transportation Insurance Services, Inc. The total transaction was valued at approximately $2.1 million, with the purchase price financed with cash of $0.6 million and notes payable of $1.5 million. All of the purchase price was allocated to goodwill and $1.6 million of the goodwill will be amortized over 15 years for tax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currently has two reportable business segments: the Truck Segment and the Construction Equipment Segment. The Truck Segment operates a network of Rush Truck Centers that provides an integrated one-stop source for the trucking needs of its customers, including retail sales of new and used medium-duty and heavy-duty trucks; aftermarket parts, service and body shop facilities; and a wide array of financial services, including the financing of new and used truck purchases, insurance products and truck leasing and rentals. The Construction Equipment Segment operates a full-service John Deere construction equipment dealership that serves the Houston, Texas metropolitan area. Construction Equipment Segment operations include the retail sale of new and used construction equipment, aftermarket parts and service facilities, and the financing of new and used construction equipment.</w:t>
      </w:r>
    </w:p>
    <w:p>
      <w:pPr>
        <w:spacing w:after="0" w:line="16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the annual report. The Company evaluates performance based on income before income taxes not including extraordinary items.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quarters ended March 31, 2007 and 2006.</w:t>
      </w:r>
    </w:p>
    <w:p>
      <w:pPr>
        <w:spacing w:after="0" w:line="170" w:lineRule="exact"/>
        <w:rPr>
          <w:sz w:val="20"/>
          <w:szCs w:val="20"/>
          <w:color w:val="auto"/>
        </w:rPr>
      </w:pPr>
    </w:p>
    <w:p>
      <w:pPr>
        <w:jc w:val="both"/>
        <w:ind w:right="20" w:firstLine="648"/>
        <w:spacing w:after="0" w:line="340" w:lineRule="auto"/>
        <w:rPr>
          <w:sz w:val="20"/>
          <w:szCs w:val="20"/>
          <w:color w:val="auto"/>
        </w:rPr>
      </w:pPr>
      <w:r>
        <w:rPr>
          <w:rFonts w:ascii="Arial" w:cs="Arial" w:eastAsia="Arial" w:hAnsi="Arial"/>
          <w:sz w:val="15"/>
          <w:szCs w:val="15"/>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periods ended March 31, 2007 and 2006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Truck</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Equipment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14"/>
                <w:szCs w:val="14"/>
                <w:b w:val="1"/>
                <w:bCs w:val="1"/>
                <w:color w:val="auto"/>
                <w:w w:val="94"/>
              </w:rPr>
              <w:t>Segment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Segment</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March 31, 2007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505,259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1,078,972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1,128,497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March 31, 2006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474,521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Revenues from segments below the quantitative thresholds requiring them to be reported separately are attributable to three operating segments of the Company. These segments include a tire company, an insurance agency, and a hunting lease operation. None of these segments has ever met any of the quantitative thresholds that would require them to be reported separately.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In June 2006, the Financial Accounting Standards Board (“FASB”) issued FASB Interpretation No. 48, “Accounting for Uncertainty in Income Taxes – an interpretation of FASB Statement No. 109” (“FIN 48”). FIN 48 clarifies the accounting for uncertainty in income taxes recognized in financial statements in accordance with FASB Statement No. 109, “Accounting for Income Taxes.” FIN 48 prescribes how a company should recognize, measure, present and disclose uncertain tax positions that the company has taken or expects to take in its income tax returns. FIN 48 requires that only income tax</w:t>
      </w:r>
    </w:p>
    <w:p>
      <w:pPr>
        <w:sectPr>
          <w:pgSz w:w="11900" w:h="16838" w:orient="portrait"/>
          <w:cols w:equalWidth="0" w:num="1">
            <w:col w:w="11420"/>
          </w:cols>
          <w:pgMar w:left="240" w:top="125" w:right="239" w:bottom="69"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benefits meeting the “more likely than not” recognition threshold be recognized or continue to be recognized on its effective date. As required, the Company has adopted the provisions of FIN 48 effective January 1, 2007.</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As of January 1, 2007 and March 31, 2007, the Company included accruals for unrecognized income tax benefits totaling $1.4 million as a component of accrued liabilities. The unrecognized tax benefits of $1.4 million, if recognized, would impact the Company’s effective tax rate. The interest expense liability related to unrecognized tax benefits on January 1, 2007 was not material. No amounts were accrued for penalties.</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the adoption date of FIN 48, the tax years ended December 31, 2002 through 2006 remained subject to examination by tax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Recent Accounting Pronouncements</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In September 2006, the FASB issued SFAS No. 157, “Fair Value Measurement” (“SFAS No. 157”). SFAS No. 157 defines fair value, establishes a framework for measuring fair value, and expands disclosures about fair value measurements. The standard applies whenever other standards require (or permit) assets or liabilities to be measured at fair value, but does not expand the use of fair value in any new circumstances. SFAS No. 157 is effective for financial statements issued for fiscal years beginning after November 15, 2007, and interim periods within those fiscal years. Early adoption is permitted. The Company does not expect that the adoption of SFAS No. 157 will have a significant impact on its consolidated results of operations and financial position.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2006 as well as future growth rates and margins for certain of our products and services, future demand for our products and services, competitive factors, general economic conditions, cyclicality,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other reports filed with the SEC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The Company does not intend to update these forward-looking statements.</w:t>
      </w:r>
    </w:p>
    <w:p>
      <w:pPr>
        <w:spacing w:after="0" w:line="3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Used in This Form 10-Q</w:t>
      </w:r>
    </w:p>
    <w:p>
      <w:pPr>
        <w:spacing w:after="0" w:line="229" w:lineRule="exact"/>
        <w:rPr>
          <w:sz w:val="20"/>
          <w:szCs w:val="20"/>
          <w:color w:val="auto"/>
        </w:rPr>
      </w:pPr>
    </w:p>
    <w:p>
      <w:pPr>
        <w:ind w:right="40"/>
        <w:spacing w:after="0" w:line="197" w:lineRule="auto"/>
        <w:rPr>
          <w:sz w:val="20"/>
          <w:szCs w:val="20"/>
          <w:color w:val="auto"/>
        </w:rPr>
      </w:pPr>
      <w:r>
        <w:rPr>
          <w:rFonts w:ascii="Arial" w:cs="Arial" w:eastAsia="Arial" w:hAnsi="Arial"/>
          <w:sz w:val="18"/>
          <w:szCs w:val="18"/>
          <w:i w:val="1"/>
          <w:iCs w:val="1"/>
          <w:color w:val="auto"/>
        </w:rPr>
        <w:t>Peterbilt</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Peterbilt Motors Company. PACCAR</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PACCAR, Inc. GMC</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as registered trademark of General Motors Corporation. Hino</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Hino Motors, Ltd. UD</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Nissan Diesel Motor Co., Ltd. Isuzu</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Isuzu Motors Limited. John Deere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Deere &amp; Company. Kenworth</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PACCAR, Inc. doing business as Kenworth Truck Company. Volvo</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Volvo Trademark Holding AB. Freightliner</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Freightliner Corporation. Mack</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Mack Trucks, Inc. Navistar</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Navistar International Corporation. Caterpillar</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Caterpillar, Inc. Cummins</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Cummins Engine Company, Inc. PacLease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PACCAR Leasing Corporation. CitiCapital</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Citicorp. Ford</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is a registered trademark of Ford Motor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Rush Enterprises, Inc. was incorporated in Texas in 1965 and currently consists of two reportable segments: the Truck Segment and the Construction Equipment Segment. The Company currently conducts business through numerous subsidiaries, all of which are wholly owned, directly or indirectly, by it. Its principal offices are located at 555 IH 35 South, New Braunfels, Texas 78130.</w:t>
      </w:r>
    </w:p>
    <w:p>
      <w:pPr>
        <w:spacing w:after="0" w:line="18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Company is a full-service, integrated retailer of premium transportation and construction equipment and related services. The Company’s Rush Truck Centers sell trucks manufactured by Peterbilt Motors Company (a division of PACCAR, Inc.), GMC, Hino, UD, Ford or Isuzu. The Company also</w:t>
      </w:r>
    </w:p>
    <w:p>
      <w:pPr>
        <w:sectPr>
          <w:pgSz w:w="11900" w:h="16838" w:orient="portrait"/>
          <w:cols w:equalWidth="0" w:num="1">
            <w:col w:w="11400"/>
          </w:cols>
          <w:pgMar w:left="240" w:top="125" w:right="259" w:bottom="0" w:gutter="0" w:footer="0" w:header="0"/>
        </w:sectPr>
      </w:pPr>
    </w:p>
    <w:bookmarkStart w:id="7" w:name="page8"/>
    <w:bookmarkEnd w:id="7"/>
    <w:p>
      <w:pPr>
        <w:ind w:right="140"/>
        <w:spacing w:after="0" w:line="308" w:lineRule="auto"/>
        <w:rPr>
          <w:sz w:val="20"/>
          <w:szCs w:val="20"/>
          <w:color w:val="auto"/>
        </w:rPr>
      </w:pPr>
      <w:r>
        <w:rPr>
          <w:rFonts w:ascii="Arial" w:cs="Arial" w:eastAsia="Arial" w:hAnsi="Arial"/>
          <w:sz w:val="17"/>
          <w:szCs w:val="17"/>
          <w:color w:val="auto"/>
        </w:rPr>
        <w:t>operates a John Deere construction equipment dealership at its Rush Equipment Center in Houston, Texas. Through its strategically located network of Rush Truck Centers and its Rush Equipment Center, the Company provides one-stop service for the needs of its customers, including retail sales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of new and used trucks and construction equipment, aftermarket parts sales, service and repair facilities, and financing, leasing and rental, and insurance products.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45 Rush Truck Centers in Alabama, Arizona, California, Colorado, Florida, Georgia, New Mexico, Oklahoma, Tennessee and Texas.</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March 2007, the Company purchased certain assets of Allen-Jensen, Inc., which consisted of a GMC and Isuzu truck dealership in Waco, Texas. The Company is operating the facility as a full-service Rush Truck Center offering Peterbilt heavy-duty and medium-duty trucks as well as medium-duty trucks manufactured by GMC and Isuzu, and parts and service. The transaction was valued at approximately $6.3 million, with the purchase price paid in cash. See Note 6—Acquisitions of the Notes to the Consolidated Financial Statements for a detailed discussion of the allocation of the purchase price of certain assets of Allen-Jensen, Inc.</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March 2007, the Company purchased certain assets of Advanced Transportation Insurance Services, Inc., an insurance agency headquartered in Laguna Niguel, California. In connection with this acquisition, the Company also purchased the stock of Advance Premium Finance, Inc., a premium finance company associated with Advanced Transportation Insurance Services, Inc. The total transaction was valued at approximately $2.1 million, with the purchase price financed with cash of $0.6 million and notes payable of $1.5 million.</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and Rush Equipment Center as we extend our geographic focus through strategic acquisitions of new locations and expansions of our existing facilities and product 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affect its more significant judgments and estimates used in the preparation of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truck and 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applies the provisions of Statement of Financial Accounting Standards No. 142, “Goodwill and Other Intangible Assets” (“SFAS 142”), in accounting for goodwill. SFAS 142 requires that goodwill and other intangible assets that have indefinite useful lives may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 goodwill. The Company performs its annual review during the fourth quarter of each year and, therefore, did not record an impairment charge related to goodwill during the first quarter of 2007. Management is not aware of any impairment charge that may be required; however, a change in economic conditions, if one occurs, could result in an impairment charge in the future.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Income on the sale of a truck or a piece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recognized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ectPr>
          <w:pgSz w:w="11900" w:h="16838" w:orient="portrait"/>
          <w:cols w:equalWidth="0" w:num="1">
            <w:col w:w="11420"/>
          </w:cols>
          <w:pgMar w:left="240" w:top="125" w:right="239" w:bottom="217"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and Insurance Revenue Recognition</w:t>
      </w:r>
    </w:p>
    <w:p>
      <w:pPr>
        <w:sectPr>
          <w:pgSz w:w="11900" w:h="16838" w:orient="portrait"/>
          <w:cols w:equalWidth="0" w:num="1">
            <w:col w:w="11420"/>
          </w:cols>
          <w:pgMar w:left="240" w:top="125" w:right="239" w:bottom="217" w:gutter="0" w:footer="0" w:header="0"/>
          <w:type w:val="continuous"/>
        </w:sectPr>
      </w:pPr>
    </w:p>
    <w:bookmarkStart w:id="8" w:name="page9"/>
    <w:bookmarkEnd w:id="8"/>
    <w:p>
      <w:pPr>
        <w:ind w:right="20" w:firstLine="648"/>
        <w:spacing w:after="0" w:line="270" w:lineRule="auto"/>
        <w:rPr>
          <w:sz w:val="20"/>
          <w:szCs w:val="20"/>
          <w:color w:val="auto"/>
        </w:rPr>
      </w:pPr>
      <w:r>
        <w:rPr>
          <w:rFonts w:ascii="Arial" w:cs="Arial" w:eastAsia="Arial" w:hAnsi="Arial"/>
          <w:sz w:val="17"/>
          <w:szCs w:val="17"/>
          <w:color w:val="auto"/>
        </w:rPr>
        <w:t>Finance income related to the sale of a unit is recognized when the finance contract is sold to a finance company. During 2007 and 2006, finance contracts were not retained by the Company for any significant length of time because finance contracts are generally sold to finance companies concurrent with the sale of the related unit. The majority of finance contracts are sold without recourse against the Company. The Company’s liability related to finance contracts sold with recourse is generally limited to 5% to 20% of the outstanding amount of each note initiated on behalf of the finance company. The Company has instituted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less than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sold without recourse.</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As part of the acquisition of certain assets of ATS, the Company assumed certain contingent liabilities to finance companies for notes that ATS initiated on behalf of such finance companies related to the sale of trucks. ATS’s portfolio to which the contingent liability is related is made up of contracts sold with and without recourse, and the Company expects a majority of the portfolio to be liquidated by January 1, 2008. As part of the acquisition, the Company assumed a specific allowance for repossession losses and early repayment penalties related to ATS’s portfolio.</w:t>
      </w:r>
    </w:p>
    <w:p>
      <w:pPr>
        <w:spacing w:after="0" w:line="17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The Company arranges financing for customers through various financial institutions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and extended service contracts to customers. Revenue is recognized by the Company upon the sale of such finance and insurance contracts to the finance and insurance companies net of a provision for estimated repossession losses and interest charge backs. The Company is not the obligor under any of these contracts. In the case of finance contracts, a customer may prepay, or fail to pay, thereby terminating the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 back exposure is based on the Company’s historical charge back expense arising from similar contracts, including the impact of refinance and default rates on retail finance contracts and cancellation rates on other insurance products. The actual amount of historical charge-backs has not been significantly different than the Company’s estimates.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 is partially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it performs.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circumstances impacting state deferred income tax assets are reviewed quarterly and management’s judgment is applied to determine the amount of valuation allowance required in any given period.</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Effective January 1, 2007 the Company adopted FIN 48. This interpretation clarified the accounting for uncertainty in income taxes recognized in the financial statements by prescribing a recognition threshold and measurement attribute for a tax position taken or expected to be taken in a tax return. FIN 48 prescribes how a company should recognize, measure, present and disclose uncertain tax positions that the company has taken or expects to take in its income tax returns. FIN 48 requires that only income tax benefits that meet the “more likely than not” recognition threshold be recognized or continue to be recognized on its effective date.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January 1, 2006, the Company adopted Statement of Financial Accounting Standards No. 123 (revised 2004), “Share-Based Payment” (“SFAS 123(R)”), which requires the measurement and recognition of compensation expense for all share-based payment awards made to employees and directors including grants of employee stock options and employee stock purchases under the Employee Stock Purchase Plan based on estimated fair values. SFAS 123(R) supersedes the Company’s previous accounting under Accounting Principles Board Opinion No. 25, “Accounting for Stock Issued to Employees” (“APB 25”) for periods beginning in 2006. In March 2005, the Securities and Exchange Commission issued Staff Accounting Bulletin No. 107 (“SAB 107”) relating to SFAS 123(R).</w:t>
      </w:r>
    </w:p>
    <w:p>
      <w:pPr>
        <w:spacing w:after="0" w:line="19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adopted SFAS 123(R) using the modified prospective transition method, which requires the application of the accounting standard as of January 1, 2006. SFAS 123(R) requires companies to estimate the fair value of share-based payment awards on the date of grant using an option-pricing model. The value of the portion of the award that is ultimately expected to vest is recognized as expense over the requisite service periods in the Company’s Consolidated Statement of Income. Prior to the adoption of SFAS 123(R), the Company accounted for stock-based awards to employees and directors using the intrinsic value method in accordance with APB 25 as allowed under Statement of Financial Accounting Standards No. 123, “Accounting for Stock-Based</w:t>
      </w:r>
    </w:p>
    <w:p>
      <w:pPr>
        <w:sectPr>
          <w:pgSz w:w="11900" w:h="16838" w:orient="portrait"/>
          <w:cols w:equalWidth="0" w:num="1">
            <w:col w:w="11340"/>
          </w:cols>
          <w:pgMar w:left="240" w:top="125" w:right="319" w:bottom="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Compensation” (“SFAS 123”). Upon adoption of SFAS 123(R), the Company continues to use the Black-Scholes option-pricing model which was previously used for the Company’s pro forma information required under SFAS 123.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discussion and analysis includes the Company’s historical results of operations for the three months ended March 31, 2007 and 2006.</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193" w:lineRule="exact"/>
        <w:rPr>
          <w:sz w:val="20"/>
          <w:szCs w:val="20"/>
          <w:color w:val="auto"/>
        </w:rPr>
      </w:pPr>
    </w:p>
    <w:p>
      <w:pPr>
        <w:jc w:val="center"/>
        <w:ind w:left="2360"/>
        <w:spacing w:after="0"/>
        <w:rPr>
          <w:sz w:val="20"/>
          <w:szCs w:val="20"/>
          <w:color w:val="auto"/>
        </w:rPr>
      </w:pPr>
      <w:r>
        <w:rPr>
          <w:rFonts w:ascii="Arial" w:cs="Arial" w:eastAsia="Arial" w:hAnsi="Arial"/>
          <w:sz w:val="14"/>
          <w:szCs w:val="14"/>
          <w:b w:val="1"/>
          <w:bCs w:val="1"/>
          <w:color w:val="auto"/>
        </w:rPr>
        <w:t>Three Months Ended</w:t>
      </w:r>
    </w:p>
    <w:p>
      <w:pPr>
        <w:jc w:val="center"/>
        <w:ind w:left="236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51"/>
              <w:spacing w:after="0" w:line="136"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71"/>
              <w:spacing w:after="0" w:line="136"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Parts and service</w:t>
            </w:r>
          </w:p>
        </w:tc>
        <w:tc>
          <w:tcPr>
            <w:tcW w:w="560" w:type="dxa"/>
            <w:vAlign w:val="bottom"/>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Lease and rental</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products sold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sale of assets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trucks and the absorption rate for the periods indicated (revenue in thousands):</w:t>
      </w:r>
    </w:p>
    <w:p>
      <w:pPr>
        <w:spacing w:after="0" w:line="13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95"/>
              </w:rPr>
              <w:t>Three Months Ended</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5"/>
            <w:vMerge w:val="continue"/>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2007</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right"/>
              <w:ind w:right="700"/>
              <w:spacing w:after="0" w:line="139" w:lineRule="exact"/>
              <w:rPr>
                <w:sz w:val="20"/>
                <w:szCs w:val="20"/>
                <w:color w:val="auto"/>
              </w:rPr>
            </w:pPr>
            <w:r>
              <w:rPr>
                <w:rFonts w:ascii="Arial" w:cs="Arial" w:eastAsia="Arial" w:hAnsi="Arial"/>
                <w:sz w:val="14"/>
                <w:szCs w:val="14"/>
                <w:b w:val="1"/>
                <w:bCs w:val="1"/>
                <w:color w:val="auto"/>
              </w:rPr>
              <w:t>March 31,</w:t>
            </w:r>
          </w:p>
        </w:tc>
        <w:tc>
          <w:tcPr>
            <w:tcW w:w="9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89"/>
              </w:rPr>
              <w:t>vs</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2006</w:t>
            </w: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8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Truck unit sales: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New heavy-duty trucks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2,299</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trucks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vMerge w:val="restart"/>
          </w:tcPr>
          <w:p>
            <w:pPr>
              <w:ind w:left="160"/>
              <w:spacing w:after="0"/>
              <w:rPr>
                <w:sz w:val="20"/>
                <w:szCs w:val="20"/>
                <w:color w:val="auto"/>
              </w:rPr>
            </w:pPr>
            <w:r>
              <w:rPr>
                <w:rFonts w:ascii="Arial" w:cs="Arial" w:eastAsia="Arial" w:hAnsi="Arial"/>
                <w:sz w:val="18"/>
                <w:szCs w:val="18"/>
                <w:color w:val="auto"/>
              </w:rPr>
              <w:t>Total new truck unit sales</w:t>
            </w: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3,190</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Used truck unit sales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1,058</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Truck revenue: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New heavy-duty trucks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New medium-duty trucks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Total new truck revenue</w:t>
            </w:r>
          </w:p>
        </w:tc>
        <w:tc>
          <w:tcPr>
            <w:tcW w:w="9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22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Used truck revenue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94"/>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Absorption Rate. </w:t>
      </w:r>
      <w:r>
        <w:rPr>
          <w:rFonts w:ascii="Arial" w:cs="Arial" w:eastAsia="Arial" w:hAnsi="Arial"/>
          <w:sz w:val="18"/>
          <w:szCs w:val="18"/>
          <w:color w:val="auto"/>
        </w:rPr>
        <w:t>The management of the Company uses several performance metrics to evaluate the performance of its dealerships.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its “absorption rate” to be of critical importance. Absorption rate is calculated by dividing the gross profit from the parts, service and body shop departments by the overhead expenses of all of a dealership’s departments, except for the selling expenses of the new and used truck departments and carrying costs of new and used truck inventory. When 100% absorption is achieved, then gross profit from the sale of a truck, after sales commissions and inventory carrying costs, directly impacts operating profit. In 1999, the Company’s absorption rate was approximately 80%. The Company has made a concerted effort to increase its absorption rate since then. Management believes that maintaining an absorption rate in excess of 100% is critical to the Company’s ability to generate consistent earnings in a cyclical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2007 Compared to Three Months Ended March 31, 2006</w:t>
      </w:r>
    </w:p>
    <w:p>
      <w:pPr>
        <w:sectPr>
          <w:pgSz w:w="11900" w:h="16838" w:orient="portrait"/>
          <w:cols w:equalWidth="0" w:num="1">
            <w:col w:w="11420"/>
          </w:cols>
          <w:pgMar w:left="240" w:top="125" w:right="239" w:bottom="36" w:gutter="0" w:footer="0" w:header="0"/>
        </w:sectPr>
      </w:pPr>
    </w:p>
    <w:bookmarkStart w:id="10" w:name="page11"/>
    <w:bookmarkEnd w:id="10"/>
    <w:p>
      <w:pPr>
        <w:ind w:right="100" w:firstLine="648"/>
        <w:spacing w:after="0" w:line="267" w:lineRule="auto"/>
        <w:rPr>
          <w:sz w:val="20"/>
          <w:szCs w:val="20"/>
          <w:color w:val="auto"/>
        </w:rPr>
      </w:pPr>
      <w:r>
        <w:rPr>
          <w:rFonts w:ascii="Arial" w:cs="Arial" w:eastAsia="Arial" w:hAnsi="Arial"/>
          <w:sz w:val="18"/>
          <w:szCs w:val="18"/>
          <w:color w:val="auto"/>
        </w:rPr>
        <w:t xml:space="preserve">New standards governing diesel engine emissions went into effect on January 1, 2007. </w:t>
      </w:r>
      <w:r>
        <w:rPr>
          <w:rFonts w:ascii="Arial" w:cs="Arial" w:eastAsia="Arial" w:hAnsi="Arial"/>
          <w:sz w:val="17"/>
          <w:szCs w:val="17"/>
          <w:color w:val="auto"/>
        </w:rPr>
        <w:t>We expect the new diesel engine emissions standards to cause</w:t>
      </w:r>
      <w:r>
        <w:rPr>
          <w:rFonts w:ascii="Arial" w:cs="Arial" w:eastAsia="Arial" w:hAnsi="Arial"/>
          <w:sz w:val="18"/>
          <w:szCs w:val="18"/>
          <w:color w:val="auto"/>
        </w:rPr>
        <w:t xml:space="preserve"> </w:t>
      </w:r>
      <w:r>
        <w:rPr>
          <w:rFonts w:ascii="Arial" w:cs="Arial" w:eastAsia="Arial" w:hAnsi="Arial"/>
          <w:sz w:val="17"/>
          <w:szCs w:val="17"/>
          <w:color w:val="auto"/>
        </w:rPr>
        <w:t>Class 8 truck deliveries to decrease significantly in the remainder of 2007 compared to the second, third and fourth quarters of 2006 as the market slowly transitions to the new engines and depletes the supply of heavy-duty trucks with diesel engines built before January 1, 2007. We anticipate Class 8 truck orders will begin to rebound in the fourth quarter of 2007, but this will depend largely upon general economic conditions and the cost and reliability of the new diesel engines. We expect strong Class 8 markets in 2008 and 2009 as customers purchase Class 8 trucks in advance of even more stringent diesel engine emissions standards scheduled to go into effect in 2010.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Although first quarter Class 8 truck sales were down compared to the prior year, this decrease was more than offset by a 61% increase in our</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medium-duty truck deliveries. </w:t>
      </w:r>
      <w:r>
        <w:rPr>
          <w:rFonts w:ascii="Arial" w:cs="Arial" w:eastAsia="Arial" w:hAnsi="Arial"/>
          <w:sz w:val="17"/>
          <w:szCs w:val="17"/>
          <w:color w:val="auto"/>
        </w:rPr>
        <w:t>We have added medium-duty franchises across our dealer network in recent years. Although industry experts expect medium-duty</w:t>
      </w:r>
      <w:r>
        <w:rPr>
          <w:rFonts w:ascii="Arial" w:cs="Arial" w:eastAsia="Arial" w:hAnsi="Arial"/>
          <w:sz w:val="18"/>
          <w:szCs w:val="18"/>
          <w:color w:val="auto"/>
        </w:rPr>
        <w:t xml:space="preserve"> </w:t>
      </w:r>
      <w:r>
        <w:rPr>
          <w:rFonts w:ascii="Arial" w:cs="Arial" w:eastAsia="Arial" w:hAnsi="Arial"/>
          <w:sz w:val="17"/>
          <w:szCs w:val="17"/>
          <w:color w:val="auto"/>
        </w:rPr>
        <w:t xml:space="preserve">truck sales to decrease approximately 15% in 2007, we expect to increase our medium-duty truck sales in 2007 as our recently added franchises continue to mature. </w:t>
      </w:r>
      <w:r>
        <w:rPr>
          <w:rFonts w:ascii="Arial" w:cs="Arial" w:eastAsia="Arial" w:hAnsi="Arial"/>
          <w:sz w:val="18"/>
          <w:szCs w:val="18"/>
          <w:color w:val="auto"/>
        </w:rPr>
        <w:t>Additionally, our absorption rate during the first quarter increased from 100.9% in 2006 to 101.7% in 2007 and our same store absorption rate</w:t>
      </w:r>
      <w:r>
        <w:rPr>
          <w:rFonts w:ascii="Arial" w:cs="Arial" w:eastAsia="Arial" w:hAnsi="Arial"/>
          <w:sz w:val="17"/>
          <w:szCs w:val="17"/>
          <w:color w:val="auto"/>
        </w:rPr>
        <w:t xml:space="preserve"> </w:t>
      </w:r>
      <w:r>
        <w:rPr>
          <w:rFonts w:ascii="Arial" w:cs="Arial" w:eastAsia="Arial" w:hAnsi="Arial"/>
          <w:sz w:val="18"/>
          <w:szCs w:val="18"/>
          <w:color w:val="auto"/>
        </w:rPr>
        <w:t>reached 102.4%. This increase in our absorption rate illustrates our commitment to implement necessary expense reductions while continuing to provide the highest levels of customer service.</w:t>
      </w:r>
    </w:p>
    <w:p>
      <w:pPr>
        <w:spacing w:after="0" w:line="19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While our visibility into the remainder of 2007 is limited, we believe our inventory of trucks with engines manufactured prior to January 1, 2007, continued growth in medium-duty truck sales, and focus on maintaining to slightly improving our absorption rate will continue to help us </w:t>
      </w:r>
      <w:r>
        <w:rPr>
          <w:rFonts w:ascii="Arial" w:cs="Arial" w:eastAsia="Arial" w:hAnsi="Arial"/>
          <w:sz w:val="17"/>
          <w:szCs w:val="17"/>
          <w:color w:val="auto"/>
        </w:rPr>
        <w:t>the soften the</w:t>
      </w:r>
      <w:r>
        <w:rPr>
          <w:rFonts w:ascii="Arial" w:cs="Arial" w:eastAsia="Arial" w:hAnsi="Arial"/>
          <w:sz w:val="18"/>
          <w:szCs w:val="18"/>
          <w:color w:val="auto"/>
        </w:rPr>
        <w:t xml:space="preserve"> </w:t>
      </w:r>
      <w:r>
        <w:rPr>
          <w:rFonts w:ascii="Arial" w:cs="Arial" w:eastAsia="Arial" w:hAnsi="Arial"/>
          <w:sz w:val="17"/>
          <w:szCs w:val="17"/>
          <w:color w:val="auto"/>
        </w:rPr>
        <w:t>earnings impact that will result from the expected market slowdown in 2007</w:t>
      </w:r>
      <w:r>
        <w:rPr>
          <w:rFonts w:ascii="Arial" w:cs="Arial" w:eastAsia="Arial" w:hAnsi="Arial"/>
          <w:sz w:val="18"/>
          <w:szCs w:val="18"/>
          <w:color w:val="auto"/>
        </w:rPr>
        <w:t>. We remain alert for opportunities to deploy capital when an attractively priced</w:t>
      </w:r>
      <w:r>
        <w:rPr>
          <w:rFonts w:ascii="Arial" w:cs="Arial" w:eastAsia="Arial" w:hAnsi="Arial"/>
          <w:sz w:val="17"/>
          <w:szCs w:val="17"/>
          <w:color w:val="auto"/>
        </w:rPr>
        <w:t xml:space="preserve"> </w:t>
      </w:r>
      <w:r>
        <w:rPr>
          <w:rFonts w:ascii="Arial" w:cs="Arial" w:eastAsia="Arial" w:hAnsi="Arial"/>
          <w:sz w:val="18"/>
          <w:szCs w:val="18"/>
          <w:color w:val="auto"/>
        </w:rPr>
        <w:t>investment opportunity presents itself and continue to evaluate such opportunities.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Revenues increased $33.4 million, or 6.7%, in the first quarter of 2007 compared to the first quarter of 2006. Sales of new and used trucks increased $14.3 million, or 3.9%, in the first quarter of 2007 compared to the first quarter of 2006. This increase in new and used truck revenue is primarily due to increased sales of medium-duty trucks. The increase in medium-duty sales is attributable to our acquisitions of medium-duty franchises in 2005 and 2006.</w:t>
      </w:r>
    </w:p>
    <w:p>
      <w:pPr>
        <w:spacing w:after="0" w:line="14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Unit sales of new Class 8 trucks decreased 11.7% in the first quarter of 2007 compared to the first quarter of 2006. The Class 8 truck sales market in the U.S decreased 17% in the first quarter of 2007 compared to the first quarter of 2006 as estimated by A.C.T. Research Co., LLC (“A.C.T. Research”), a heavy-duty truck industry data and forecasting services provider. In 2006, the Company retained a 4.1% share of the Class 8 truck sales market in the U.S. The Company expects its share to range between 4.0% and 5.0% of the U.S. Class 8 truck sales market in 2007, which would result in the sale of approximately 7,200 to 8,000 Class 8 trucks based on A.C.T. Research’s current 2007 retail sales estimates of 166,000 units.</w:t>
      </w:r>
    </w:p>
    <w:p>
      <w:pPr>
        <w:spacing w:after="0" w:line="17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Unit sales of new medium-duty trucks increased 61.5% in the first quarter of 2007 compared to the first quarter of 2006. The Company continues to improve its medium-duty truck sales by adding experienced medium-duty sales personnel, introducing new medium-duty franchises at some of the Company’s Rush Truck Centers and through acquisitions. Overall, new medium-duty truck sales revenue increased approximately $27.4 million, or 55.9%, in the first quarter of 2007 compared to the first quarter of 2006. A.C.T. Research currently expects a 15% decline in United States retail sales of Class 4, 5, 6, and 7 medium-duty trucks, however, the Company expects to increase same store medium-duty sales and market share in 2007 compared to 2006. In 2006, the Company achieved a 1.7% share of the Class 4 through 7 truck sales market in the U.S. The Company expects its share to be approximately 2.5% of the U.S. Class 4 through 7 truck sales market in 2007, which would result in the sale of approximately 6,000 Class 4 through 7 trucks based on A.C.T. Research’s current 2007 retail sales estimates of 236,000 units.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Unit sales of used trucks increased 1.8% in the first quarter of 2007 compared to the first quarter of 2006. Used truck average revenue per unit increased by approximately 9.5%. Historically, used truck demand is consistent with new truck demand. In 2007, the Company expects used truck sales to be largely dependent upon our ability to acquire quality used trucks and maintain and adequate used truck inventory. The Company expects to sell approximately 4,000 used trucks in 2007 compared to 4,005 in 2006.</w:t>
      </w:r>
    </w:p>
    <w:p>
      <w:pPr>
        <w:spacing w:after="0" w:line="187"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Parts and service sales increased $12.4 million, or 11.9%, in the first quarter of 2007 compared to the first quarter of 2006. The parts and service sales increase was consistent with management’s expectations, which take into account general economic conditions, successful business development, acquisitions and price increases for parts and labor. The Company expects parts and service sales to increase 12% to 15% during 2007 compared to 2006.</w:t>
      </w:r>
    </w:p>
    <w:p>
      <w:pPr>
        <w:spacing w:after="0" w:line="147"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Sales of new and used construction equipment increased $2.3 million, or 15.9%, in the first quarter of 2007 compared to the first quarter of 2006. The Company is continuing to make a concerted effort to increase its market share in the Houston area. John Deere’s market share in the Houston area construction equipment market decreased to 22.1% in the first quarter of 2007 from 22.9% in the first quarter of 2006. The decrease in John Deere’s market share is primarily due to the decrease in direct manufacturer sales in the Houston area in the first quarter of 2007 compared to the first quarter of 2006. The Company believes it can increase John Deere’s market share in the Houston area to approximately 23.0% in 2007.</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Truck lease and rental revenues increased $2.7 million, or 28.6%, in the first quarter of 2007 compared to the first quarter of 2006. This increase in lease and rental revenue is primarily related to the increased number of units in the lease and rental fleet in the first quarter of 2007 compared to the first quarter of 2006. The Company expects lease and rental revenue to increase 13% to 18% during the remainder of 2007 compared to 2006 because of additions to the Company’s lease and rental fleet made in the second half of 2006.</w:t>
      </w:r>
    </w:p>
    <w:p>
      <w:pPr>
        <w:spacing w:after="0" w:line="18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Finance and insurance revenues increased $1.4 million, or 35.4%, in the first quarter of 2007 compared to the first quarter of 2006. The Company expects finance income from new Class 8 truck sales to decrease during 2007 compared to 2006 because of the expected decline in new Class 8 truck sales. The decrease in finance income will be mitigated by increases in medium-duty truck sales and insurance revenue due to product expansion and recent acquisitions. The Company expects overall finance revenue to decrease approximately 10% in 2007 compared to 2006. Finance and insurance revenues have limited direct costs and, therefore, contribute a disproportionate share of the Company’s operating profits.</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Other income increased $0.2 million, or 12.9%, in the first quarter of 2007 compared to the first quarter of 2006. Other income consists primarily of document fees on truck sales, the gain on sale realized on trucks from the lease and rental fleet, and commissions earned from John Deere for direct manufacturer sales into our area of responsibility.</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Profit</w:t>
      </w:r>
    </w:p>
    <w:p>
      <w:pPr>
        <w:sectPr>
          <w:pgSz w:w="11900" w:h="16838" w:orient="portrait"/>
          <w:cols w:equalWidth="0" w:num="1">
            <w:col w:w="11420"/>
          </w:cols>
          <w:pgMar w:left="240" w:top="125" w:right="239" w:bottom="0" w:gutter="0" w:footer="0" w:header="0"/>
          <w:type w:val="continuous"/>
        </w:sectPr>
      </w:pPr>
    </w:p>
    <w:bookmarkStart w:id="11" w:name="page12"/>
    <w:bookmarkEnd w:id="11"/>
    <w:p>
      <w:pPr>
        <w:ind w:right="20" w:firstLine="648"/>
        <w:spacing w:after="0" w:line="257" w:lineRule="auto"/>
        <w:rPr>
          <w:sz w:val="20"/>
          <w:szCs w:val="20"/>
          <w:color w:val="auto"/>
        </w:rPr>
      </w:pPr>
      <w:r>
        <w:rPr>
          <w:rFonts w:ascii="Arial" w:cs="Arial" w:eastAsia="Arial" w:hAnsi="Arial"/>
          <w:sz w:val="18"/>
          <w:szCs w:val="18"/>
          <w:color w:val="auto"/>
        </w:rPr>
        <w:t>Gross profit increased $7.9 million, or 9.7%, in the first quarter of 2007 compared to the first quarter of 2006. Gross profit as a percentage of sales increased to 16.8% in the first quarter of 2007 from 16.4% in the first quarter of 2006. This increase is primarily a result of a change in our product sales mix. Truck sales, a lower margin revenue item, decreased as a percentage of total revenue to 71.1% in the first quarter of 2007 from 73.0% in the first quarter of 2006. Parts and service revenue, a higher margin revenue item, increased as a percentage of total revenue to 22.1% in the first quarter of 2007 from 21.1% in the first quarter of 2006.</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Gross margins on Class 8 truck sales increased to 8.5% in the first quarter of 2007 from 8.4% in the first quarter of 2006. For the remainder of 2007, the Company expects overall gross margins from Class 8 truck sales of approximately 6.5% to 7.5% depending upon demand for trucks with engines built subsequent to December 31, 2007.</w:t>
      </w:r>
    </w:p>
    <w:p>
      <w:pPr>
        <w:spacing w:after="0" w:line="1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Gross margins on medium-duty truck sales decreased to 5.1% in the first quarter of 2007 from 6.3% in the first quarter of 2006. For the remainder of 2007, the Company expects overall gross margins from medium-duty truck sales of approximately 4.5% to 7.0%. The Company’s 2007 gross margins on medium-duty trucks could vary significantly depending upon the mix of fleet and non-fleet purchasers and types of medium-duty trucks sold.</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Gross margins on used truck sales increased to 9.4% in the first quarter of 2007 from 8.3% in the first quarter of 2006. The challenge for the Company’s used truck business is procuring a sufficient quantity of quality used trucks for resale at acceptable prices. The Company believes it will be able to continue to achieve margins of approximately 8.5% to 9.5% during 2007.</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Gross margins from the Company’s parts, service and body shop operations increased to 41.8% in the first quarter of 2007 from 40.6% in the first quarter of 2006. Gross profit for the parts, service and body shop departments increased to $48.9 million in the first quarter of 2007 from $42.6 million in the first quarter of 2006. The increase in gross profit 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primarily attributable to new store acquisitions. The Company expects to maintain gross margins on parts, service and body shop operations of approximately 40.0% to 42.0% during 2007.</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Gross margins on new and used construction equipment sales decreased to 10.4% in the first quarter of 2007 from 12.0% in the first quarter of 2006. This decrease in gross margins is attributable to the Company’s efforts to increase its market share in the Houston area, which has required the Company to sell construction equipment at lower margins. The Company expects 2007 gross margins to remain in a range of 10.0% to 12.0% depending on the mix of products sold.</w:t>
      </w:r>
    </w:p>
    <w:p>
      <w:pPr>
        <w:spacing w:after="0" w:line="187"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Gross margins from truck lease and rental sales decreased to 13.4% in the first quarter of 2007 from approximately 23.9% in the first quarter of 2006. The Company expects gross margins from lease and rental sales to decline to approximately 15.0% to 18.0% in 2007. The decrease in the gross margin from lease and rental sales is primarily due to the decline in the utilization of the rental fleet, which was a result of the recent additions to our rental fleet. We expect gross margins to gradually increase as our utilization rate increases throughout the remainder of 2007.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Selling, general and administrative (“SG&amp;A”) expenses increased $3.8 million, or 6.7%, in the first quarter of 2007 compared to the first quarter of 2006. SG&amp;A expenses as a percentage of sales was 11.4% in the first quarter of 2007 and the first quarter of 2006. SG&amp;A expenses as a percentage of revenue have historically ranged from 10.0% to 16.0%; however, when new and used truck revenue is high, SG&amp;A expenses as a percentage of revenue are typically at the lower end of this range. In 2007, the Company expects the selling portion of SG&amp;A expenses to be approximately 30% to 33% of new and used truck gross profit. The general and administrative portion of SG&amp;A will increase approximately 5% to 10% in 2007 due to the effect of inflation and acquisitions made in 2006 and early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Net interest expense increased $1.0 million, or 27.7%, in the first quarter of 2007 compared to the first quarter of 2006. This increase is primarily due to the increase in floor plan notes payable. To take advantage of increased demand for trucks with diesel engines manufactured prior to January 1, 2007, the Company has maintained higher levels of truck inventory in the first quarter of 2007 than it has traditionally maintained, which increases the Company’s floor plan notes payable. The Company expects net interest expense in 2007 to increase approximate 10.0% compared to 2006.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Income before income taxes increased $2.5 million, or 13.4%, in the first quarter of 2007 compared to the first quarter of 2006. However, the Company believes that income in 2007 will decrease compared to 2006 because of the expected significant decrease in heavy-duty truck sales during the remainder of 2007 relative to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Income taxes increased $1.0 million, or 14.9%, in the first quarter of 2007 compared to the first quarter of 2006. The Company provided for taxes at an effective rate of 37.5% in the first quarter of 2006 and 38.0% in the first quarter of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125" w:right="239" w:bottom="77" w:gutter="0" w:footer="0" w:header="0"/>
        </w:sectPr>
      </w:pPr>
    </w:p>
    <w:bookmarkStart w:id="12" w:name="page13"/>
    <w:bookmarkEnd w:id="12"/>
    <w:p>
      <w:pPr>
        <w:spacing w:after="0" w:line="83"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Company’s short-term cash requirements are primarily for working capital, inventory financing, the improvement and expansion of existing facilities, and the construction of new facilities. Historically, these cash requirements have been met through the retention of profits and borrowings under our floor plan arrangements. As of March 31, 2007, the Company had working capital of approximately $163.7 million, including $162.1 million in cash available to fund our operations.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Company may request working capital advances in the minimum amount of $100,000 from GE Capital, its primary truck lender. However, such working capital advances may not cause the total indebtedness owed GE Capital to exceed an amount equal to the wholesale advances made against the then current inventory less any payment reductions then due. There were no working capital advances outstanding under this agreement at March 31, 2007.</w:t>
      </w:r>
    </w:p>
    <w:p>
      <w:pPr>
        <w:spacing w:after="0" w:line="14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$8.0 million. There were no advances outstanding under this secured line of credit at March 31, 2007, however, $6.3 million was pledged to secure various letters of credit related to self-insurance products, leaving $1.7 million available for future borrowings as of March 31, 2007.</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signed agreements with SAP America, Inc and Titan Technology Partners, Limited to purchase and implement SAP enterprise software and a new SAP dealership management system. The cost of the SAP software and implementation is estimated at $10.0 million. The Company has no other material commitments for capital expenditures as of March 31, 2007. However, the Company will continue to purchase vehicles that are necessary to operate its lease and rental division. Furthermore, management will continue to authorize capital expenditures for improvement and expansion of dealership facilities based on market opportunities.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2260" w:firstLine="648"/>
        <w:spacing w:after="0" w:line="342" w:lineRule="auto"/>
        <w:rPr>
          <w:sz w:val="20"/>
          <w:szCs w:val="20"/>
          <w:color w:val="auto"/>
        </w:rPr>
      </w:pPr>
      <w:r>
        <w:rPr>
          <w:rFonts w:ascii="Arial" w:cs="Arial" w:eastAsia="Arial" w:hAnsi="Arial"/>
          <w:sz w:val="16"/>
          <w:szCs w:val="16"/>
          <w:color w:val="auto"/>
        </w:rPr>
        <w:t>Cash and cash equivalents increased by $0.5 million during the three months ended March 31, 2007 and decreased by $11.8 million during the three months ended March 31, 2006. The major components of these changes are discussed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quarter of 2007, operating activities resulted in net cash provided by operations of $34.9 million. Cash provided by operating activities was primarily impacted by the decrease in accounts receivable and the decrease in inventory. During the first quarter of 2006, operating activities resulted in net cash provided by operations of $27.4 million.</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believes that changes in aggregate floor plan liabilities are directly linked to changes in vehicle inventory and, therefore, are an integral part of understanding changes in our working capital and operating cash flow. Consequently, the Company has provided below a reconciliation of cash flow from operating activities as reported in our consolidated statement of cash flows as if changes in vehicle floor plan were classified as an operating activity (in thousands).</w:t>
      </w:r>
    </w:p>
    <w:p>
      <w:pPr>
        <w:spacing w:after="0" w:line="155" w:lineRule="exact"/>
        <w:rPr>
          <w:sz w:val="20"/>
          <w:szCs w:val="20"/>
          <w:color w:val="auto"/>
        </w:rPr>
      </w:pPr>
    </w:p>
    <w:p>
      <w:pPr>
        <w:jc w:val="center"/>
        <w:ind w:left="4500"/>
        <w:spacing w:after="0"/>
        <w:rPr>
          <w:sz w:val="20"/>
          <w:szCs w:val="20"/>
          <w:color w:val="auto"/>
        </w:rPr>
      </w:pPr>
      <w:r>
        <w:rPr>
          <w:rFonts w:ascii="Arial" w:cs="Arial" w:eastAsia="Arial" w:hAnsi="Arial"/>
          <w:sz w:val="14"/>
          <w:szCs w:val="14"/>
          <w:b w:val="1"/>
          <w:bCs w:val="1"/>
          <w:color w:val="auto"/>
        </w:rPr>
        <w:t>Three Months Ended</w:t>
      </w:r>
    </w:p>
    <w:p>
      <w:pPr>
        <w:jc w:val="center"/>
        <w:ind w:left="450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108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108"/>
              <w:spacing w:after="0" w:line="136"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4"/>
              <w:spacing w:after="0" w:line="136"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as reported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$ 34,865</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$ 27,377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Payments on floor plan notes payable as reported</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(11,022)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w w:val="95"/>
              </w:rPr>
              <w:t>Net cash provided by operating activities including all floor plan notes payable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$ 23,843</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5"/>
              </w:rPr>
              <w:t>$ 18,777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Cash flows from investing activities consist primarily of cash used for capital expenditures and business acquisitions. During the first quarter of 2007, the Company used $24.7 million in investing activities. Capital expenditures consisted of purchases of property and equipment, and improvements to our existing dealership facilities of $18.6 million. Property and equipment purchases during the first quarter of 2007 consisted of $8.9 million for additional units for the rental and leasing operations, which was directly offset by borrowings of long-term debt. The Company expects to purchase trucks worth approximately $40.0 million for its leasing operations in 2007 depending on customer demand. During 2007, the Company expects to make capital expenditures for recurring items such as computers, shop equipment and vehicles of approximately $12.0 million in addition to $6.1 million for the SAP software implementation described above. Cash used in business acquisitions was $7.0 million during the three months ended March 31, 2007. See Note 6 of the Notes to Consolidated Financial Statements for a detailed discussion of these acquisitions.</w:t>
      </w:r>
    </w:p>
    <w:p>
      <w:pPr>
        <w:spacing w:after="0" w:line="17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During the first quarter of 2006, cash used in investing activities was $30.1 million. Capital expenditures consisted of purchases of property and equipment, and improvements to our existing dealership facilities of $9.3 million. Property and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equipment purchases during the first quarter of 2006 consisted of $5.6 million of additional units for the rental and leasing operations, which was directly offset by borrowings of long-term debt. Cash used in business acquisitions was $22.0 million during the first quarter of 2006.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Cash flows from financing activities include borrowings and repayments of long-term debt and net proceeds of floor plan notes payable. Cash used in financing activities was $9.7 million during the first quarter of 2007. The Company had borrowings of long-term debt of $11.6 million and repayments of</w:t>
      </w:r>
    </w:p>
    <w:p>
      <w:pPr>
        <w:sectPr>
          <w:pgSz w:w="11900" w:h="16921" w:orient="portrait"/>
          <w:cols w:equalWidth="0" w:num="1">
            <w:col w:w="11400"/>
          </w:cols>
          <w:pgMar w:left="240" w:top="125" w:right="259" w:bottom="0" w:gutter="0" w:footer="0" w:header="0"/>
        </w:sectPr>
      </w:pPr>
    </w:p>
    <w:bookmarkStart w:id="13" w:name="page14"/>
    <w:bookmarkEnd w:id="13"/>
    <w:p>
      <w:pPr>
        <w:spacing w:after="0" w:line="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long-term debt of $8.6 million during the first quarter of 2007. The Company had net payments of floor plan notes payable of $11.0 million during the first quarter of 2007. The borrowings of long-term debt were primarily related to the increase in the lease and rental fleet.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Cash used in financing activities was $9.1 million during the first quarter of 2006. The Company had borrowings of long-term debt of $14.5 million and repayments of long-term debt of $15.7 million during the first quarter of 2006. The Company had net payments of floor plan notes payable of $8.6 million during the first quarter of 2006. The borrowings of long-term debt were primarily related to the increase in the lease and rental fleet and refinancing of the corporate aircraft.</w:t>
      </w:r>
    </w:p>
    <w:p>
      <w:pPr>
        <w:spacing w:after="0" w:line="18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Substantially all of the Company’s truck purchases are made on terms requiring payment within 15 days or less from the date the trucks are invoiced from the factory. On September 20, 2005, the Company entered into a three-year floor plan financing agreement with GE Capital. Interest under the floor plan financing agreement is payable monthly at a rate equal to LIBOR plus 1.68%. The Company finances substantially all of the purchase price of its new truck inventory, and the loan value of its used truck inventory under the floor plan financing agreement with GE Capital, under which GE Capital pays the manufacturer directly with respect to new trucks. The Company makes monthly interest payments to GE Capital on the amount financed, but is not required to commence loan principal repayments on any vehicle until such vehicle has been floor planned for 12 months or is sold. The agreement allows for prepayments and working capital advances with monthly adjustments to the interest due on outstanding advances. On March 31, 2007, the Company had approximately $422.4 million outstanding under its floor plan financing agreement with GE Capital.</w:t>
      </w:r>
    </w:p>
    <w:p>
      <w:pPr>
        <w:spacing w:after="0" w:line="179" w:lineRule="exact"/>
        <w:rPr>
          <w:sz w:val="20"/>
          <w:szCs w:val="20"/>
          <w:color w:val="auto"/>
        </w:rPr>
      </w:pPr>
    </w:p>
    <w:p>
      <w:pPr>
        <w:ind w:right="40" w:firstLine="648"/>
        <w:spacing w:after="0" w:line="256" w:lineRule="auto"/>
        <w:rPr>
          <w:sz w:val="20"/>
          <w:szCs w:val="20"/>
          <w:color w:val="auto"/>
        </w:rPr>
      </w:pPr>
      <w:r>
        <w:rPr>
          <w:rFonts w:ascii="Arial" w:cs="Arial" w:eastAsia="Arial" w:hAnsi="Arial"/>
          <w:sz w:val="17"/>
          <w:szCs w:val="17"/>
          <w:color w:val="auto"/>
        </w:rPr>
        <w:t>Substantially all of the Company’s new construction equipment purchases are financed by John Deere and CitiCapital. The Company finances substantially all of the purchase price of its new construction equipment inventory under its floor plan facilities. The Company’s floor plan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it is transferred to the CitiCapital floor plan arrangement. The Company makes principal payments for sold inventory to CitiCapital on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each month. Used and rental construction equipment is financed to a maximum of book value under a floor plan arrangement with CitiCapital. The Company makes monthly interest payments on the amount financed and is required to commence loan principal repayments on rental construction equipment as book value reduces. Principal payments for sold used construction equipment are made no later than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each month following the sale. The loans are collateralized by a lien on the construction equipment. The Company’s floor plan agreements limit the aggregate amount of borrowings based on the book value of new and used construction equipment units. As of March 31, 2007, the Company’s floor plan arrangement with CitiCapital permits the financing of up to $13.5 million in construction equipment. On March 31, 2007, the Company had $4.3 million outstanding under its floor plan financing arrangements with John Deere and $8.7 million outstanding under its floor plan financing arrangement with CitiCapital.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On March 31, 2007, the Company’s backlog of truck orders was approximately $238.5 million as compared to a backlog of truck orders of approximately $650.0 million on March 31, 2006. The Company includes only confirmed orders in its backlog. The Company sells the majority of its new trucks by customer special order, with the remainder sold out of inventory. The delivery time for a custom-ordered truck varies depending on the truck specifications and demand for the particular model ordered; however, due to the decreased demand for trucks with engines built after January 1, 2007, delivery times for heavy-duty trucks have decreased significantly from delivery times during peak demand in 2006. As a result, purchasers of heavy-duty trucks do not need to place orders several months in advance and our backlog has significantly decreased.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Company’s truck business is moderately seasonal. Seasonal effects on new truck sales related to the seasonal purchasing patterns of any single customer type are mitigated by the Company’s diverse customer base, including small and large fleets, governments, corporations and owner operators. However, truck parts and service operations historically have experienced higher volumes of sales in the second and third quarters.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Seasonal effects in the construction equipment business are weather related.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Company’s business is dependent on a number of factors relating to general economic conditions, including fuel prices, interest rate fluctuations, economic recessions, environmental and other government regulations and customer business cycles. Unit sales of new trucks have historically been subject to substantial cyclical variation based on these general economic conditions. According to data published by A.C.T. Research, in recent years total domestic retail sales of new Class 8 trucks have ranged from a low of approximately 140,000 in 2001 to a high of approximately 291,000 in 2006. Class 8 trucks are defined by the American Automobile Association as trucks with a minimum gross vehicle weight rating above 33,000 pounds. Domestic Class 8 unit sales are expected to decrease dramatically to approximately 166,000 units during 2007 according to A.C.T. Research. Through geographic expansion, concentration on higher margin parts and service operations and diversification of its customer base, the Company attempts to reduce the negative impact on the Company’s earnings of adverse general economic conditions or cyclical trends affecting the heavy-duty truck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ind w:right="420" w:firstLine="648"/>
        <w:spacing w:after="0" w:line="288" w:lineRule="auto"/>
        <w:rPr>
          <w:sz w:val="20"/>
          <w:szCs w:val="20"/>
          <w:color w:val="auto"/>
        </w:rPr>
      </w:pPr>
      <w:r>
        <w:rPr>
          <w:rFonts w:ascii="Arial" w:cs="Arial" w:eastAsia="Arial" w:hAnsi="Arial"/>
          <w:sz w:val="16"/>
          <w:szCs w:val="16"/>
          <w:color w:val="auto"/>
        </w:rPr>
        <w:t>Our operations are subject to numerous federal, state and local laws and regulations, including laws and regulations designed to protect the environment by regulating the discharge of materials into the environment. EPA emission guidelines have a major impact on our operations. The EPA mandated that diesel engine manufacturers meet new, stricter emissions guidelines regarding nitrous oxides for all engines built subsequent to January 1,</w:t>
      </w:r>
    </w:p>
    <w:p>
      <w:pPr>
        <w:spacing w:after="0" w:line="254" w:lineRule="auto"/>
        <w:rPr>
          <w:sz w:val="20"/>
          <w:szCs w:val="20"/>
          <w:color w:val="auto"/>
        </w:rPr>
      </w:pPr>
      <w:r>
        <w:rPr>
          <w:rFonts w:ascii="Arial" w:cs="Arial" w:eastAsia="Arial" w:hAnsi="Arial"/>
          <w:sz w:val="18"/>
          <w:szCs w:val="18"/>
          <w:color w:val="auto"/>
        </w:rPr>
        <w:t>2007. The 2007 emission guidelines caused the heavy-duty truck industry to experience a significant increase in demand for trucks during 2005, 2006 and the first quarter of 2007. The Company expects this recent period of increased demand to be followed by a decrease in demand for heavy-duty trucks in the second and third quarters of 2007. The severity of the decrease in demand for heavy-duty trucks will depend largely upon general economic conditions but the cost, reliability and efficiency of the new diesel engines will also impact demand.</w:t>
      </w:r>
    </w:p>
    <w:p>
      <w:pPr>
        <w:sectPr>
          <w:pgSz w:w="11900" w:h="16869" w:orient="portrait"/>
          <w:cols w:equalWidth="0" w:num="1">
            <w:col w:w="11420"/>
          </w:cols>
          <w:pgMar w:left="240" w:top="125" w:right="239" w:bottom="0" w:gutter="0" w:footer="0" w:header="0"/>
        </w:sectPr>
      </w:pPr>
    </w:p>
    <w:bookmarkStart w:id="14" w:name="page15"/>
    <w:bookmarkEnd w:id="14"/>
    <w:p>
      <w:pPr>
        <w:ind w:right="60" w:firstLine="648"/>
        <w:spacing w:after="0" w:line="257" w:lineRule="auto"/>
        <w:rPr>
          <w:sz w:val="20"/>
          <w:szCs w:val="20"/>
          <w:color w:val="auto"/>
        </w:rPr>
      </w:pPr>
      <w:r>
        <w:rPr>
          <w:rFonts w:ascii="Arial" w:cs="Arial" w:eastAsia="Arial" w:hAnsi="Arial"/>
          <w:sz w:val="18"/>
          <w:szCs w:val="18"/>
          <w:color w:val="auto"/>
        </w:rPr>
        <w:t>The EPA has also mandated even stricter emissions guidelines regarding nitrous oxides for all diesel engines built subsequent to January 1, 2010. If new diesel engine emission standards are implemented in 2010, we expect deliveries of heavy-duty and medium-duty trucks to significantly decrease in 2010 relative to 2009. The EPA has also proposed regulations requiring emissions controls systems on 2010 and later heavy-duty and medium-duty trucks to be monitored for malfunctions via an onboard diagnostic systems similar to those required in passenger vehicles since the mid-1990s, which could also impact demand for trucks.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Company believes that the relatively moderate rate of inflation over the last few years has not had a significant impact on its revenues or profitability. Additionally, the Company does not expect inflation to have any short-term material effect on the sale of its products and services.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is exposed to some market risk through interest rates related to our floor plan borrowing arrangements, variable rate debt and discount rates related to finance sales. Floor plan borrowings are based on the LIBOR and prime rates of interest and are used to meet working capital needs. As of March 31, 2007, the Company had floor plan borrowings of approximately $435.3 million. Assuming an increase in the LIBOR or prime rates of interest of 100 basis points, annual interest expense could increase by approximately $4.4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of $162.1 million at March 31, 2007. These funds are generally invested in highly liquid money market accounts, government-sponsored enterprises, corporate bonds and offset of floor plan debt that do not expose the Company to a loss of principal.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$1.6 million. We have not used derivative financial instruments in our investment portfolio.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March 31, 2007 to provide reasonable assurance that information required to be disclosed in the reports filed or submitted under the Securities Exchange Act of 1934 is recorded, processed, summarized and reported within the time periods specified in the Securities and Exchange Commission’s rules and forms.</w:t>
      </w:r>
    </w:p>
    <w:p>
      <w:pPr>
        <w:spacing w:after="0" w:line="158"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There has been no change in the Company’s internal control over financial reporting that occurred during the three months ended March 31, 2007 that has materially affected, or is reasonably likely to materially affect, the Company’s internal control over financial reporting.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our risk factors from those disclosed in our 2006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did not make any unregistered sales of equity securities during the first quarter of 2007, nor did it repurchase any shares of its Class A Common Stock or Class B Common Stock during the first quarter of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ectPr>
          <w:pgSz w:w="11900" w:h="16838" w:orient="portrait"/>
          <w:cols w:equalWidth="0" w:num="1">
            <w:col w:w="11400"/>
          </w:cols>
          <w:pgMar w:left="240" w:top="125" w:right="259" w:bottom="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7400" w:type="dxa"/>
            <w:vAlign w:val="bottom"/>
            <w:vMerge w:val="restart"/>
          </w:tcPr>
          <w:p>
            <w:pPr>
              <w:ind w:left="3300"/>
              <w:spacing w:after="0"/>
              <w:rPr>
                <w:sz w:val="20"/>
                <w:szCs w:val="20"/>
                <w:color w:val="auto"/>
              </w:rPr>
            </w:pPr>
            <w:r>
              <w:rPr>
                <w:rFonts w:ascii="Arial" w:cs="Arial" w:eastAsia="Arial" w:hAnsi="Arial"/>
                <w:sz w:val="14"/>
                <w:szCs w:val="14"/>
                <w:b w:val="1"/>
                <w:bCs w:val="1"/>
                <w:color w:val="auto"/>
              </w:rPr>
              <w:t>Exhibit Title</w:t>
            </w: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7400" w:type="dxa"/>
            <w:vAlign w:val="bottom"/>
            <w:vMerge w:val="continue"/>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1140" w:type="dxa"/>
            <w:vAlign w:val="bottom"/>
            <w:tcBorders>
              <w:top w:val="single" w:sz="8" w:color="auto"/>
            </w:tcBorders>
          </w:tcPr>
          <w:p>
            <w:pPr>
              <w:jc w:val="right"/>
              <w:ind w:right="750"/>
              <w:spacing w:after="0" w:line="195" w:lineRule="exact"/>
              <w:rPr>
                <w:sz w:val="20"/>
                <w:szCs w:val="20"/>
                <w:color w:val="auto"/>
              </w:rPr>
            </w:pPr>
            <w:r>
              <w:rPr>
                <w:rFonts w:ascii="Arial" w:cs="Arial" w:eastAsia="Arial" w:hAnsi="Arial"/>
                <w:sz w:val="18"/>
                <w:szCs w:val="18"/>
                <w:color w:val="auto"/>
                <w:w w:val="79"/>
              </w:rPr>
              <w:t>10.1</w:t>
            </w:r>
          </w:p>
        </w:tc>
        <w:tc>
          <w:tcPr>
            <w:tcW w:w="220" w:type="dxa"/>
            <w:vAlign w:val="bottom"/>
          </w:tcPr>
          <w:p>
            <w:pPr>
              <w:spacing w:after="0"/>
              <w:rPr>
                <w:sz w:val="16"/>
                <w:szCs w:val="16"/>
                <w:color w:val="auto"/>
              </w:rPr>
            </w:pPr>
          </w:p>
        </w:tc>
        <w:tc>
          <w:tcPr>
            <w:tcW w:w="7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Wholesale Security Agreement, dated September 20, 2005, by and among General Electric Capital</w:t>
            </w: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5"/>
              </w:rPr>
              <w:t>Corporation and Rush Truck Centers of Alabama, Inc., Rush Truck Centers of Arizona, Inc., Rush</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8"/>
              </w:rPr>
              <w:t>Truck Centers of California, Inc., Rush Truck Centers of Colorado, Inc., Rush Truck Centers of</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2"/>
              </w:rPr>
              <w:t>Florida, Inc., Rush Truck Centers of New Mexico, Inc., Rush Truck Centers of Oklahoma, Inc., Rush</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4"/>
              </w:rPr>
              <w:t>Truck Centers of Tennessee, Inc., and Rush Truck Centers of Texas, L.P. (incorporated herein by</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3"/>
              </w:rPr>
              <w:t>reference to Exhibit 10.1 of the Company’s Current Report on Form 8-K filed September 23, 2005).</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520" w:type="dxa"/>
            <w:vAlign w:val="bottom"/>
            <w:gridSpan w:val="2"/>
          </w:tcPr>
          <w:p>
            <w:pPr>
              <w:jc w:val="right"/>
              <w:ind w:right="750"/>
              <w:spacing w:after="0"/>
              <w:rPr>
                <w:sz w:val="20"/>
                <w:szCs w:val="20"/>
                <w:color w:val="auto"/>
              </w:rPr>
            </w:pPr>
            <w:r>
              <w:rPr>
                <w:rFonts w:ascii="Arial" w:cs="Arial" w:eastAsia="Arial" w:hAnsi="Arial"/>
                <w:sz w:val="18"/>
                <w:szCs w:val="18"/>
                <w:color w:val="auto"/>
              </w:rPr>
              <w:t>10.2</w:t>
            </w: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5"/>
              </w:rPr>
              <w:t>Addendum to Wholesale Security Agreement, dated September 20, 2005, by and among General</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9"/>
              </w:rPr>
              <w:t>Electric Capital Corporation and Rush Truck Centers of Alabama, Inc., Rush Truck Centers of</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5"/>
              </w:rPr>
              <w:t>Arizona, Inc., Rush Truck Centers of California, Inc., Rush Truck Centers of Colorado, Inc., Rush</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7"/>
              </w:rPr>
              <w:t>Truck Centers of Florida, Inc., Rush Truck Centers of New Mexico, Inc., Rush Truck Centers of</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6"/>
              </w:rPr>
              <w:t>Oklahoma, Inc., Rush Truck Centers of Tennessee, Inc., and Rush Truck Centers of Texas, L.P.</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2"/>
              </w:rPr>
              <w:t>(incorporated herein by reference to Exhibit 10.2 of the Company’s Current Report on Form 8-K filed</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rPr>
              <w:t>September 23, 2005).</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520" w:type="dxa"/>
            <w:vAlign w:val="bottom"/>
            <w:gridSpan w:val="2"/>
          </w:tcPr>
          <w:p>
            <w:pPr>
              <w:jc w:val="right"/>
              <w:ind w:right="750"/>
              <w:spacing w:after="0"/>
              <w:rPr>
                <w:sz w:val="20"/>
                <w:szCs w:val="20"/>
                <w:color w:val="auto"/>
              </w:rPr>
            </w:pPr>
            <w:r>
              <w:rPr>
                <w:rFonts w:ascii="Arial" w:cs="Arial" w:eastAsia="Arial" w:hAnsi="Arial"/>
                <w:sz w:val="18"/>
                <w:szCs w:val="18"/>
                <w:color w:val="auto"/>
              </w:rPr>
              <w:t>10.3</w:t>
            </w: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2"/>
              </w:rPr>
              <w:t>Agreement Amending the Wholesale Security Agreement and Conditionally the Sale of Collateral 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7"/>
              </w:rPr>
              <w:t>a Delayed Payment Privilege Basis, dated September 20, 2005, by and among General Electric</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3"/>
              </w:rPr>
              <w:t>Capital Corporation and Rush Truck Centers of Alabama, Inc., Rush Truck Centers of Arizona, Inc.,</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2"/>
              </w:rPr>
              <w:t>Rush Truck Centers of California, Inc., Rush Truck Centers of Colorado, Inc., Rush Truck Centers of</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2"/>
              </w:rPr>
              <w:t>Florida, Inc., Rush Truck Centers of New Mexico, Inc., Rush Truck Centers of Oklahoma, Inc., Rush</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4"/>
              </w:rPr>
              <w:t>Truck Centers of Tennessee, Inc., and Rush Truck Centers of Texas, L.P. (incorporated herein by</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3"/>
              </w:rPr>
              <w:t>reference to Exhibit 10.3 of the Company’s Current Report on Form 8-K filed September 23, 2005).</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20" w:type="dxa"/>
            <w:vAlign w:val="bottom"/>
            <w:gridSpan w:val="2"/>
          </w:tcPr>
          <w:p>
            <w:pPr>
              <w:ind w:left="4100"/>
              <w:spacing w:after="0"/>
              <w:rPr>
                <w:sz w:val="20"/>
                <w:szCs w:val="20"/>
                <w:color w:val="auto"/>
              </w:rPr>
            </w:pPr>
            <w:r>
              <w:rPr>
                <w:rFonts w:ascii="Arial" w:cs="Arial" w:eastAsia="Arial" w:hAnsi="Arial"/>
                <w:sz w:val="18"/>
                <w:szCs w:val="18"/>
                <w:color w:val="auto"/>
              </w:rPr>
              <w:t>22</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520" w:type="dxa"/>
            <w:vAlign w:val="bottom"/>
            <w:tcBorders>
              <w:bottom w:val="single" w:sz="8" w:color="010101"/>
            </w:tcBorders>
            <w:gridSpan w:val="2"/>
          </w:tcPr>
          <w:p>
            <w:pPr>
              <w:spacing w:after="0"/>
              <w:rPr>
                <w:sz w:val="24"/>
                <w:szCs w:val="24"/>
                <w:color w:val="auto"/>
              </w:rPr>
            </w:pPr>
          </w:p>
        </w:tc>
        <w:tc>
          <w:tcPr>
            <w:tcW w:w="7620" w:type="dxa"/>
            <w:vAlign w:val="bottom"/>
            <w:tcBorders>
              <w:bottom w:val="single" w:sz="8" w:color="010101"/>
            </w:tcBorders>
            <w:gridSpan w:val="2"/>
          </w:tcPr>
          <w:p>
            <w:pPr>
              <w:spacing w:after="0"/>
              <w:rPr>
                <w:sz w:val="24"/>
                <w:szCs w:val="24"/>
                <w:color w:val="auto"/>
              </w:rPr>
            </w:pPr>
          </w:p>
        </w:tc>
        <w:tc>
          <w:tcPr>
            <w:tcW w:w="23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1520" w:type="dxa"/>
            <w:vAlign w:val="bottom"/>
            <w:gridSpan w:val="2"/>
          </w:tcPr>
          <w:p>
            <w:pPr>
              <w:jc w:val="right"/>
              <w:ind w:right="750"/>
              <w:spacing w:after="0"/>
              <w:rPr>
                <w:sz w:val="20"/>
                <w:szCs w:val="20"/>
                <w:color w:val="auto"/>
              </w:rPr>
            </w:pPr>
            <w:r>
              <w:rPr>
                <w:rFonts w:ascii="Arial" w:cs="Arial" w:eastAsia="Arial" w:hAnsi="Arial"/>
                <w:sz w:val="18"/>
                <w:szCs w:val="18"/>
                <w:color w:val="auto"/>
              </w:rPr>
              <w:t>10.4</w:t>
            </w: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1"/>
              </w:rPr>
              <w:t>Second Amendment to Addendum to Wholesale Security Agreement, dated January 22, 2007, by and</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5"/>
              </w:rPr>
              <w:t>between General Electric Capital Corporation and Rush Medium Duty Truck Centers of Colorado,</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2"/>
              </w:rPr>
              <w:t>Inc., Rush Truck Centers of Alabama, Inc., Rush Truck Centers of Arizona, Inc., Rush Truck Centers</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4"/>
              </w:rPr>
              <w:t>of California, Inc., Rush Truck Centers of Colorado, Inc., Rush Truck Centers of Florida, Inc., Rush</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6"/>
              </w:rPr>
              <w:t>Truck Centers of Georgia, Inc., Rush Truck Centers of New Mexico, Inc., Rush Truck Centers of</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6"/>
              </w:rPr>
              <w:t>Oklahoma, Inc., Rush Truck Centers of Tennessee, Inc., and Rush Truck Centers of Texas, L.P.</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2"/>
              </w:rPr>
              <w:t>(incorporated herein by reference to Exhibit 10.4 of the Company’s Current Report on Form 8-K filed</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rPr>
              <w:t>January 23, 2007).</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520" w:type="dxa"/>
            <w:vAlign w:val="bottom"/>
            <w:gridSpan w:val="2"/>
          </w:tcPr>
          <w:p>
            <w:pPr>
              <w:jc w:val="right"/>
              <w:ind w:right="750"/>
              <w:spacing w:after="0"/>
              <w:rPr>
                <w:sz w:val="20"/>
                <w:szCs w:val="20"/>
                <w:color w:val="auto"/>
              </w:rPr>
            </w:pPr>
            <w:r>
              <w:rPr>
                <w:rFonts w:ascii="Arial" w:cs="Arial" w:eastAsia="Arial" w:hAnsi="Arial"/>
                <w:sz w:val="18"/>
                <w:szCs w:val="18"/>
                <w:color w:val="auto"/>
              </w:rPr>
              <w:t>10.5</w:t>
            </w: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5"/>
              </w:rPr>
              <w:t>Form of Indemnity Agreement (incorporated herein by reference to Exhibit 10.1 of the Company’s</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rPr>
              <w:t>Current Report on Form 8-K filed February 27, 2007).</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520" w:type="dxa"/>
            <w:vAlign w:val="bottom"/>
            <w:gridSpan w:val="2"/>
          </w:tcPr>
          <w:p>
            <w:pPr>
              <w:jc w:val="right"/>
              <w:ind w:right="750"/>
              <w:spacing w:after="0"/>
              <w:rPr>
                <w:sz w:val="20"/>
                <w:szCs w:val="20"/>
                <w:color w:val="auto"/>
              </w:rPr>
            </w:pPr>
            <w:r>
              <w:rPr>
                <w:rFonts w:ascii="Arial" w:cs="Arial" w:eastAsia="Arial" w:hAnsi="Arial"/>
                <w:sz w:val="18"/>
                <w:szCs w:val="18"/>
                <w:color w:val="auto"/>
              </w:rPr>
              <w:t>10.6</w:t>
            </w: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2"/>
              </w:rPr>
              <w:t>Employment Agreement, dated February 23, 2007, between Daryl J. Gorup and Rush Administrative</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3"/>
              </w:rPr>
              <w:t>Services, Inc. (incorporated herein by reference to Exhibit 10.2 of the Company’s Current Report on</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rPr>
              <w:t>Form 8-K filed February 27, 2007).</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520" w:type="dxa"/>
            <w:vAlign w:val="bottom"/>
            <w:gridSpan w:val="2"/>
          </w:tcPr>
          <w:p>
            <w:pPr>
              <w:jc w:val="right"/>
              <w:ind w:right="750"/>
              <w:spacing w:after="0"/>
              <w:rPr>
                <w:sz w:val="20"/>
                <w:szCs w:val="20"/>
                <w:color w:val="auto"/>
              </w:rPr>
            </w:pPr>
            <w:r>
              <w:rPr>
                <w:rFonts w:ascii="Arial" w:cs="Arial" w:eastAsia="Arial" w:hAnsi="Arial"/>
                <w:sz w:val="18"/>
                <w:szCs w:val="18"/>
                <w:color w:val="auto"/>
              </w:rPr>
              <w:t>10.7</w:t>
            </w: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9"/>
              </w:rPr>
              <w:t>Employment Agreement, dated February 23, 2007, between Martin A. Naegelin, Jr. and Rush</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6"/>
              </w:rPr>
              <w:t>Administrative Services, Inc. (incorporated herein by reference to Exhibit 10.3 of the Company’s</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rPr>
              <w:t>Current Report on Form 8-K filed February 27, 2007).</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520" w:type="dxa"/>
            <w:vAlign w:val="bottom"/>
            <w:gridSpan w:val="2"/>
          </w:tcPr>
          <w:p>
            <w:pPr>
              <w:jc w:val="right"/>
              <w:ind w:right="750"/>
              <w:spacing w:after="0"/>
              <w:rPr>
                <w:sz w:val="20"/>
                <w:szCs w:val="20"/>
                <w:color w:val="auto"/>
              </w:rPr>
            </w:pPr>
            <w:r>
              <w:rPr>
                <w:rFonts w:ascii="Arial" w:cs="Arial" w:eastAsia="Arial" w:hAnsi="Arial"/>
                <w:sz w:val="18"/>
                <w:szCs w:val="18"/>
                <w:color w:val="auto"/>
              </w:rPr>
              <w:t>10.8</w:t>
            </w: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4"/>
              </w:rPr>
              <w:t>Employment Agreement, dated February 23, 2007, between David C. Orf and Rush Administrative</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3"/>
              </w:rPr>
              <w:t>Services, Inc. (incorporated herein by reference to Exhibit 10.4 of the Company’s Current Report on</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rPr>
              <w:t>Form 8-K filed February 27, 2007).</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520" w:type="dxa"/>
            <w:vAlign w:val="bottom"/>
            <w:gridSpan w:val="2"/>
          </w:tcPr>
          <w:p>
            <w:pPr>
              <w:jc w:val="right"/>
              <w:ind w:right="750"/>
              <w:spacing w:after="0"/>
              <w:rPr>
                <w:sz w:val="20"/>
                <w:szCs w:val="20"/>
                <w:color w:val="auto"/>
              </w:rPr>
            </w:pPr>
            <w:r>
              <w:rPr>
                <w:rFonts w:ascii="Arial" w:cs="Arial" w:eastAsia="Arial" w:hAnsi="Arial"/>
                <w:sz w:val="18"/>
                <w:szCs w:val="18"/>
                <w:color w:val="auto"/>
              </w:rPr>
              <w:t>10.9</w:t>
            </w: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7"/>
              </w:rPr>
              <w:t>Employment Agreement, dated March 20, 2007, between Steve Keller and Rush Administrative</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3"/>
              </w:rPr>
              <w:t>Services, Inc. (incorporated herein by reference to Exhibit 10.1 of the Company’s Current Report on</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rPr>
              <w:t>Form 8-K filed March 22, 2007).</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520" w:type="dxa"/>
            <w:vAlign w:val="bottom"/>
            <w:gridSpan w:val="2"/>
          </w:tcPr>
          <w:p>
            <w:pPr>
              <w:jc w:val="right"/>
              <w:ind w:right="650"/>
              <w:spacing w:after="0"/>
              <w:rPr>
                <w:sz w:val="20"/>
                <w:szCs w:val="20"/>
                <w:color w:val="auto"/>
              </w:rPr>
            </w:pPr>
            <w:r>
              <w:rPr>
                <w:rFonts w:ascii="Arial" w:cs="Arial" w:eastAsia="Arial" w:hAnsi="Arial"/>
                <w:sz w:val="18"/>
                <w:szCs w:val="18"/>
                <w:color w:val="auto"/>
              </w:rPr>
              <w:t>31.1*</w:t>
            </w: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3"/>
              </w:rPr>
              <w:t>Certification of CEO pursuant to Rules 13a-14(a) and 15d-14(a) adopted pursuant to Section 302 of</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rPr>
              <w:t>the Sarbanes-Oxley Act of 2002.</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520" w:type="dxa"/>
            <w:vAlign w:val="bottom"/>
            <w:gridSpan w:val="2"/>
          </w:tcPr>
          <w:p>
            <w:pPr>
              <w:jc w:val="right"/>
              <w:ind w:right="650"/>
              <w:spacing w:after="0"/>
              <w:rPr>
                <w:sz w:val="20"/>
                <w:szCs w:val="20"/>
                <w:color w:val="auto"/>
              </w:rPr>
            </w:pPr>
            <w:r>
              <w:rPr>
                <w:rFonts w:ascii="Arial" w:cs="Arial" w:eastAsia="Arial" w:hAnsi="Arial"/>
                <w:sz w:val="18"/>
                <w:szCs w:val="18"/>
                <w:color w:val="auto"/>
              </w:rPr>
              <w:t>31.2*</w:t>
            </w: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w w:val="93"/>
              </w:rPr>
              <w:t>Certification of CFO pursuant to Rules 13a-14(a) and 15d-14(a) adopted pursuant to Section 302 of</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rPr>
              <w:t>the Sarbanes-Oxley Act of 2002.</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-4795520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-4795520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6" w:name="page17"/>
    <w:bookmarkEnd w:id="16"/>
    <w:tbl>
      <w:tblPr>
        <w:tblLayout w:type="fixed"/>
        <w:tblInd w:w="360" w:type="dxa"/>
        <w:tblCellMar>
          <w:top w:w="0" w:type="dxa"/>
          <w:left w:w="0" w:type="dxa"/>
          <w:bottom w:w="0" w:type="dxa"/>
          <w:right w:w="0" w:type="dxa"/>
        </w:tblCellMar>
      </w:tblPr>
      <w:tr>
        <w:trPr>
          <w:trHeight w:val="216"/>
        </w:trPr>
        <w:tc>
          <w:tcPr>
            <w:tcW w:w="940" w:type="dxa"/>
            <w:vAlign w:val="bottom"/>
          </w:tcPr>
          <w:p>
            <w:pPr>
              <w:jc w:val="right"/>
              <w:ind w:right="350"/>
              <w:spacing w:after="0"/>
              <w:rPr>
                <w:sz w:val="20"/>
                <w:szCs w:val="20"/>
                <w:color w:val="auto"/>
              </w:rPr>
            </w:pPr>
            <w:r>
              <w:rPr>
                <w:rFonts w:ascii="Arial" w:cs="Arial" w:eastAsia="Arial" w:hAnsi="Arial"/>
                <w:sz w:val="18"/>
                <w:szCs w:val="18"/>
                <w:color w:val="auto"/>
                <w:w w:val="97"/>
              </w:rPr>
              <w:t>32.1**</w:t>
            </w:r>
          </w:p>
        </w:tc>
        <w:tc>
          <w:tcPr>
            <w:tcW w:w="7560" w:type="dxa"/>
            <w:vAlign w:val="bottom"/>
          </w:tcPr>
          <w:p>
            <w:pPr>
              <w:ind w:left="440"/>
              <w:spacing w:after="0"/>
              <w:rPr>
                <w:sz w:val="20"/>
                <w:szCs w:val="20"/>
                <w:color w:val="auto"/>
              </w:rPr>
            </w:pPr>
            <w:r>
              <w:rPr>
                <w:rFonts w:ascii="Arial" w:cs="Arial" w:eastAsia="Arial" w:hAnsi="Arial"/>
                <w:sz w:val="18"/>
                <w:szCs w:val="18"/>
                <w:color w:val="auto"/>
                <w:w w:val="90"/>
              </w:rPr>
              <w:t>Certification of CEO pursuant to 18 U.S.C. Section 1350 as adopted pursuant to Section 906 of the</w:t>
            </w:r>
          </w:p>
        </w:tc>
      </w:tr>
      <w:tr>
        <w:trPr>
          <w:trHeight w:val="230"/>
        </w:trPr>
        <w:tc>
          <w:tcPr>
            <w:tcW w:w="940" w:type="dxa"/>
            <w:vAlign w:val="bottom"/>
          </w:tcPr>
          <w:p>
            <w:pPr>
              <w:spacing w:after="0"/>
              <w:rPr>
                <w:sz w:val="20"/>
                <w:szCs w:val="20"/>
                <w:color w:val="auto"/>
              </w:rPr>
            </w:pPr>
          </w:p>
        </w:tc>
        <w:tc>
          <w:tcPr>
            <w:tcW w:w="7560" w:type="dxa"/>
            <w:vAlign w:val="bottom"/>
          </w:tcPr>
          <w:p>
            <w:pPr>
              <w:ind w:left="440"/>
              <w:spacing w:after="0"/>
              <w:rPr>
                <w:sz w:val="20"/>
                <w:szCs w:val="20"/>
                <w:color w:val="auto"/>
              </w:rPr>
            </w:pPr>
            <w:r>
              <w:rPr>
                <w:rFonts w:ascii="Arial" w:cs="Arial" w:eastAsia="Arial" w:hAnsi="Arial"/>
                <w:sz w:val="18"/>
                <w:szCs w:val="18"/>
                <w:color w:val="auto"/>
              </w:rPr>
              <w:t>Sarbanes-Oxley Act of 2002.</w:t>
            </w:r>
          </w:p>
        </w:tc>
      </w:tr>
      <w:tr>
        <w:trPr>
          <w:trHeight w:val="418"/>
        </w:trPr>
        <w:tc>
          <w:tcPr>
            <w:tcW w:w="940" w:type="dxa"/>
            <w:vAlign w:val="bottom"/>
          </w:tcPr>
          <w:p>
            <w:pPr>
              <w:jc w:val="right"/>
              <w:ind w:right="350"/>
              <w:spacing w:after="0"/>
              <w:rPr>
                <w:sz w:val="20"/>
                <w:szCs w:val="20"/>
                <w:color w:val="auto"/>
              </w:rPr>
            </w:pPr>
            <w:r>
              <w:rPr>
                <w:rFonts w:ascii="Arial" w:cs="Arial" w:eastAsia="Arial" w:hAnsi="Arial"/>
                <w:sz w:val="18"/>
                <w:szCs w:val="18"/>
                <w:color w:val="auto"/>
                <w:w w:val="97"/>
              </w:rPr>
              <w:t>32.2**</w:t>
            </w:r>
          </w:p>
        </w:tc>
        <w:tc>
          <w:tcPr>
            <w:tcW w:w="7560" w:type="dxa"/>
            <w:vAlign w:val="bottom"/>
          </w:tcPr>
          <w:p>
            <w:pPr>
              <w:ind w:left="440"/>
              <w:spacing w:after="0"/>
              <w:rPr>
                <w:sz w:val="20"/>
                <w:szCs w:val="20"/>
                <w:color w:val="auto"/>
              </w:rPr>
            </w:pPr>
            <w:r>
              <w:rPr>
                <w:rFonts w:ascii="Arial" w:cs="Arial" w:eastAsia="Arial" w:hAnsi="Arial"/>
                <w:sz w:val="18"/>
                <w:szCs w:val="18"/>
                <w:color w:val="auto"/>
                <w:w w:val="90"/>
              </w:rPr>
              <w:t>Certification of CFO pursuant to 18 U.S.C. Section 1350 as adopted pursuant to Section 906 of the</w:t>
            </w:r>
          </w:p>
        </w:tc>
      </w:tr>
      <w:tr>
        <w:trPr>
          <w:trHeight w:val="230"/>
        </w:trPr>
        <w:tc>
          <w:tcPr>
            <w:tcW w:w="940" w:type="dxa"/>
            <w:vAlign w:val="bottom"/>
          </w:tcPr>
          <w:p>
            <w:pPr>
              <w:spacing w:after="0"/>
              <w:rPr>
                <w:sz w:val="20"/>
                <w:szCs w:val="20"/>
                <w:color w:val="auto"/>
              </w:rPr>
            </w:pPr>
          </w:p>
        </w:tc>
        <w:tc>
          <w:tcPr>
            <w:tcW w:w="7560" w:type="dxa"/>
            <w:vAlign w:val="bottom"/>
          </w:tcPr>
          <w:p>
            <w:pPr>
              <w:ind w:left="440"/>
              <w:spacing w:after="0"/>
              <w:rPr>
                <w:sz w:val="20"/>
                <w:szCs w:val="20"/>
                <w:color w:val="auto"/>
              </w:rPr>
            </w:pPr>
            <w:r>
              <w:rPr>
                <w:rFonts w:ascii="Arial" w:cs="Arial" w:eastAsia="Arial" w:hAnsi="Arial"/>
                <w:sz w:val="18"/>
                <w:szCs w:val="18"/>
                <w:color w:val="auto"/>
              </w:rPr>
              <w:t>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RUSH ENTERPRISES,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60" w:type="dxa"/>
            <w:vAlign w:val="bottom"/>
            <w:gridSpan w:val="2"/>
          </w:tcPr>
          <w:p>
            <w:pPr>
              <w:spacing w:after="0"/>
              <w:rPr>
                <w:sz w:val="20"/>
                <w:szCs w:val="20"/>
                <w:color w:val="auto"/>
              </w:rPr>
            </w:pPr>
            <w:r>
              <w:rPr>
                <w:rFonts w:ascii="Arial" w:cs="Arial" w:eastAsia="Arial" w:hAnsi="Arial"/>
                <w:sz w:val="18"/>
                <w:szCs w:val="18"/>
                <w:color w:val="auto"/>
              </w:rPr>
              <w:t>Date:</w:t>
            </w: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May 10, 2007</w:t>
            </w:r>
          </w:p>
        </w:tc>
        <w:tc>
          <w:tcPr>
            <w:tcW w:w="3540" w:type="dxa"/>
            <w:vAlign w:val="bottom"/>
          </w:tcPr>
          <w:p>
            <w:pPr>
              <w:ind w:left="310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W.M. “RUSTY” RUSH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460" w:type="dxa"/>
            <w:vAlign w:val="bottom"/>
          </w:tcPr>
          <w:p>
            <w:pPr>
              <w:ind w:left="40"/>
              <w:spacing w:after="0" w:line="195" w:lineRule="exact"/>
              <w:rPr>
                <w:sz w:val="20"/>
                <w:szCs w:val="20"/>
                <w:color w:val="auto"/>
              </w:rPr>
            </w:pPr>
            <w:r>
              <w:rPr>
                <w:rFonts w:ascii="Arial" w:cs="Arial" w:eastAsia="Arial" w:hAnsi="Arial"/>
                <w:sz w:val="18"/>
                <w:szCs w:val="18"/>
                <w:color w:val="auto"/>
              </w:rPr>
              <w:t>W.M. “Rusty” Rush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60" w:type="dxa"/>
            <w:vAlign w:val="bottom"/>
            <w:gridSpan w:val="2"/>
          </w:tcPr>
          <w:p>
            <w:pPr>
              <w:spacing w:after="0"/>
              <w:rPr>
                <w:sz w:val="20"/>
                <w:szCs w:val="20"/>
                <w:color w:val="auto"/>
              </w:rPr>
            </w:pPr>
            <w:r>
              <w:rPr>
                <w:rFonts w:ascii="Arial" w:cs="Arial" w:eastAsia="Arial" w:hAnsi="Arial"/>
                <w:sz w:val="18"/>
                <w:szCs w:val="18"/>
                <w:color w:val="auto"/>
              </w:rPr>
              <w:t>Date:</w:t>
            </w:r>
          </w:p>
        </w:tc>
        <w:tc>
          <w:tcPr>
            <w:tcW w:w="2660" w:type="dxa"/>
            <w:vAlign w:val="bottom"/>
            <w:gridSpan w:val="3"/>
          </w:tcPr>
          <w:p>
            <w:pPr>
              <w:ind w:left="60"/>
              <w:spacing w:after="0"/>
              <w:rPr>
                <w:sz w:val="20"/>
                <w:szCs w:val="20"/>
                <w:color w:val="auto"/>
              </w:rPr>
            </w:pPr>
            <w:r>
              <w:rPr>
                <w:rFonts w:ascii="Arial" w:cs="Arial" w:eastAsia="Arial" w:hAnsi="Arial"/>
                <w:sz w:val="18"/>
                <w:szCs w:val="18"/>
                <w:color w:val="auto"/>
              </w:rPr>
              <w:t>May 10, 2007</w:t>
            </w:r>
          </w:p>
        </w:tc>
        <w:tc>
          <w:tcPr>
            <w:tcW w:w="3540" w:type="dxa"/>
            <w:vAlign w:val="bottom"/>
          </w:tcPr>
          <w:p>
            <w:pPr>
              <w:ind w:left="310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Steven L. Keller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540" w:type="dxa"/>
            <w:vAlign w:val="bottom"/>
          </w:tcPr>
          <w:p>
            <w:pPr>
              <w:jc w:val="right"/>
              <w:ind w:right="1074"/>
              <w:spacing w:after="0"/>
              <w:rPr>
                <w:sz w:val="20"/>
                <w:szCs w:val="20"/>
                <w:color w:val="auto"/>
              </w:rPr>
            </w:pPr>
            <w:r>
              <w:rPr>
                <w:rFonts w:ascii="Arial" w:cs="Arial" w:eastAsia="Arial" w:hAnsi="Arial"/>
                <w:sz w:val="18"/>
                <w:szCs w:val="18"/>
                <w:color w:val="auto"/>
              </w:rPr>
              <w:t>24</w:t>
            </w:r>
          </w:p>
        </w:tc>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3540" w:type="dxa"/>
            <w:vAlign w:val="bottom"/>
            <w:tcBorders>
              <w:bottom w:val="single" w:sz="8" w:color="010101"/>
            </w:tcBorders>
          </w:tcPr>
          <w:p>
            <w:pPr>
              <w:spacing w:after="0"/>
              <w:rPr>
                <w:sz w:val="24"/>
                <w:szCs w:val="24"/>
                <w:color w:val="auto"/>
              </w:rPr>
            </w:pPr>
          </w:p>
        </w:tc>
        <w:tc>
          <w:tcPr>
            <w:tcW w:w="44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540" w:type="dxa"/>
            <w:vAlign w:val="bottom"/>
          </w:tcPr>
          <w:p>
            <w:pPr>
              <w:jc w:val="center"/>
              <w:ind w:left="954"/>
              <w:spacing w:after="0"/>
              <w:rPr>
                <w:sz w:val="20"/>
                <w:szCs w:val="20"/>
                <w:color w:val="auto"/>
              </w:rPr>
            </w:pPr>
            <w:r>
              <w:rPr>
                <w:rFonts w:ascii="Arial" w:cs="Arial" w:eastAsia="Arial" w:hAnsi="Arial"/>
                <w:sz w:val="18"/>
                <w:szCs w:val="18"/>
                <w:b w:val="1"/>
                <w:bCs w:val="1"/>
                <w:color w:val="auto"/>
              </w:rPr>
              <w:t>EXHIBIT INDEX</w:t>
            </w:r>
          </w:p>
        </w:tc>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540" w:type="dxa"/>
            <w:vAlign w:val="bottom"/>
            <w:vMerge w:val="restart"/>
          </w:tcPr>
          <w:p>
            <w:pPr>
              <w:ind w:left="2500"/>
              <w:spacing w:after="0"/>
              <w:rPr>
                <w:sz w:val="20"/>
                <w:szCs w:val="20"/>
                <w:color w:val="auto"/>
              </w:rPr>
            </w:pPr>
            <w:r>
              <w:rPr>
                <w:rFonts w:ascii="Arial" w:cs="Arial" w:eastAsia="Arial" w:hAnsi="Arial"/>
                <w:sz w:val="14"/>
                <w:szCs w:val="14"/>
                <w:b w:val="1"/>
                <w:bCs w:val="1"/>
                <w:color w:val="auto"/>
              </w:rPr>
              <w:t>Exhibit Title</w:t>
            </w:r>
          </w:p>
        </w:tc>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4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jc w:val="center"/>
              <w:ind w:left="50"/>
              <w:spacing w:after="0" w:line="195" w:lineRule="exact"/>
              <w:rPr>
                <w:sz w:val="20"/>
                <w:szCs w:val="20"/>
                <w:color w:val="auto"/>
              </w:rPr>
            </w:pPr>
            <w:r>
              <w:rPr>
                <w:rFonts w:ascii="Arial" w:cs="Arial" w:eastAsia="Arial" w:hAnsi="Arial"/>
                <w:sz w:val="18"/>
                <w:szCs w:val="18"/>
                <w:color w:val="auto"/>
                <w:w w:val="95"/>
              </w:rPr>
              <w:t>31.1*</w:t>
            </w:r>
          </w:p>
        </w:tc>
        <w:tc>
          <w:tcPr>
            <w:tcW w:w="1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6"/>
              </w:rPr>
              <w:t>Certification of CEO pursuant to Rules 13a-14(a) and 15d-14(a) adopted pursuant to Section 302 of the Sarbanes-Oxley Act of 2002.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left="75"/>
              <w:spacing w:after="0"/>
              <w:rPr>
                <w:sz w:val="20"/>
                <w:szCs w:val="20"/>
                <w:color w:val="auto"/>
              </w:rPr>
            </w:pPr>
            <w:r>
              <w:rPr>
                <w:rFonts w:ascii="Arial" w:cs="Arial" w:eastAsia="Arial" w:hAnsi="Arial"/>
                <w:sz w:val="18"/>
                <w:szCs w:val="18"/>
                <w:color w:val="auto"/>
                <w:w w:val="95"/>
              </w:rPr>
              <w:t>31.2*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w w:val="96"/>
              </w:rPr>
              <w:t>Certification of CFO pursuant to Rules 13a-14(a) and 15d-14(a) adopted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center"/>
              <w:ind w:left="55"/>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w w:val="99"/>
              </w:rPr>
              <w:t>Certification of CEO pursuant to 18 U.S.C. Section 1350 as adopted pursuant to Section 906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gridSpan w:val="2"/>
          </w:tcPr>
          <w:p>
            <w:pPr>
              <w:jc w:val="center"/>
              <w:ind w:left="55"/>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20" w:type="dxa"/>
            <w:vAlign w:val="bottom"/>
            <w:gridSpan w:val="3"/>
          </w:tcPr>
          <w:p>
            <w:pPr>
              <w:spacing w:after="0"/>
              <w:rPr>
                <w:sz w:val="20"/>
                <w:szCs w:val="20"/>
                <w:color w:val="auto"/>
              </w:rPr>
            </w:pPr>
            <w:r>
              <w:rPr>
                <w:rFonts w:ascii="Arial" w:cs="Arial" w:eastAsia="Arial" w:hAnsi="Arial"/>
                <w:sz w:val="18"/>
                <w:szCs w:val="18"/>
                <w:color w:val="auto"/>
                <w:w w:val="99"/>
              </w:rPr>
              <w:t>Certification of CFO pursuant to 18 U.S.C. Section 1350 as adopted pursuant to Section 906 of the Sarbanes-Oxley Act of 2002.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-1253490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-1253490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3893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00" w:firstLine="8"/>
        <w:spacing w:after="0" w:line="342" w:lineRule="auto"/>
        <w:tabs>
          <w:tab w:leader="none" w:pos="632"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8"/>
        <w:spacing w:after="0" w:line="277"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8"/>
        <w:spacing w:after="0" w:line="264"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20" w:firstLine="656"/>
        <w:spacing w:after="0" w:line="264" w:lineRule="auto"/>
        <w:tabs>
          <w:tab w:leader="none" w:pos="126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279"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40" w:firstLine="656"/>
        <w:spacing w:after="0" w:line="342" w:lineRule="auto"/>
        <w:tabs>
          <w:tab w:leader="none" w:pos="1268"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00" w:firstLine="656"/>
        <w:spacing w:after="0" w:line="264" w:lineRule="auto"/>
        <w:tabs>
          <w:tab w:leader="none" w:pos="1279"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8"/>
        <w:spacing w:after="0" w:line="308" w:lineRule="auto"/>
        <w:tabs>
          <w:tab w:leader="none" w:pos="6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60" w:firstLine="656"/>
        <w:spacing w:after="0" w:line="308" w:lineRule="auto"/>
        <w:tabs>
          <w:tab w:leader="none" w:pos="1268" w:val="left"/>
        </w:tabs>
        <w:numPr>
          <w:ilvl w:val="1"/>
          <w:numId w:val="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40" w:firstLine="656"/>
        <w:spacing w:after="0" w:line="277" w:lineRule="auto"/>
        <w:tabs>
          <w:tab w:leader="none" w:pos="1279"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820" w:val="left"/>
          <w:tab w:leader="none" w:pos="6220" w:val="left"/>
          <w:tab w:leader="none" w:pos="6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W.M. “RUSTY” RUSH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00" w:firstLine="8"/>
        <w:spacing w:after="0" w:line="342" w:lineRule="auto"/>
        <w:tabs>
          <w:tab w:leader="none" w:pos="632"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8"/>
        <w:spacing w:after="0" w:line="277" w:lineRule="auto"/>
        <w:tabs>
          <w:tab w:leader="none" w:pos="632"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8"/>
        <w:spacing w:after="0" w:line="264" w:lineRule="auto"/>
        <w:tabs>
          <w:tab w:leader="none" w:pos="63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20" w:firstLine="656"/>
        <w:spacing w:after="0" w:line="264" w:lineRule="auto"/>
        <w:tabs>
          <w:tab w:leader="none" w:pos="126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279"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40" w:firstLine="656"/>
        <w:spacing w:after="0" w:line="342" w:lineRule="auto"/>
        <w:tabs>
          <w:tab w:leader="none" w:pos="1268"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00" w:firstLine="656"/>
        <w:spacing w:after="0" w:line="264" w:lineRule="auto"/>
        <w:tabs>
          <w:tab w:leader="none" w:pos="1279"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8"/>
        <w:spacing w:after="0" w:line="308" w:lineRule="auto"/>
        <w:tabs>
          <w:tab w:leader="none" w:pos="6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60" w:firstLine="656"/>
        <w:spacing w:after="0" w:line="308" w:lineRule="auto"/>
        <w:tabs>
          <w:tab w:leader="none" w:pos="1268"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40" w:firstLine="656"/>
        <w:spacing w:after="0" w:line="277" w:lineRule="auto"/>
        <w:tabs>
          <w:tab w:leader="none" w:pos="1279"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040" w:type="dxa"/>
            <w:vAlign w:val="bottom"/>
          </w:tcPr>
          <w:p>
            <w:pPr>
              <w:ind w:left="220"/>
              <w:spacing w:after="0"/>
              <w:rPr>
                <w:sz w:val="20"/>
                <w:szCs w:val="20"/>
                <w:color w:val="auto"/>
              </w:rPr>
            </w:pPr>
            <w:r>
              <w:rPr>
                <w:rFonts w:ascii="Arial" w:cs="Arial" w:eastAsia="Arial" w:hAnsi="Arial"/>
                <w:sz w:val="18"/>
                <w:szCs w:val="18"/>
                <w:color w:val="auto"/>
              </w:rPr>
              <w:t>May 10, 2007</w:t>
            </w:r>
          </w:p>
        </w:tc>
        <w:tc>
          <w:tcPr>
            <w:tcW w:w="2500" w:type="dxa"/>
            <w:vAlign w:val="bottom"/>
          </w:tcPr>
          <w:p>
            <w:pPr>
              <w:ind w:left="184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r>
      <w:tr>
        <w:trPr>
          <w:trHeight w:val="211"/>
        </w:trPr>
        <w:tc>
          <w:tcPr>
            <w:tcW w:w="6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Steven L. Keller</w:t>
            </w:r>
          </w:p>
        </w:tc>
      </w:tr>
    </w:tbl>
    <w:p>
      <w:pPr>
        <w:ind w:left="6160"/>
        <w:spacing w:after="0"/>
        <w:rPr>
          <w:sz w:val="20"/>
          <w:szCs w:val="20"/>
          <w:color w:val="auto"/>
        </w:rPr>
      </w:pPr>
      <w:r>
        <w:rPr>
          <w:rFonts w:ascii="Arial" w:cs="Arial" w:eastAsia="Arial" w:hAnsi="Arial"/>
          <w:sz w:val="18"/>
          <w:szCs w:val="18"/>
          <w:color w:val="auto"/>
        </w:rPr>
        <w:t>Vice President and Chief Financial Officer</w:t>
      </w:r>
    </w:p>
    <w:p>
      <w:pPr>
        <w:spacing w:after="0" w:line="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March 31, 2007,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440" w:type="dxa"/>
        <w:tblCellMar>
          <w:top w:w="0" w:type="dxa"/>
          <w:left w:w="0" w:type="dxa"/>
          <w:bottom w:w="0" w:type="dxa"/>
          <w:right w:w="0" w:type="dxa"/>
        </w:tblCellMar>
      </w:tblP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By:</w:t>
            </w:r>
          </w:p>
        </w:tc>
        <w:tc>
          <w:tcPr>
            <w:tcW w:w="5420" w:type="dxa"/>
            <w:vAlign w:val="bottom"/>
          </w:tcPr>
          <w:p>
            <w:pPr>
              <w:ind w:left="80"/>
              <w:spacing w:after="0"/>
              <w:rPr>
                <w:sz w:val="20"/>
                <w:szCs w:val="20"/>
                <w:color w:val="auto"/>
              </w:rPr>
            </w:pPr>
            <w:r>
              <w:rPr>
                <w:rFonts w:ascii="Arial" w:cs="Arial" w:eastAsia="Arial" w:hAnsi="Arial"/>
                <w:sz w:val="18"/>
                <w:szCs w:val="18"/>
                <w:color w:val="auto"/>
              </w:rPr>
              <w:t>/S/ W.M. “RUSTY” RUSH</w:t>
            </w:r>
          </w:p>
        </w:tc>
      </w:tr>
      <w:tr>
        <w:trPr>
          <w:trHeight w:val="195"/>
        </w:trPr>
        <w:tc>
          <w:tcPr>
            <w:tcW w:w="460" w:type="dxa"/>
            <w:vAlign w:val="bottom"/>
          </w:tcPr>
          <w:p>
            <w:pPr>
              <w:spacing w:after="0" w:line="195" w:lineRule="exact"/>
              <w:rPr>
                <w:sz w:val="20"/>
                <w:szCs w:val="20"/>
                <w:color w:val="auto"/>
              </w:rPr>
            </w:pPr>
            <w:r>
              <w:rPr>
                <w:rFonts w:ascii="Arial" w:cs="Arial" w:eastAsia="Arial" w:hAnsi="Arial"/>
                <w:sz w:val="18"/>
                <w:szCs w:val="18"/>
                <w:color w:val="auto"/>
                <w:w w:val="82"/>
              </w:rPr>
              <w:t>Name:</w:t>
            </w:r>
          </w:p>
        </w:tc>
        <w:tc>
          <w:tcPr>
            <w:tcW w:w="100" w:type="dxa"/>
            <w:vAlign w:val="bottom"/>
            <w:tcBorders>
              <w:top w:val="single" w:sz="8" w:color="auto"/>
            </w:tcBorders>
          </w:tcPr>
          <w:p>
            <w:pPr>
              <w:spacing w:after="0"/>
              <w:rPr>
                <w:sz w:val="16"/>
                <w:szCs w:val="16"/>
                <w:color w:val="auto"/>
              </w:rPr>
            </w:pPr>
          </w:p>
        </w:tc>
        <w:tc>
          <w:tcPr>
            <w:tcW w:w="5420" w:type="dxa"/>
            <w:vAlign w:val="bottom"/>
            <w:tcBorders>
              <w:top w:val="single" w:sz="8" w:color="auto"/>
            </w:tcBorders>
          </w:tcPr>
          <w:p>
            <w:pPr>
              <w:ind w:left="2700"/>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420" w:type="dxa"/>
            <w:vAlign w:val="bottom"/>
          </w:tcPr>
          <w:p>
            <w:pPr>
              <w:ind w:left="2700"/>
              <w:spacing w:after="0"/>
              <w:rPr>
                <w:sz w:val="20"/>
                <w:szCs w:val="20"/>
                <w:color w:val="auto"/>
              </w:rPr>
            </w:pPr>
            <w:r>
              <w:rPr>
                <w:rFonts w:ascii="Arial" w:cs="Arial" w:eastAsia="Arial" w:hAnsi="Arial"/>
                <w:sz w:val="18"/>
                <w:szCs w:val="18"/>
                <w:color w:val="auto"/>
              </w:rPr>
              <w:t>President and Chief Executive</w:t>
            </w:r>
          </w:p>
        </w:tc>
      </w:tr>
      <w:tr>
        <w:trPr>
          <w:trHeight w:val="216"/>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20" w:type="dxa"/>
            <w:vAlign w:val="bottom"/>
          </w:tcPr>
          <w:p>
            <w:pPr>
              <w:ind w:left="2700"/>
              <w:spacing w:after="0"/>
              <w:rPr>
                <w:sz w:val="20"/>
                <w:szCs w:val="20"/>
                <w:color w:val="auto"/>
              </w:rPr>
            </w:pPr>
            <w:r>
              <w:rPr>
                <w:rFonts w:ascii="Arial" w:cs="Arial" w:eastAsia="Arial" w:hAnsi="Arial"/>
                <w:sz w:val="18"/>
                <w:szCs w:val="18"/>
                <w:color w:val="auto"/>
              </w:rPr>
              <w:t>Officer</w:t>
            </w:r>
          </w:p>
        </w:tc>
      </w:tr>
      <w:tr>
        <w:trPr>
          <w:trHeight w:val="230"/>
        </w:trPr>
        <w:tc>
          <w:tcPr>
            <w:tcW w:w="560" w:type="dxa"/>
            <w:vAlign w:val="bottom"/>
            <w:gridSpan w:val="2"/>
          </w:tcPr>
          <w:p>
            <w:pPr>
              <w:spacing w:after="0"/>
              <w:rPr>
                <w:sz w:val="20"/>
                <w:szCs w:val="20"/>
                <w:color w:val="auto"/>
              </w:rPr>
            </w:pPr>
            <w:r>
              <w:rPr>
                <w:rFonts w:ascii="Arial" w:cs="Arial" w:eastAsia="Arial" w:hAnsi="Arial"/>
                <w:sz w:val="18"/>
                <w:szCs w:val="18"/>
                <w:color w:val="auto"/>
              </w:rPr>
              <w:t>Date:</w:t>
            </w:r>
          </w:p>
        </w:tc>
        <w:tc>
          <w:tcPr>
            <w:tcW w:w="5420" w:type="dxa"/>
            <w:vAlign w:val="bottom"/>
          </w:tcPr>
          <w:p>
            <w:pPr>
              <w:ind w:left="2700"/>
              <w:spacing w:after="0"/>
              <w:rPr>
                <w:sz w:val="20"/>
                <w:szCs w:val="20"/>
                <w:color w:val="auto"/>
              </w:rPr>
            </w:pPr>
            <w:r>
              <w:rPr>
                <w:rFonts w:ascii="Arial" w:cs="Arial" w:eastAsia="Arial" w:hAnsi="Arial"/>
                <w:sz w:val="18"/>
                <w:szCs w:val="18"/>
                <w:color w:val="auto"/>
              </w:rPr>
              <w:t>May 10, 2007</w:t>
            </w:r>
          </w:p>
        </w:tc>
      </w:tr>
    </w:tbl>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March 31, 2007,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Vice President and Chief Financial Officer</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tcPr>
          <w:p>
            <w:pPr>
              <w:spacing w:after="0"/>
              <w:rPr>
                <w:sz w:val="20"/>
                <w:szCs w:val="20"/>
                <w:color w:val="auto"/>
              </w:rPr>
            </w:pPr>
            <w:r>
              <w:rPr>
                <w:rFonts w:ascii="Arial" w:cs="Arial" w:eastAsia="Arial" w:hAnsi="Arial"/>
                <w:sz w:val="18"/>
                <w:szCs w:val="18"/>
                <w:color w:val="auto"/>
              </w:rPr>
              <w:t>May 10, 2007</w:t>
            </w:r>
          </w:p>
        </w:tc>
      </w:tr>
    </w:tbl>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2019-12-14T07:13:45Z</dcterms:created>
  <dcterms:modified xsi:type="dcterms:W3CDTF">2019-12-14T07:13:45Z</dcterms:modified>
</cp:coreProperties>
</file>