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234" w:lineRule="exact"/>
        <w:rPr>
          <w:rFonts w:ascii="MS PGothic" w:cs="MS PGothic" w:eastAsia="MS PGothic" w:hAnsi="MS PGothic"/>
          <w:sz w:val="16"/>
          <w:szCs w:val="16"/>
          <w:color w:val="auto"/>
        </w:rPr>
      </w:pPr>
    </w:p>
    <w:p>
      <w:pPr>
        <w:ind w:left="388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For the quarterly period ended June 30, 2023</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8"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227" w:lineRule="exact"/>
        <w:rPr>
          <w:sz w:val="24"/>
          <w:szCs w:val="24"/>
          <w:color w:val="auto"/>
        </w:rPr>
      </w:pPr>
    </w:p>
    <w:p>
      <w:pPr>
        <w:ind w:left="2440"/>
        <w:spacing w:after="0"/>
        <w:rPr>
          <w:sz w:val="20"/>
          <w:szCs w:val="20"/>
          <w:color w:val="auto"/>
        </w:rPr>
      </w:pPr>
      <w:r>
        <w:rPr>
          <w:rFonts w:ascii="Arial" w:cs="Arial" w:eastAsia="Arial" w:hAnsi="Arial"/>
          <w:sz w:val="17"/>
          <w:szCs w:val="17"/>
          <w:color w:val="auto"/>
        </w:rPr>
        <w:t>For the transition period from _____________________ to _______________________</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0-20797</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RUSH ENTERPRISES,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476" w:right="339" w:bottom="0" w:gutter="0" w:footer="0" w:header="0"/>
        </w:sectPr>
      </w:pPr>
    </w:p>
    <w:p>
      <w:pPr>
        <w:spacing w:after="0" w:line="211" w:lineRule="exact"/>
        <w:rPr>
          <w:sz w:val="24"/>
          <w:szCs w:val="24"/>
          <w:color w:val="auto"/>
        </w:rPr>
      </w:pPr>
    </w:p>
    <w:p>
      <w:pPr>
        <w:jc w:val="center"/>
        <w:ind w:left="1740"/>
        <w:spacing w:after="0"/>
        <w:rPr>
          <w:sz w:val="20"/>
          <w:szCs w:val="20"/>
          <w:color w:val="auto"/>
        </w:rPr>
      </w:pPr>
      <w:r>
        <w:rPr>
          <w:rFonts w:ascii="Arial" w:cs="Arial" w:eastAsia="Arial" w:hAnsi="Arial"/>
          <w:sz w:val="18"/>
          <w:szCs w:val="18"/>
          <w:color w:val="auto"/>
        </w:rPr>
        <w:t>Texas</w:t>
      </w:r>
    </w:p>
    <w:p>
      <w:pPr>
        <w:spacing w:after="0" w:line="23" w:lineRule="exact"/>
        <w:rPr>
          <w:sz w:val="24"/>
          <w:szCs w:val="24"/>
          <w:color w:val="auto"/>
        </w:rPr>
      </w:pPr>
    </w:p>
    <w:p>
      <w:pPr>
        <w:jc w:val="both"/>
        <w:ind w:left="1740" w:firstLine="38"/>
        <w:spacing w:after="0" w:line="323" w:lineRule="auto"/>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left="-1079"/>
        <w:spacing w:after="0"/>
        <w:rPr>
          <w:sz w:val="20"/>
          <w:szCs w:val="20"/>
          <w:color w:val="auto"/>
        </w:rPr>
      </w:pPr>
      <w:r>
        <w:rPr>
          <w:rFonts w:ascii="Arial" w:cs="Arial" w:eastAsia="Arial" w:hAnsi="Arial"/>
          <w:sz w:val="18"/>
          <w:szCs w:val="18"/>
          <w:color w:val="auto"/>
        </w:rPr>
        <w:t>74-1733016</w:t>
      </w:r>
    </w:p>
    <w:p>
      <w:pPr>
        <w:spacing w:after="0" w:line="117" w:lineRule="exact"/>
        <w:rPr>
          <w:sz w:val="24"/>
          <w:szCs w:val="24"/>
          <w:color w:val="auto"/>
        </w:rPr>
      </w:pPr>
    </w:p>
    <w:p>
      <w:pPr>
        <w:jc w:val="center"/>
        <w:ind w:left="-1079"/>
        <w:spacing w:after="0"/>
        <w:rPr>
          <w:sz w:val="20"/>
          <w:szCs w:val="20"/>
          <w:color w:val="auto"/>
        </w:rPr>
      </w:pPr>
      <w:r>
        <w:rPr>
          <w:rFonts w:ascii="Arial" w:cs="Arial" w:eastAsia="Arial" w:hAnsi="Arial"/>
          <w:sz w:val="17"/>
          <w:szCs w:val="17"/>
          <w:color w:val="auto"/>
        </w:rPr>
        <w:t>(I.R.S. Employer Identification No.)</w:t>
      </w:r>
    </w:p>
    <w:p>
      <w:pPr>
        <w:spacing w:after="0" w:line="345" w:lineRule="exact"/>
        <w:rPr>
          <w:sz w:val="24"/>
          <w:szCs w:val="24"/>
          <w:color w:val="auto"/>
        </w:rPr>
      </w:pPr>
    </w:p>
    <w:p>
      <w:pPr>
        <w:jc w:val="center"/>
        <w:ind w:right="4180"/>
        <w:spacing w:after="0"/>
        <w:rPr>
          <w:sz w:val="20"/>
          <w:szCs w:val="20"/>
          <w:color w:val="auto"/>
        </w:rPr>
      </w:pPr>
      <w:r>
        <w:rPr>
          <w:rFonts w:ascii="Arial" w:cs="Arial" w:eastAsia="Arial" w:hAnsi="Arial"/>
          <w:sz w:val="18"/>
          <w:szCs w:val="18"/>
          <w:color w:val="auto"/>
        </w:rPr>
        <w:t>555 I.H. 35 South, Suite 500</w:t>
      </w:r>
    </w:p>
    <w:p>
      <w:pPr>
        <w:spacing w:after="0" w:line="23" w:lineRule="exact"/>
        <w:rPr>
          <w:sz w:val="24"/>
          <w:szCs w:val="24"/>
          <w:color w:val="auto"/>
        </w:rPr>
      </w:pPr>
    </w:p>
    <w:p>
      <w:pPr>
        <w:jc w:val="center"/>
        <w:ind w:right="4180"/>
        <w:spacing w:after="0"/>
        <w:rPr>
          <w:sz w:val="20"/>
          <w:szCs w:val="20"/>
          <w:color w:val="auto"/>
        </w:rPr>
      </w:pPr>
      <w:r>
        <w:rPr>
          <w:rFonts w:ascii="Arial" w:cs="Arial" w:eastAsia="Arial" w:hAnsi="Arial"/>
          <w:sz w:val="18"/>
          <w:szCs w:val="18"/>
          <w:color w:val="auto"/>
        </w:rPr>
        <w:t>New Braunfels, Texas 78130</w:t>
      </w:r>
    </w:p>
    <w:p>
      <w:pPr>
        <w:spacing w:after="0" w:line="9" w:lineRule="exact"/>
        <w:rPr>
          <w:sz w:val="24"/>
          <w:szCs w:val="24"/>
          <w:color w:val="auto"/>
        </w:rPr>
      </w:pPr>
    </w:p>
    <w:p>
      <w:pPr>
        <w:jc w:val="center"/>
        <w:ind w:right="4180"/>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ind w:right="4180"/>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ectPr>
          <w:pgSz w:w="11900" w:h="16838" w:orient="portrait"/>
          <w:cols w:equalWidth="0" w:num="2">
            <w:col w:w="3900" w:space="300"/>
            <w:col w:w="7040"/>
          </w:cols>
          <w:pgMar w:left="320" w:top="476" w:right="339" w:bottom="0" w:gutter="0" w:footer="0" w:header="0"/>
          <w:type w:val="continuous"/>
        </w:sectPr>
      </w:pP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(830) 302-5200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ind w:firstLine="486"/>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9" w:lineRule="exact"/>
        <w:rPr>
          <w:sz w:val="24"/>
          <w:szCs w:val="24"/>
          <w:color w:val="auto"/>
        </w:rPr>
      </w:pPr>
    </w:p>
    <w:p>
      <w:pPr>
        <w:ind w:left="5620"/>
        <w:spacing w:after="0" w:line="207" w:lineRule="exact"/>
        <w:tabs>
          <w:tab w:leader="none" w:pos="6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70" w:lineRule="exact"/>
        <w:rPr>
          <w:sz w:val="24"/>
          <w:szCs w:val="24"/>
          <w:color w:val="auto"/>
        </w:rPr>
      </w:pPr>
    </w:p>
    <w:p>
      <w:pPr>
        <w:ind w:right="40" w:firstLine="486"/>
        <w:spacing w:after="0" w:line="308"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02" w:lineRule="exact"/>
        <w:rPr>
          <w:sz w:val="24"/>
          <w:szCs w:val="24"/>
          <w:color w:val="auto"/>
        </w:rPr>
      </w:pPr>
    </w:p>
    <w:p>
      <w:pPr>
        <w:ind w:left="5620"/>
        <w:spacing w:after="0" w:line="207" w:lineRule="exact"/>
        <w:tabs>
          <w:tab w:leader="none" w:pos="6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70" w:lineRule="exact"/>
        <w:rPr>
          <w:sz w:val="24"/>
          <w:szCs w:val="24"/>
          <w:color w:val="auto"/>
        </w:rPr>
      </w:pPr>
    </w:p>
    <w:p>
      <w:pPr>
        <w:ind w:right="4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p>
      <w:pPr>
        <w:ind w:left="240"/>
        <w:spacing w:after="0" w:line="207" w:lineRule="exact"/>
        <w:tabs>
          <w:tab w:leader="none" w:pos="3020" w:val="left"/>
          <w:tab w:leader="none" w:pos="5820" w:val="left"/>
          <w:tab w:leader="none" w:pos="86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ind w:left="8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20" w:firstLine="486"/>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4"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0" w:lineRule="exact"/>
        <w:rPr>
          <w:sz w:val="24"/>
          <w:szCs w:val="24"/>
          <w:color w:val="auto"/>
        </w:rPr>
      </w:pPr>
    </w:p>
    <w:p>
      <w:pPr>
        <w:ind w:left="5620"/>
        <w:spacing w:after="0" w:line="207" w:lineRule="exact"/>
        <w:tabs>
          <w:tab w:leader="none" w:pos="6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70"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July 31, 2023.</w:t>
      </w:r>
    </w:p>
    <w:p>
      <w:pPr>
        <w:spacing w:after="0" w:line="225" w:lineRule="exact"/>
        <w:rPr>
          <w:sz w:val="24"/>
          <w:szCs w:val="24"/>
          <w:color w:val="auto"/>
        </w:rPr>
      </w:pPr>
    </w:p>
    <w:tbl>
      <w:tblPr>
        <w:tblLayout w:type="fixed"/>
        <w:tblInd w:w="7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860" w:type="dxa"/>
            <w:vAlign w:val="bottom"/>
            <w:gridSpan w:val="3"/>
          </w:tcPr>
          <w:p>
            <w:pPr>
              <w:jc w:val="center"/>
              <w:ind w:right="560"/>
              <w:spacing w:after="0"/>
              <w:rPr>
                <w:sz w:val="20"/>
                <w:szCs w:val="20"/>
                <w:color w:val="auto"/>
              </w:rPr>
            </w:pPr>
            <w:r>
              <w:rPr>
                <w:rFonts w:ascii="Arial" w:cs="Arial" w:eastAsia="Arial" w:hAnsi="Arial"/>
                <w:sz w:val="18"/>
                <w:szCs w:val="18"/>
                <w:color w:val="auto"/>
                <w:w w:val="88"/>
              </w:rPr>
              <w:t>Number of Shares</w:t>
            </w:r>
          </w:p>
        </w:tc>
      </w:tr>
      <w:tr>
        <w:trPr>
          <w:trHeight w:val="190"/>
        </w:trPr>
        <w:tc>
          <w:tcPr>
            <w:tcW w:w="1720" w:type="dxa"/>
            <w:vAlign w:val="bottom"/>
          </w:tcPr>
          <w:p>
            <w:pPr>
              <w:spacing w:after="0"/>
              <w:rPr>
                <w:sz w:val="16"/>
                <w:szCs w:val="16"/>
                <w:color w:val="auto"/>
              </w:rPr>
            </w:pPr>
          </w:p>
        </w:tc>
        <w:tc>
          <w:tcPr>
            <w:tcW w:w="96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92"/>
              </w:rPr>
              <w:t>Title of Class</w:t>
            </w:r>
          </w:p>
        </w:tc>
        <w:tc>
          <w:tcPr>
            <w:tcW w:w="2080" w:type="dxa"/>
            <w:vAlign w:val="bottom"/>
            <w:gridSpan w:val="2"/>
          </w:tcPr>
          <w:p>
            <w:pPr>
              <w:spacing w:after="0"/>
              <w:rPr>
                <w:sz w:val="16"/>
                <w:szCs w:val="16"/>
                <w:color w:val="auto"/>
              </w:rPr>
            </w:pPr>
          </w:p>
        </w:tc>
        <w:tc>
          <w:tcPr>
            <w:tcW w:w="2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90"/>
              </w:rPr>
              <w:t>Outstanding</w:t>
            </w:r>
          </w:p>
        </w:tc>
        <w:tc>
          <w:tcPr>
            <w:tcW w:w="1760" w:type="dxa"/>
            <w:vAlign w:val="bottom"/>
          </w:tcPr>
          <w:p>
            <w:pPr>
              <w:spacing w:after="0"/>
              <w:rPr>
                <w:sz w:val="16"/>
                <w:szCs w:val="16"/>
                <w:color w:val="auto"/>
              </w:rPr>
            </w:pPr>
          </w:p>
        </w:tc>
      </w:tr>
      <w:tr>
        <w:trPr>
          <w:trHeight w:val="222"/>
        </w:trPr>
        <w:tc>
          <w:tcPr>
            <w:tcW w:w="4760" w:type="dxa"/>
            <w:vAlign w:val="bottom"/>
            <w:gridSpan w:val="4"/>
          </w:tcPr>
          <w:p>
            <w:pPr>
              <w:jc w:val="center"/>
              <w:ind w:right="380"/>
              <w:spacing w:after="0"/>
              <w:rPr>
                <w:sz w:val="20"/>
                <w:szCs w:val="20"/>
                <w:color w:val="auto"/>
              </w:rPr>
            </w:pPr>
            <w:r>
              <w:rPr>
                <w:rFonts w:ascii="Arial" w:cs="Arial" w:eastAsia="Arial" w:hAnsi="Arial"/>
                <w:sz w:val="18"/>
                <w:szCs w:val="18"/>
                <w:color w:val="auto"/>
                <w:w w:val="89"/>
              </w:rPr>
              <w:t>Class A Common Stock, $.01 Par Value</w:t>
            </w:r>
          </w:p>
        </w:tc>
        <w:tc>
          <w:tcPr>
            <w:tcW w:w="2520" w:type="dxa"/>
            <w:vAlign w:val="bottom"/>
          </w:tcPr>
          <w:p>
            <w:pPr>
              <w:spacing w:after="0"/>
              <w:rPr>
                <w:sz w:val="19"/>
                <w:szCs w:val="19"/>
                <w:color w:val="auto"/>
              </w:rPr>
            </w:pPr>
          </w:p>
        </w:tc>
        <w:tc>
          <w:tcPr>
            <w:tcW w:w="2100" w:type="dxa"/>
            <w:vAlign w:val="bottom"/>
            <w:gridSpan w:val="2"/>
          </w:tcPr>
          <w:p>
            <w:pPr>
              <w:jc w:val="center"/>
              <w:ind w:left="1110"/>
              <w:spacing w:after="0"/>
              <w:rPr>
                <w:sz w:val="20"/>
                <w:szCs w:val="20"/>
                <w:color w:val="auto"/>
              </w:rPr>
            </w:pPr>
            <w:r>
              <w:rPr>
                <w:rFonts w:ascii="Arial" w:cs="Arial" w:eastAsia="Arial" w:hAnsi="Arial"/>
                <w:sz w:val="18"/>
                <w:szCs w:val="18"/>
                <w:color w:val="auto"/>
                <w:w w:val="90"/>
              </w:rPr>
              <w:t>41,704,225</w:t>
            </w:r>
          </w:p>
        </w:tc>
        <w:tc>
          <w:tcPr>
            <w:tcW w:w="1760" w:type="dxa"/>
            <w:vAlign w:val="bottom"/>
          </w:tcPr>
          <w:p>
            <w:pPr>
              <w:spacing w:after="0"/>
              <w:rPr>
                <w:sz w:val="19"/>
                <w:szCs w:val="19"/>
                <w:color w:val="auto"/>
              </w:rPr>
            </w:pPr>
          </w:p>
        </w:tc>
      </w:tr>
      <w:tr>
        <w:trPr>
          <w:trHeight w:val="230"/>
        </w:trPr>
        <w:tc>
          <w:tcPr>
            <w:tcW w:w="4760" w:type="dxa"/>
            <w:vAlign w:val="bottom"/>
            <w:gridSpan w:val="4"/>
          </w:tcPr>
          <w:p>
            <w:pPr>
              <w:jc w:val="center"/>
              <w:ind w:right="380"/>
              <w:spacing w:after="0"/>
              <w:rPr>
                <w:sz w:val="20"/>
                <w:szCs w:val="20"/>
                <w:color w:val="auto"/>
              </w:rPr>
            </w:pPr>
            <w:r>
              <w:rPr>
                <w:rFonts w:ascii="Arial" w:cs="Arial" w:eastAsia="Arial" w:hAnsi="Arial"/>
                <w:sz w:val="18"/>
                <w:szCs w:val="18"/>
                <w:color w:val="auto"/>
                <w:w w:val="89"/>
              </w:rPr>
              <w:t>Class B Common Stock, $.01 Par Value</w:t>
            </w:r>
          </w:p>
        </w:tc>
        <w:tc>
          <w:tcPr>
            <w:tcW w:w="2520" w:type="dxa"/>
            <w:vAlign w:val="bottom"/>
          </w:tcPr>
          <w:p>
            <w:pPr>
              <w:spacing w:after="0"/>
              <w:rPr>
                <w:sz w:val="20"/>
                <w:szCs w:val="20"/>
                <w:color w:val="auto"/>
              </w:rPr>
            </w:pPr>
          </w:p>
        </w:tc>
        <w:tc>
          <w:tcPr>
            <w:tcW w:w="2100" w:type="dxa"/>
            <w:vAlign w:val="bottom"/>
            <w:gridSpan w:val="2"/>
          </w:tcPr>
          <w:p>
            <w:pPr>
              <w:jc w:val="center"/>
              <w:ind w:left="1110"/>
              <w:spacing w:after="0"/>
              <w:rPr>
                <w:sz w:val="20"/>
                <w:szCs w:val="20"/>
                <w:color w:val="auto"/>
              </w:rPr>
            </w:pPr>
            <w:r>
              <w:rPr>
                <w:rFonts w:ascii="Arial" w:cs="Arial" w:eastAsia="Arial" w:hAnsi="Arial"/>
                <w:sz w:val="18"/>
                <w:szCs w:val="18"/>
                <w:color w:val="auto"/>
                <w:w w:val="90"/>
              </w:rPr>
              <w:t>12,132,380</w:t>
            </w:r>
          </w:p>
        </w:tc>
        <w:tc>
          <w:tcPr>
            <w:tcW w:w="1760" w:type="dxa"/>
            <w:vAlign w:val="bottom"/>
          </w:tcPr>
          <w:p>
            <w:pPr>
              <w:spacing w:after="0"/>
              <w:rPr>
                <w:sz w:val="20"/>
                <w:szCs w:val="20"/>
                <w:color w:val="auto"/>
              </w:rPr>
            </w:pPr>
          </w:p>
        </w:tc>
      </w:tr>
      <w:tr>
        <w:trPr>
          <w:trHeight w:val="432"/>
        </w:trPr>
        <w:tc>
          <w:tcPr>
            <w:tcW w:w="4760" w:type="dxa"/>
            <w:vAlign w:val="bottom"/>
            <w:gridSpan w:val="4"/>
          </w:tcPr>
          <w:p>
            <w:pPr>
              <w:ind w:left="440"/>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3"/>
        </w:trPr>
        <w:tc>
          <w:tcPr>
            <w:tcW w:w="17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r>
      <w:tr>
        <w:trPr>
          <w:trHeight w:val="209"/>
        </w:trPr>
        <w:tc>
          <w:tcPr>
            <w:tcW w:w="4060" w:type="dxa"/>
            <w:vAlign w:val="bottom"/>
            <w:tcBorders>
              <w:left w:val="single" w:sz="8" w:color="auto"/>
              <w:bottom w:val="single" w:sz="8" w:color="auto"/>
              <w:right w:val="single" w:sz="8" w:color="auto"/>
            </w:tcBorders>
            <w:gridSpan w:val="3"/>
          </w:tcPr>
          <w:p>
            <w:pPr>
              <w:ind w:left="1360"/>
              <w:spacing w:after="0" w:line="189" w:lineRule="exact"/>
              <w:rPr>
                <w:sz w:val="20"/>
                <w:szCs w:val="20"/>
                <w:color w:val="auto"/>
              </w:rPr>
            </w:pPr>
            <w:r>
              <w:rPr>
                <w:rFonts w:ascii="Arial" w:cs="Arial" w:eastAsia="Arial" w:hAnsi="Arial"/>
                <w:sz w:val="18"/>
                <w:szCs w:val="18"/>
                <w:color w:val="auto"/>
              </w:rPr>
              <w:t>Title of each class</w:t>
            </w:r>
          </w:p>
        </w:tc>
        <w:tc>
          <w:tcPr>
            <w:tcW w:w="700" w:type="dxa"/>
            <w:vAlign w:val="bottom"/>
            <w:tcBorders>
              <w:bottom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jc w:val="center"/>
              <w:ind w:right="690"/>
              <w:spacing w:after="0" w:line="189" w:lineRule="exact"/>
              <w:rPr>
                <w:sz w:val="20"/>
                <w:szCs w:val="20"/>
                <w:color w:val="auto"/>
              </w:rPr>
            </w:pPr>
            <w:r>
              <w:rPr>
                <w:rFonts w:ascii="Arial" w:cs="Arial" w:eastAsia="Arial" w:hAnsi="Arial"/>
                <w:sz w:val="18"/>
                <w:szCs w:val="18"/>
                <w:color w:val="auto"/>
                <w:w w:val="91"/>
              </w:rPr>
              <w:t>Trading Symbol(s)</w:t>
            </w:r>
          </w:p>
        </w:tc>
        <w:tc>
          <w:tcPr>
            <w:tcW w:w="3860" w:type="dxa"/>
            <w:vAlign w:val="bottom"/>
            <w:tcBorders>
              <w:bottom w:val="single" w:sz="8" w:color="auto"/>
              <w:right w:val="single" w:sz="8" w:color="auto"/>
            </w:tcBorders>
            <w:gridSpan w:val="3"/>
          </w:tcPr>
          <w:p>
            <w:pPr>
              <w:jc w:val="center"/>
              <w:ind w:right="40"/>
              <w:spacing w:after="0" w:line="189" w:lineRule="exact"/>
              <w:rPr>
                <w:sz w:val="20"/>
                <w:szCs w:val="20"/>
                <w:color w:val="auto"/>
              </w:rPr>
            </w:pPr>
            <w:r>
              <w:rPr>
                <w:rFonts w:ascii="Arial" w:cs="Arial" w:eastAsia="Arial" w:hAnsi="Arial"/>
                <w:sz w:val="18"/>
                <w:szCs w:val="18"/>
                <w:color w:val="auto"/>
                <w:w w:val="89"/>
              </w:rPr>
              <w:t>Name of each exchange on which registered</w:t>
            </w:r>
          </w:p>
        </w:tc>
      </w:tr>
      <w:tr>
        <w:trPr>
          <w:trHeight w:val="178"/>
        </w:trPr>
        <w:tc>
          <w:tcPr>
            <w:tcW w:w="4060" w:type="dxa"/>
            <w:vAlign w:val="bottom"/>
            <w:tcBorders>
              <w:left w:val="single" w:sz="8" w:color="auto"/>
              <w:right w:val="single" w:sz="8" w:color="auto"/>
            </w:tcBorders>
            <w:gridSpan w:val="3"/>
          </w:tcPr>
          <w:p>
            <w:pPr>
              <w:ind w:left="600"/>
              <w:spacing w:after="0" w:line="178" w:lineRule="exact"/>
              <w:rPr>
                <w:sz w:val="20"/>
                <w:szCs w:val="20"/>
                <w:color w:val="auto"/>
              </w:rPr>
            </w:pPr>
            <w:r>
              <w:rPr>
                <w:rFonts w:ascii="Arial" w:cs="Arial" w:eastAsia="Arial" w:hAnsi="Arial"/>
                <w:sz w:val="18"/>
                <w:szCs w:val="18"/>
                <w:color w:val="auto"/>
              </w:rPr>
              <w:t>Class A Common Stock, $0.01 par value</w:t>
            </w:r>
          </w:p>
        </w:tc>
        <w:tc>
          <w:tcPr>
            <w:tcW w:w="700" w:type="dxa"/>
            <w:vAlign w:val="bottom"/>
          </w:tcPr>
          <w:p>
            <w:pPr>
              <w:spacing w:after="0"/>
              <w:rPr>
                <w:sz w:val="15"/>
                <w:szCs w:val="15"/>
                <w:color w:val="auto"/>
              </w:rPr>
            </w:pPr>
          </w:p>
        </w:tc>
        <w:tc>
          <w:tcPr>
            <w:tcW w:w="2520" w:type="dxa"/>
            <w:vAlign w:val="bottom"/>
            <w:tcBorders>
              <w:right w:val="single" w:sz="8" w:color="auto"/>
            </w:tcBorders>
          </w:tcPr>
          <w:p>
            <w:pPr>
              <w:jc w:val="center"/>
              <w:ind w:right="670"/>
              <w:spacing w:after="0" w:line="178" w:lineRule="exact"/>
              <w:rPr>
                <w:sz w:val="20"/>
                <w:szCs w:val="20"/>
                <w:color w:val="auto"/>
              </w:rPr>
            </w:pPr>
            <w:r>
              <w:rPr>
                <w:rFonts w:ascii="Arial" w:cs="Arial" w:eastAsia="Arial" w:hAnsi="Arial"/>
                <w:sz w:val="18"/>
                <w:szCs w:val="18"/>
                <w:color w:val="auto"/>
                <w:w w:val="95"/>
              </w:rPr>
              <w:t>RUSHA</w:t>
            </w:r>
          </w:p>
        </w:tc>
        <w:tc>
          <w:tcPr>
            <w:tcW w:w="3860" w:type="dxa"/>
            <w:vAlign w:val="bottom"/>
            <w:tcBorders>
              <w:right w:val="single" w:sz="8" w:color="auto"/>
            </w:tcBorders>
            <w:gridSpan w:val="3"/>
          </w:tcPr>
          <w:p>
            <w:pPr>
              <w:jc w:val="center"/>
              <w:ind w:right="40"/>
              <w:spacing w:after="0" w:line="178" w:lineRule="exact"/>
              <w:rPr>
                <w:sz w:val="20"/>
                <w:szCs w:val="20"/>
                <w:color w:val="auto"/>
              </w:rPr>
            </w:pPr>
            <w:r>
              <w:rPr>
                <w:rFonts w:ascii="Arial" w:cs="Arial" w:eastAsia="Arial" w:hAnsi="Arial"/>
                <w:sz w:val="18"/>
                <w:szCs w:val="18"/>
                <w:color w:val="auto"/>
                <w:w w:val="94"/>
              </w:rPr>
              <w:t>NASDAQ Global Select Market</w:t>
            </w:r>
          </w:p>
        </w:tc>
      </w:tr>
      <w:tr>
        <w:trPr>
          <w:trHeight w:val="230"/>
        </w:trPr>
        <w:tc>
          <w:tcPr>
            <w:tcW w:w="4060" w:type="dxa"/>
            <w:vAlign w:val="bottom"/>
            <w:tcBorders>
              <w:left w:val="single" w:sz="8" w:color="auto"/>
              <w:bottom w:val="single" w:sz="8" w:color="auto"/>
              <w:right w:val="single" w:sz="8" w:color="auto"/>
            </w:tcBorders>
            <w:gridSpan w:val="3"/>
          </w:tcPr>
          <w:p>
            <w:pPr>
              <w:ind w:left="580"/>
              <w:spacing w:after="0"/>
              <w:rPr>
                <w:sz w:val="20"/>
                <w:szCs w:val="20"/>
                <w:color w:val="auto"/>
              </w:rPr>
            </w:pPr>
            <w:r>
              <w:rPr>
                <w:rFonts w:ascii="Arial" w:cs="Arial" w:eastAsia="Arial" w:hAnsi="Arial"/>
                <w:sz w:val="18"/>
                <w:szCs w:val="18"/>
                <w:color w:val="auto"/>
              </w:rPr>
              <w:t>Class B Common Stock, $0.01 par value</w:t>
            </w:r>
          </w:p>
        </w:tc>
        <w:tc>
          <w:tcPr>
            <w:tcW w:w="700" w:type="dxa"/>
            <w:vAlign w:val="bottom"/>
            <w:tcBorders>
              <w:bottom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jc w:val="center"/>
              <w:ind w:right="710"/>
              <w:spacing w:after="0"/>
              <w:rPr>
                <w:sz w:val="20"/>
                <w:szCs w:val="20"/>
                <w:color w:val="auto"/>
              </w:rPr>
            </w:pPr>
            <w:r>
              <w:rPr>
                <w:rFonts w:ascii="Arial" w:cs="Arial" w:eastAsia="Arial" w:hAnsi="Arial"/>
                <w:sz w:val="18"/>
                <w:szCs w:val="18"/>
                <w:color w:val="auto"/>
                <w:w w:val="95"/>
              </w:rPr>
              <w:t>RUSHB</w:t>
            </w:r>
          </w:p>
        </w:tc>
        <w:tc>
          <w:tcPr>
            <w:tcW w:w="386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4"/>
              </w:rPr>
              <w:t>NASDAQ Global Select Market</w:t>
            </w:r>
          </w:p>
        </w:tc>
      </w:tr>
    </w:tbl>
    <w:p>
      <w:pPr>
        <w:sectPr>
          <w:pgSz w:w="11900" w:h="16838" w:orient="portrait"/>
          <w:cols w:equalWidth="0" w:num="1">
            <w:col w:w="11240"/>
          </w:cols>
          <w:pgMar w:left="320" w:top="476" w:right="339" w:bottom="0" w:gutter="0" w:footer="0" w:header="0"/>
          <w:type w:val="continuous"/>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840" w:type="dxa"/>
            <w:vAlign w:val="bottom"/>
            <w:gridSpan w:val="20"/>
          </w:tcPr>
          <w:p>
            <w:pPr>
              <w:spacing w:after="0"/>
              <w:rPr>
                <w:sz w:val="20"/>
                <w:szCs w:val="20"/>
                <w:color w:val="auto"/>
              </w:rPr>
            </w:pPr>
            <w:r>
              <w:rPr>
                <w:rFonts w:ascii="Arial" w:cs="Arial" w:eastAsia="Arial" w:hAnsi="Arial"/>
                <w:sz w:val="18"/>
                <w:szCs w:val="18"/>
                <w:color w:val="0000EE"/>
              </w:rPr>
              <w:t>Table of Contents</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938"/>
        </w:trPr>
        <w:tc>
          <w:tcPr>
            <w:tcW w:w="1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380" w:type="dxa"/>
            <w:vAlign w:val="bottom"/>
            <w:gridSpan w:val="10"/>
          </w:tcPr>
          <w:p>
            <w:pPr>
              <w:jc w:val="center"/>
              <w:ind w:right="3060"/>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680" w:type="dxa"/>
            <w:vAlign w:val="bottom"/>
            <w:gridSpan w:val="9"/>
          </w:tcPr>
          <w:p>
            <w:pPr>
              <w:jc w:val="center"/>
              <w:ind w:right="4740"/>
              <w:spacing w:after="0"/>
              <w:rPr>
                <w:sz w:val="20"/>
                <w:szCs w:val="20"/>
                <w:color w:val="auto"/>
              </w:rPr>
            </w:pPr>
            <w:r>
              <w:rPr>
                <w:rFonts w:ascii="Arial" w:cs="Arial" w:eastAsia="Arial" w:hAnsi="Arial"/>
                <w:sz w:val="18"/>
                <w:szCs w:val="18"/>
                <w:b w:val="1"/>
                <w:bCs w:val="1"/>
                <w:color w:val="auto"/>
              </w:rPr>
              <w:t>INDEX</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08"/>
        </w:trPr>
        <w:tc>
          <w:tcPr>
            <w:tcW w:w="10840" w:type="dxa"/>
            <w:vAlign w:val="bottom"/>
            <w:gridSpan w:val="20"/>
          </w:tcPr>
          <w:p>
            <w:pPr>
              <w:spacing w:after="0"/>
              <w:rPr>
                <w:sz w:val="20"/>
                <w:szCs w:val="20"/>
                <w:color w:val="auto"/>
              </w:rPr>
            </w:pPr>
            <w:r>
              <w:rPr>
                <w:rFonts w:ascii="Arial" w:cs="Arial" w:eastAsia="Arial" w:hAnsi="Arial"/>
                <w:sz w:val="18"/>
                <w:szCs w:val="18"/>
                <w:b w:val="1"/>
                <w:bCs w:val="1"/>
                <w:color w:val="0000EE"/>
              </w:rPr>
              <w:t>PART I. FINANCIAL INFORMATION</w:t>
            </w:r>
          </w:p>
        </w:tc>
        <w:tc>
          <w:tcPr>
            <w:tcW w:w="400" w:type="dxa"/>
            <w:vAlign w:val="bottom"/>
            <w:gridSpan w:val="6"/>
          </w:tcPr>
          <w:p>
            <w:pPr>
              <w:spacing w:after="0"/>
              <w:rPr>
                <w:sz w:val="20"/>
                <w:szCs w:val="20"/>
                <w:color w:val="auto"/>
              </w:rPr>
            </w:pPr>
            <w:r>
              <w:rPr>
                <w:rFonts w:ascii="Arial" w:cs="Arial" w:eastAsia="Arial" w:hAnsi="Arial"/>
                <w:sz w:val="18"/>
                <w:szCs w:val="18"/>
                <w:b w:val="1"/>
                <w:bCs w:val="1"/>
                <w:color w:val="auto"/>
                <w:w w:val="88"/>
              </w:rPr>
              <w:t>Page</w:t>
            </w:r>
          </w:p>
        </w:tc>
      </w:tr>
      <w:tr>
        <w:trPr>
          <w:trHeight w:val="412"/>
        </w:trPr>
        <w:tc>
          <w:tcPr>
            <w:tcW w:w="1160" w:type="dxa"/>
            <w:vAlign w:val="bottom"/>
            <w:tcBorders>
              <w:top w:val="single" w:sz="8" w:color="0000EE"/>
            </w:tcBorders>
          </w:tcPr>
          <w:p>
            <w:pPr>
              <w:ind w:left="460"/>
              <w:spacing w:after="0"/>
              <w:rPr>
                <w:sz w:val="20"/>
                <w:szCs w:val="20"/>
                <w:color w:val="auto"/>
              </w:rPr>
            </w:pPr>
            <w:r>
              <w:rPr>
                <w:rFonts w:ascii="Arial" w:cs="Arial" w:eastAsia="Arial" w:hAnsi="Arial"/>
                <w:sz w:val="18"/>
                <w:szCs w:val="18"/>
                <w:color w:val="auto"/>
              </w:rPr>
              <w:t>Item 1</w:t>
            </w:r>
          </w:p>
        </w:tc>
        <w:tc>
          <w:tcPr>
            <w:tcW w:w="148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86"/>
              </w:rPr>
              <w:t>Financial Statements</w:t>
            </w:r>
          </w:p>
        </w:tc>
        <w:tc>
          <w:tcPr>
            <w:tcW w:w="420" w:type="dxa"/>
            <w:vAlign w:val="bottom"/>
            <w:tcBorders>
              <w:top w:val="single" w:sz="8" w:color="0000EE"/>
            </w:tcBorders>
            <w:gridSpan w:val="3"/>
          </w:tcPr>
          <w:p>
            <w:pPr>
              <w:spacing w:after="0"/>
              <w:rPr>
                <w:sz w:val="24"/>
                <w:szCs w:val="24"/>
                <w:color w:val="auto"/>
              </w:rPr>
            </w:pPr>
          </w:p>
        </w:tc>
        <w:tc>
          <w:tcPr>
            <w:tcW w:w="7780" w:type="dxa"/>
            <w:vAlign w:val="bottom"/>
            <w:gridSpan w:val="11"/>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1160" w:type="dxa"/>
            <w:vAlign w:val="bottom"/>
          </w:tcPr>
          <w:p>
            <w:pPr>
              <w:spacing w:after="0"/>
              <w:rPr>
                <w:sz w:val="24"/>
                <w:szCs w:val="24"/>
                <w:color w:val="auto"/>
              </w:rPr>
            </w:pPr>
          </w:p>
        </w:tc>
        <w:tc>
          <w:tcPr>
            <w:tcW w:w="5860" w:type="dxa"/>
            <w:vAlign w:val="bottom"/>
            <w:gridSpan w:val="13"/>
          </w:tcPr>
          <w:p>
            <w:pPr>
              <w:spacing w:after="0"/>
              <w:rPr>
                <w:sz w:val="20"/>
                <w:szCs w:val="20"/>
                <w:color w:val="auto"/>
              </w:rPr>
            </w:pPr>
            <w:r>
              <w:rPr>
                <w:rFonts w:ascii="Arial" w:cs="Arial" w:eastAsia="Arial" w:hAnsi="Arial"/>
                <w:sz w:val="18"/>
                <w:szCs w:val="18"/>
                <w:color w:val="0000EE"/>
                <w:w w:val="88"/>
              </w:rPr>
              <w:t>Consolidated Balance Sheets - June 30, 2023 (unaudited) and December 31, 2022</w:t>
            </w:r>
          </w:p>
        </w:tc>
        <w:tc>
          <w:tcPr>
            <w:tcW w:w="3820" w:type="dxa"/>
            <w:vAlign w:val="bottom"/>
            <w:gridSpan w:val="6"/>
          </w:tcPr>
          <w:p>
            <w:pPr>
              <w:spacing w:after="0"/>
              <w:rPr>
                <w:sz w:val="24"/>
                <w:szCs w:val="24"/>
                <w:color w:val="auto"/>
              </w:rPr>
            </w:pPr>
          </w:p>
        </w:tc>
        <w:tc>
          <w:tcPr>
            <w:tcW w:w="220" w:type="dxa"/>
            <w:vAlign w:val="bottom"/>
            <w:gridSpan w:val="3"/>
          </w:tcPr>
          <w:p>
            <w:pPr>
              <w:jc w:val="center"/>
              <w:ind w:left="50"/>
              <w:spacing w:after="0"/>
              <w:rPr>
                <w:sz w:val="20"/>
                <w:szCs w:val="20"/>
                <w:color w:val="auto"/>
              </w:rPr>
            </w:pPr>
            <w:r>
              <w:rPr>
                <w:rFonts w:ascii="Arial" w:cs="Arial" w:eastAsia="Arial" w:hAnsi="Arial"/>
                <w:sz w:val="18"/>
                <w:szCs w:val="18"/>
                <w:color w:val="0000EE"/>
                <w:w w:val="79"/>
              </w:rPr>
              <w:t>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9680" w:type="dxa"/>
            <w:vAlign w:val="bottom"/>
            <w:gridSpan w:val="19"/>
          </w:tcPr>
          <w:p>
            <w:pPr>
              <w:spacing w:after="0"/>
              <w:rPr>
                <w:sz w:val="20"/>
                <w:szCs w:val="20"/>
                <w:color w:val="auto"/>
              </w:rPr>
            </w:pPr>
            <w:r>
              <w:rPr>
                <w:rFonts w:ascii="Arial" w:cs="Arial" w:eastAsia="Arial" w:hAnsi="Arial"/>
                <w:sz w:val="18"/>
                <w:szCs w:val="18"/>
                <w:color w:val="0000EE"/>
              </w:rPr>
              <w:t>Consolidated Statements of Income - For the Three and Six Months Ended June 30, 2023 and 2022 (unaudited)</w:t>
            </w:r>
          </w:p>
        </w:tc>
        <w:tc>
          <w:tcPr>
            <w:tcW w:w="220" w:type="dxa"/>
            <w:vAlign w:val="bottom"/>
            <w:gridSpan w:val="3"/>
          </w:tcPr>
          <w:p>
            <w:pPr>
              <w:jc w:val="center"/>
              <w:ind w:left="50"/>
              <w:spacing w:after="0"/>
              <w:rPr>
                <w:sz w:val="20"/>
                <w:szCs w:val="20"/>
                <w:color w:val="auto"/>
              </w:rPr>
            </w:pPr>
            <w:r>
              <w:rPr>
                <w:rFonts w:ascii="Arial" w:cs="Arial" w:eastAsia="Arial" w:hAnsi="Arial"/>
                <w:sz w:val="18"/>
                <w:szCs w:val="18"/>
                <w:color w:val="0000EE"/>
                <w:w w:val="79"/>
              </w:rPr>
              <w:t>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9160" w:type="dxa"/>
            <w:vAlign w:val="bottom"/>
            <w:gridSpan w:val="18"/>
          </w:tcPr>
          <w:p>
            <w:pPr>
              <w:spacing w:after="0"/>
              <w:rPr>
                <w:sz w:val="20"/>
                <w:szCs w:val="20"/>
                <w:color w:val="auto"/>
              </w:rPr>
            </w:pPr>
            <w:r>
              <w:rPr>
                <w:rFonts w:ascii="Arial" w:cs="Arial" w:eastAsia="Arial" w:hAnsi="Arial"/>
                <w:sz w:val="18"/>
                <w:szCs w:val="18"/>
                <w:color w:val="0000EE"/>
                <w:w w:val="89"/>
              </w:rPr>
              <w:t>Consolidated Statements of Comprehensive Income - For the Three and Six Months Ended June 30, 2023 and 2022 (unaudited)</w:t>
            </w:r>
          </w:p>
        </w:tc>
        <w:tc>
          <w:tcPr>
            <w:tcW w:w="520" w:type="dxa"/>
            <w:vAlign w:val="bottom"/>
          </w:tcPr>
          <w:p>
            <w:pPr>
              <w:spacing w:after="0"/>
              <w:rPr>
                <w:sz w:val="24"/>
                <w:szCs w:val="24"/>
                <w:color w:val="auto"/>
              </w:rPr>
            </w:pPr>
          </w:p>
        </w:tc>
        <w:tc>
          <w:tcPr>
            <w:tcW w:w="220" w:type="dxa"/>
            <w:vAlign w:val="bottom"/>
            <w:gridSpan w:val="3"/>
          </w:tcPr>
          <w:p>
            <w:pPr>
              <w:jc w:val="center"/>
              <w:ind w:left="50"/>
              <w:spacing w:after="0"/>
              <w:rPr>
                <w:sz w:val="20"/>
                <w:szCs w:val="20"/>
                <w:color w:val="auto"/>
              </w:rPr>
            </w:pPr>
            <w:r>
              <w:rPr>
                <w:rFonts w:ascii="Arial" w:cs="Arial" w:eastAsia="Arial" w:hAnsi="Arial"/>
                <w:sz w:val="18"/>
                <w:szCs w:val="18"/>
                <w:color w:val="0000EE"/>
                <w:w w:val="79"/>
              </w:rPr>
              <w:t>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9160" w:type="dxa"/>
            <w:vAlign w:val="bottom"/>
            <w:gridSpan w:val="18"/>
          </w:tcPr>
          <w:p>
            <w:pPr>
              <w:spacing w:after="0"/>
              <w:rPr>
                <w:sz w:val="20"/>
                <w:szCs w:val="20"/>
                <w:color w:val="auto"/>
              </w:rPr>
            </w:pPr>
            <w:r>
              <w:rPr>
                <w:rFonts w:ascii="Arial" w:cs="Arial" w:eastAsia="Arial" w:hAnsi="Arial"/>
                <w:sz w:val="18"/>
                <w:szCs w:val="18"/>
                <w:color w:val="0000EE"/>
                <w:w w:val="91"/>
              </w:rPr>
              <w:t>Consolidated Statements of Shareholders’ Equity – For the Three and Six Months Ended June 30, 2023 and 2022 (unaudited)</w:t>
            </w:r>
          </w:p>
        </w:tc>
        <w:tc>
          <w:tcPr>
            <w:tcW w:w="520" w:type="dxa"/>
            <w:vAlign w:val="bottom"/>
          </w:tcPr>
          <w:p>
            <w:pPr>
              <w:spacing w:after="0"/>
              <w:rPr>
                <w:sz w:val="24"/>
                <w:szCs w:val="24"/>
                <w:color w:val="auto"/>
              </w:rPr>
            </w:pPr>
          </w:p>
        </w:tc>
        <w:tc>
          <w:tcPr>
            <w:tcW w:w="220" w:type="dxa"/>
            <w:vAlign w:val="bottom"/>
            <w:gridSpan w:val="3"/>
          </w:tcPr>
          <w:p>
            <w:pPr>
              <w:jc w:val="center"/>
              <w:ind w:left="50"/>
              <w:spacing w:after="0"/>
              <w:rPr>
                <w:sz w:val="20"/>
                <w:szCs w:val="20"/>
                <w:color w:val="auto"/>
              </w:rPr>
            </w:pPr>
            <w:r>
              <w:rPr>
                <w:rFonts w:ascii="Arial" w:cs="Arial" w:eastAsia="Arial" w:hAnsi="Arial"/>
                <w:sz w:val="18"/>
                <w:szCs w:val="18"/>
                <w:color w:val="0000EE"/>
                <w:w w:val="79"/>
              </w:rPr>
              <w:t>6</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8980" w:type="dxa"/>
            <w:vAlign w:val="bottom"/>
            <w:gridSpan w:val="17"/>
          </w:tcPr>
          <w:p>
            <w:pPr>
              <w:spacing w:after="0"/>
              <w:rPr>
                <w:sz w:val="20"/>
                <w:szCs w:val="20"/>
                <w:color w:val="auto"/>
              </w:rPr>
            </w:pPr>
            <w:r>
              <w:rPr>
                <w:rFonts w:ascii="Arial" w:cs="Arial" w:eastAsia="Arial" w:hAnsi="Arial"/>
                <w:sz w:val="18"/>
                <w:szCs w:val="18"/>
                <w:color w:val="0000EE"/>
              </w:rPr>
              <w:t>Consolidated Statements of Cash Flows - For the Six Months Ended June 30, 2023 and 2022 (unaudited)</w:t>
            </w:r>
          </w:p>
        </w:tc>
        <w:tc>
          <w:tcPr>
            <w:tcW w:w="700" w:type="dxa"/>
            <w:vAlign w:val="bottom"/>
            <w:gridSpan w:val="2"/>
          </w:tcPr>
          <w:p>
            <w:pPr>
              <w:spacing w:after="0"/>
              <w:rPr>
                <w:sz w:val="24"/>
                <w:szCs w:val="24"/>
                <w:color w:val="auto"/>
              </w:rPr>
            </w:pPr>
          </w:p>
        </w:tc>
        <w:tc>
          <w:tcPr>
            <w:tcW w:w="220" w:type="dxa"/>
            <w:vAlign w:val="bottom"/>
            <w:gridSpan w:val="3"/>
          </w:tcPr>
          <w:p>
            <w:pPr>
              <w:jc w:val="center"/>
              <w:ind w:left="50"/>
              <w:spacing w:after="0"/>
              <w:rPr>
                <w:sz w:val="20"/>
                <w:szCs w:val="20"/>
                <w:color w:val="auto"/>
              </w:rPr>
            </w:pPr>
            <w:r>
              <w:rPr>
                <w:rFonts w:ascii="Arial" w:cs="Arial" w:eastAsia="Arial" w:hAnsi="Arial"/>
                <w:sz w:val="18"/>
                <w:szCs w:val="18"/>
                <w:color w:val="0000EE"/>
                <w:w w:val="79"/>
              </w:rPr>
              <w:t>8</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4000" w:type="dxa"/>
            <w:vAlign w:val="bottom"/>
            <w:gridSpan w:val="10"/>
          </w:tcPr>
          <w:p>
            <w:pPr>
              <w:spacing w:after="0"/>
              <w:rPr>
                <w:sz w:val="20"/>
                <w:szCs w:val="20"/>
                <w:color w:val="auto"/>
              </w:rPr>
            </w:pPr>
            <w:r>
              <w:rPr>
                <w:rFonts w:ascii="Arial" w:cs="Arial" w:eastAsia="Arial" w:hAnsi="Arial"/>
                <w:sz w:val="18"/>
                <w:szCs w:val="18"/>
                <w:color w:val="0000EE"/>
                <w:w w:val="89"/>
              </w:rPr>
              <w:t>Notes to Consolidated Financial Statements (unaudited)</w:t>
            </w:r>
          </w:p>
        </w:tc>
        <w:tc>
          <w:tcPr>
            <w:tcW w:w="3520" w:type="dxa"/>
            <w:vAlign w:val="bottom"/>
            <w:gridSpan w:val="5"/>
          </w:tcPr>
          <w:p>
            <w:pPr>
              <w:spacing w:after="0"/>
              <w:rPr>
                <w:sz w:val="24"/>
                <w:szCs w:val="24"/>
                <w:color w:val="auto"/>
              </w:rPr>
            </w:pPr>
          </w:p>
        </w:tc>
        <w:tc>
          <w:tcPr>
            <w:tcW w:w="2160" w:type="dxa"/>
            <w:vAlign w:val="bottom"/>
            <w:gridSpan w:val="4"/>
          </w:tcPr>
          <w:p>
            <w:pPr>
              <w:spacing w:after="0"/>
              <w:rPr>
                <w:sz w:val="24"/>
                <w:szCs w:val="24"/>
                <w:color w:val="auto"/>
              </w:rPr>
            </w:pPr>
          </w:p>
        </w:tc>
        <w:tc>
          <w:tcPr>
            <w:tcW w:w="220" w:type="dxa"/>
            <w:vAlign w:val="bottom"/>
            <w:gridSpan w:val="3"/>
          </w:tcPr>
          <w:p>
            <w:pPr>
              <w:jc w:val="center"/>
              <w:ind w:left="50"/>
              <w:spacing w:after="0"/>
              <w:rPr>
                <w:sz w:val="20"/>
                <w:szCs w:val="20"/>
                <w:color w:val="auto"/>
              </w:rPr>
            </w:pPr>
            <w:r>
              <w:rPr>
                <w:rFonts w:ascii="Arial" w:cs="Arial" w:eastAsia="Arial" w:hAnsi="Arial"/>
                <w:sz w:val="18"/>
                <w:szCs w:val="18"/>
                <w:color w:val="0000EE"/>
                <w:w w:val="79"/>
              </w:rPr>
              <w:t>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160" w:type="dxa"/>
            <w:vAlign w:val="bottom"/>
          </w:tcPr>
          <w:p>
            <w:pPr>
              <w:ind w:left="460"/>
              <w:spacing w:after="0"/>
              <w:rPr>
                <w:sz w:val="20"/>
                <w:szCs w:val="20"/>
                <w:color w:val="auto"/>
              </w:rPr>
            </w:pPr>
            <w:r>
              <w:rPr>
                <w:rFonts w:ascii="Arial" w:cs="Arial" w:eastAsia="Arial" w:hAnsi="Arial"/>
                <w:sz w:val="18"/>
                <w:szCs w:val="18"/>
                <w:color w:val="auto"/>
              </w:rPr>
              <w:t>Item 2.</w:t>
            </w:r>
          </w:p>
        </w:tc>
        <w:tc>
          <w:tcPr>
            <w:tcW w:w="642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326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sz w:val="20"/>
                <w:szCs w:val="20"/>
                <w:color w:val="auto"/>
              </w:rPr>
            </w:pPr>
            <w:r>
              <w:rPr>
                <w:rFonts w:ascii="Arial" w:cs="Arial" w:eastAsia="Arial" w:hAnsi="Arial"/>
                <w:sz w:val="18"/>
                <w:szCs w:val="18"/>
                <w:color w:val="0000EE"/>
                <w:w w:val="89"/>
              </w:rPr>
              <w:t>15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1160" w:type="dxa"/>
            <w:vAlign w:val="bottom"/>
          </w:tcPr>
          <w:p>
            <w:pPr>
              <w:ind w:left="460"/>
              <w:spacing w:after="0"/>
              <w:rPr>
                <w:sz w:val="20"/>
                <w:szCs w:val="20"/>
                <w:color w:val="auto"/>
              </w:rPr>
            </w:pPr>
            <w:r>
              <w:rPr>
                <w:rFonts w:ascii="Arial" w:cs="Arial" w:eastAsia="Arial" w:hAnsi="Arial"/>
                <w:sz w:val="18"/>
                <w:szCs w:val="18"/>
                <w:color w:val="auto"/>
              </w:rPr>
              <w:t>Item 3.</w:t>
            </w:r>
          </w:p>
        </w:tc>
        <w:tc>
          <w:tcPr>
            <w:tcW w:w="43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1"/>
              </w:rPr>
              <w:t>Quantitative and Qualitative Disclosures About Market Risk</w:t>
            </w:r>
          </w:p>
        </w:tc>
        <w:tc>
          <w:tcPr>
            <w:tcW w:w="534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sz w:val="20"/>
                <w:szCs w:val="20"/>
                <w:color w:val="auto"/>
              </w:rPr>
            </w:pPr>
            <w:r>
              <w:rPr>
                <w:rFonts w:ascii="Arial" w:cs="Arial" w:eastAsia="Arial" w:hAnsi="Arial"/>
                <w:sz w:val="18"/>
                <w:szCs w:val="18"/>
                <w:color w:val="0000EE"/>
                <w:w w:val="89"/>
              </w:rPr>
              <w:t>28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1160" w:type="dxa"/>
            <w:vAlign w:val="bottom"/>
          </w:tcPr>
          <w:p>
            <w:pPr>
              <w:ind w:left="460"/>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6"/>
              </w:rPr>
              <w:t>Controls and Procedures</w:t>
            </w:r>
          </w:p>
        </w:tc>
        <w:tc>
          <w:tcPr>
            <w:tcW w:w="7940" w:type="dxa"/>
            <w:vAlign w:val="bottom"/>
            <w:gridSpan w:val="12"/>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sz w:val="20"/>
                <w:szCs w:val="20"/>
                <w:color w:val="auto"/>
              </w:rPr>
            </w:pPr>
            <w:r>
              <w:rPr>
                <w:rFonts w:ascii="Arial" w:cs="Arial" w:eastAsia="Arial" w:hAnsi="Arial"/>
                <w:sz w:val="18"/>
                <w:szCs w:val="18"/>
                <w:color w:val="0000EE"/>
                <w:w w:val="89"/>
              </w:rPr>
              <w:t>28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7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b w:val="1"/>
                <w:bCs w:val="1"/>
                <w:color w:val="0000EE"/>
              </w:rPr>
              <w:t>PART II. OTHER INFORMATION</w:t>
            </w:r>
          </w:p>
        </w:tc>
        <w:tc>
          <w:tcPr>
            <w:tcW w:w="8060" w:type="dxa"/>
            <w:vAlign w:val="bottom"/>
            <w:gridSpan w:val="13"/>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1160" w:type="dxa"/>
            <w:vAlign w:val="bottom"/>
          </w:tcPr>
          <w:p>
            <w:pPr>
              <w:ind w:left="460"/>
              <w:spacing w:after="0"/>
              <w:rPr>
                <w:sz w:val="20"/>
                <w:szCs w:val="20"/>
                <w:color w:val="auto"/>
              </w:rPr>
            </w:pPr>
            <w:r>
              <w:rPr>
                <w:rFonts w:ascii="Arial" w:cs="Arial" w:eastAsia="Arial" w:hAnsi="Arial"/>
                <w:sz w:val="18"/>
                <w:szCs w:val="18"/>
                <w:color w:val="auto"/>
              </w:rPr>
              <w:t>Item 1.</w:t>
            </w:r>
          </w:p>
        </w:tc>
        <w:tc>
          <w:tcPr>
            <w:tcW w:w="9680" w:type="dxa"/>
            <w:vAlign w:val="bottom"/>
            <w:gridSpan w:val="19"/>
          </w:tcPr>
          <w:p>
            <w:pPr>
              <w:spacing w:after="0"/>
              <w:rPr>
                <w:sz w:val="20"/>
                <w:szCs w:val="20"/>
                <w:color w:val="auto"/>
              </w:rPr>
            </w:pPr>
            <w:r>
              <w:rPr>
                <w:rFonts w:ascii="Arial" w:cs="Arial" w:eastAsia="Arial" w:hAnsi="Arial"/>
                <w:sz w:val="18"/>
                <w:szCs w:val="18"/>
                <w:color w:val="0000EE"/>
              </w:rPr>
              <w:t>Legal Proceedings</w:t>
            </w:r>
          </w:p>
        </w:tc>
        <w:tc>
          <w:tcPr>
            <w:tcW w:w="260" w:type="dxa"/>
            <w:vAlign w:val="bottom"/>
            <w:gridSpan w:val="4"/>
          </w:tcPr>
          <w:p>
            <w:pPr>
              <w:jc w:val="center"/>
              <w:spacing w:after="0"/>
              <w:rPr>
                <w:sz w:val="20"/>
                <w:szCs w:val="20"/>
                <w:color w:val="auto"/>
              </w:rPr>
            </w:pPr>
            <w:r>
              <w:rPr>
                <w:rFonts w:ascii="Arial" w:cs="Arial" w:eastAsia="Arial" w:hAnsi="Arial"/>
                <w:sz w:val="18"/>
                <w:szCs w:val="18"/>
                <w:color w:val="0000EE"/>
                <w:w w:val="89"/>
              </w:rPr>
              <w:t>28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6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840" w:type="dxa"/>
            <w:vAlign w:val="bottom"/>
            <w:gridSpan w:val="20"/>
          </w:tcPr>
          <w:p>
            <w:pPr>
              <w:ind w:left="460"/>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color w:val="0000EE"/>
              </w:rPr>
              <w:t>Risk Factors</w:t>
            </w:r>
          </w:p>
        </w:tc>
        <w:tc>
          <w:tcPr>
            <w:tcW w:w="260" w:type="dxa"/>
            <w:vAlign w:val="bottom"/>
            <w:gridSpan w:val="4"/>
          </w:tcPr>
          <w:p>
            <w:pPr>
              <w:jc w:val="center"/>
              <w:spacing w:after="0"/>
              <w:rPr>
                <w:sz w:val="20"/>
                <w:szCs w:val="20"/>
                <w:color w:val="auto"/>
              </w:rPr>
            </w:pPr>
            <w:r>
              <w:rPr>
                <w:rFonts w:ascii="Arial" w:cs="Arial" w:eastAsia="Arial" w:hAnsi="Arial"/>
                <w:sz w:val="18"/>
                <w:szCs w:val="18"/>
                <w:color w:val="0000EE"/>
                <w:w w:val="89"/>
              </w:rPr>
              <w:t>28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6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160" w:type="dxa"/>
            <w:vAlign w:val="bottom"/>
          </w:tcPr>
          <w:p>
            <w:pPr>
              <w:ind w:left="460"/>
              <w:spacing w:after="0"/>
              <w:rPr>
                <w:sz w:val="20"/>
                <w:szCs w:val="20"/>
                <w:color w:val="auto"/>
              </w:rPr>
            </w:pPr>
            <w:r>
              <w:rPr>
                <w:rFonts w:ascii="Arial" w:cs="Arial" w:eastAsia="Arial" w:hAnsi="Arial"/>
                <w:sz w:val="18"/>
                <w:szCs w:val="18"/>
                <w:color w:val="auto"/>
              </w:rPr>
              <w:t>Item 2.</w:t>
            </w:r>
          </w:p>
        </w:tc>
        <w:tc>
          <w:tcPr>
            <w:tcW w:w="43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88"/>
              </w:rPr>
              <w:t>Unregistered Sales of Equity Securities and Use of Proceeds</w:t>
            </w:r>
          </w:p>
        </w:tc>
        <w:tc>
          <w:tcPr>
            <w:tcW w:w="536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sz w:val="20"/>
                <w:szCs w:val="20"/>
                <w:color w:val="auto"/>
              </w:rPr>
            </w:pPr>
            <w:r>
              <w:rPr>
                <w:rFonts w:ascii="Arial" w:cs="Arial" w:eastAsia="Arial" w:hAnsi="Arial"/>
                <w:sz w:val="18"/>
                <w:szCs w:val="18"/>
                <w:color w:val="0000EE"/>
                <w:w w:val="89"/>
              </w:rPr>
              <w:t>28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1160" w:type="dxa"/>
            <w:vAlign w:val="bottom"/>
          </w:tcPr>
          <w:p>
            <w:pPr>
              <w:ind w:left="460"/>
              <w:spacing w:after="0"/>
              <w:rPr>
                <w:sz w:val="20"/>
                <w:szCs w:val="20"/>
                <w:color w:val="auto"/>
              </w:rPr>
            </w:pPr>
            <w:r>
              <w:rPr>
                <w:rFonts w:ascii="Arial" w:cs="Arial" w:eastAsia="Arial" w:hAnsi="Arial"/>
                <w:sz w:val="18"/>
                <w:szCs w:val="18"/>
                <w:color w:val="auto"/>
              </w:rPr>
              <w:t>Item 3.</w:t>
            </w:r>
          </w:p>
        </w:tc>
        <w:tc>
          <w:tcPr>
            <w:tcW w:w="230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89"/>
              </w:rPr>
              <w:t>Defaults Upon Senior Securities</w:t>
            </w:r>
          </w:p>
        </w:tc>
        <w:tc>
          <w:tcPr>
            <w:tcW w:w="7380" w:type="dxa"/>
            <w:vAlign w:val="bottom"/>
            <w:gridSpan w:val="10"/>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sz w:val="20"/>
                <w:szCs w:val="20"/>
                <w:color w:val="auto"/>
              </w:rPr>
            </w:pPr>
            <w:r>
              <w:rPr>
                <w:rFonts w:ascii="Arial" w:cs="Arial" w:eastAsia="Arial" w:hAnsi="Arial"/>
                <w:sz w:val="18"/>
                <w:szCs w:val="18"/>
                <w:color w:val="0000EE"/>
                <w:w w:val="89"/>
              </w:rPr>
              <w:t>29</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1160" w:type="dxa"/>
            <w:vAlign w:val="bottom"/>
          </w:tcPr>
          <w:p>
            <w:pPr>
              <w:ind w:left="460"/>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9"/>
              </w:rPr>
              <w:t>Mine Safety Disclosures</w:t>
            </w:r>
          </w:p>
        </w:tc>
        <w:tc>
          <w:tcPr>
            <w:tcW w:w="7940" w:type="dxa"/>
            <w:vAlign w:val="bottom"/>
            <w:gridSpan w:val="12"/>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sz w:val="20"/>
                <w:szCs w:val="20"/>
                <w:color w:val="auto"/>
              </w:rPr>
            </w:pPr>
            <w:r>
              <w:rPr>
                <w:rFonts w:ascii="Arial" w:cs="Arial" w:eastAsia="Arial" w:hAnsi="Arial"/>
                <w:sz w:val="18"/>
                <w:szCs w:val="18"/>
                <w:color w:val="0000EE"/>
                <w:w w:val="89"/>
              </w:rPr>
              <w:t>29</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1160" w:type="dxa"/>
            <w:vAlign w:val="bottom"/>
          </w:tcPr>
          <w:p>
            <w:pPr>
              <w:ind w:left="460"/>
              <w:spacing w:after="0"/>
              <w:rPr>
                <w:sz w:val="20"/>
                <w:szCs w:val="20"/>
                <w:color w:val="auto"/>
              </w:rPr>
            </w:pPr>
            <w:r>
              <w:rPr>
                <w:rFonts w:ascii="Arial" w:cs="Arial" w:eastAsia="Arial" w:hAnsi="Arial"/>
                <w:sz w:val="18"/>
                <w:szCs w:val="18"/>
                <w:color w:val="auto"/>
              </w:rPr>
              <w:t>Item 5.</w:t>
            </w:r>
          </w:p>
        </w:tc>
        <w:tc>
          <w:tcPr>
            <w:tcW w:w="9680" w:type="dxa"/>
            <w:vAlign w:val="bottom"/>
            <w:gridSpan w:val="19"/>
          </w:tcPr>
          <w:p>
            <w:pPr>
              <w:spacing w:after="0"/>
              <w:rPr>
                <w:sz w:val="20"/>
                <w:szCs w:val="20"/>
                <w:color w:val="auto"/>
              </w:rPr>
            </w:pPr>
            <w:r>
              <w:rPr>
                <w:rFonts w:ascii="Arial" w:cs="Arial" w:eastAsia="Arial" w:hAnsi="Arial"/>
                <w:sz w:val="18"/>
                <w:szCs w:val="18"/>
                <w:color w:val="0000EE"/>
              </w:rPr>
              <w:t>Other Information</w:t>
            </w:r>
          </w:p>
        </w:tc>
        <w:tc>
          <w:tcPr>
            <w:tcW w:w="260" w:type="dxa"/>
            <w:vAlign w:val="bottom"/>
            <w:gridSpan w:val="4"/>
          </w:tcPr>
          <w:p>
            <w:pPr>
              <w:jc w:val="center"/>
              <w:spacing w:after="0"/>
              <w:rPr>
                <w:sz w:val="20"/>
                <w:szCs w:val="20"/>
                <w:color w:val="auto"/>
              </w:rPr>
            </w:pPr>
            <w:r>
              <w:rPr>
                <w:rFonts w:ascii="Arial" w:cs="Arial" w:eastAsia="Arial" w:hAnsi="Arial"/>
                <w:sz w:val="18"/>
                <w:szCs w:val="18"/>
                <w:color w:val="0000EE"/>
                <w:w w:val="89"/>
              </w:rPr>
              <w:t>29</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1160" w:type="dxa"/>
            <w:vAlign w:val="bottom"/>
          </w:tcPr>
          <w:p>
            <w:pPr>
              <w:ind w:left="460"/>
              <w:spacing w:after="0"/>
              <w:rPr>
                <w:sz w:val="20"/>
                <w:szCs w:val="20"/>
                <w:color w:val="auto"/>
              </w:rPr>
            </w:pPr>
            <w:r>
              <w:rPr>
                <w:rFonts w:ascii="Arial" w:cs="Arial" w:eastAsia="Arial" w:hAnsi="Arial"/>
                <w:sz w:val="18"/>
                <w:szCs w:val="18"/>
                <w:color w:val="auto"/>
              </w:rPr>
              <w:t>Item 6.</w:t>
            </w:r>
          </w:p>
        </w:tc>
        <w:tc>
          <w:tcPr>
            <w:tcW w:w="62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5"/>
              </w:rPr>
              <w:t>Exhibits</w:t>
            </w:r>
          </w:p>
        </w:tc>
        <w:tc>
          <w:tcPr>
            <w:tcW w:w="680" w:type="dxa"/>
            <w:vAlign w:val="bottom"/>
            <w:tcBorders>
              <w:top w:val="single" w:sz="8" w:color="0000EE"/>
            </w:tcBorders>
            <w:gridSpan w:val="2"/>
          </w:tcPr>
          <w:p>
            <w:pPr>
              <w:spacing w:after="0"/>
              <w:rPr>
                <w:sz w:val="24"/>
                <w:szCs w:val="24"/>
                <w:color w:val="auto"/>
              </w:rPr>
            </w:pPr>
          </w:p>
        </w:tc>
        <w:tc>
          <w:tcPr>
            <w:tcW w:w="8380" w:type="dxa"/>
            <w:vAlign w:val="bottom"/>
            <w:gridSpan w:val="15"/>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3"/>
          </w:tcPr>
          <w:p>
            <w:pPr>
              <w:jc w:val="center"/>
              <w:spacing w:after="0"/>
              <w:rPr>
                <w:sz w:val="20"/>
                <w:szCs w:val="20"/>
                <w:color w:val="auto"/>
              </w:rPr>
            </w:pPr>
            <w:r>
              <w:rPr>
                <w:rFonts w:ascii="Arial" w:cs="Arial" w:eastAsia="Arial" w:hAnsi="Arial"/>
                <w:sz w:val="18"/>
                <w:szCs w:val="18"/>
                <w:color w:val="0000EE"/>
                <w:w w:val="89"/>
              </w:rPr>
              <w:t>29</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10840" w:type="dxa"/>
            <w:vAlign w:val="bottom"/>
            <w:gridSpan w:val="20"/>
          </w:tcPr>
          <w:p>
            <w:pPr>
              <w:spacing w:after="0"/>
              <w:rPr>
                <w:sz w:val="20"/>
                <w:szCs w:val="20"/>
                <w:color w:val="auto"/>
              </w:rPr>
            </w:pPr>
            <w:r>
              <w:rPr>
                <w:rFonts w:ascii="Arial" w:cs="Arial" w:eastAsia="Arial" w:hAnsi="Arial"/>
                <w:sz w:val="18"/>
                <w:szCs w:val="18"/>
                <w:b w:val="1"/>
                <w:bCs w:val="1"/>
                <w:color w:val="0000EE"/>
              </w:rPr>
              <w:t>SIGNATURES</w:t>
            </w:r>
          </w:p>
        </w:tc>
        <w:tc>
          <w:tcPr>
            <w:tcW w:w="260" w:type="dxa"/>
            <w:vAlign w:val="bottom"/>
            <w:gridSpan w:val="4"/>
          </w:tcPr>
          <w:p>
            <w:pPr>
              <w:jc w:val="center"/>
              <w:spacing w:after="0"/>
              <w:rPr>
                <w:sz w:val="20"/>
                <w:szCs w:val="20"/>
                <w:color w:val="auto"/>
              </w:rPr>
            </w:pPr>
            <w:r>
              <w:rPr>
                <w:rFonts w:ascii="Arial" w:cs="Arial" w:eastAsia="Arial" w:hAnsi="Arial"/>
                <w:sz w:val="18"/>
                <w:szCs w:val="18"/>
                <w:color w:val="0000EE"/>
                <w:w w:val="89"/>
              </w:rPr>
              <w:t>31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160" w:type="dxa"/>
            <w:vAlign w:val="bottom"/>
            <w:tcBorders>
              <w:top w:val="single" w:sz="8" w:color="0000EE"/>
            </w:tcBorders>
          </w:tcPr>
          <w:p>
            <w:pPr>
              <w:spacing w:after="0"/>
              <w:rPr>
                <w:sz w:val="24"/>
                <w:szCs w:val="24"/>
                <w:color w:val="auto"/>
              </w:rPr>
            </w:pPr>
          </w:p>
        </w:tc>
        <w:tc>
          <w:tcPr>
            <w:tcW w:w="5860" w:type="dxa"/>
            <w:vAlign w:val="bottom"/>
            <w:gridSpan w:val="13"/>
          </w:tcPr>
          <w:p>
            <w:pPr>
              <w:jc w:val="center"/>
              <w:ind w:left="2970"/>
              <w:spacing w:after="0"/>
              <w:rPr>
                <w:sz w:val="20"/>
                <w:szCs w:val="20"/>
                <w:color w:val="auto"/>
              </w:rPr>
            </w:pPr>
            <w:r>
              <w:rPr>
                <w:rFonts w:ascii="Arial" w:cs="Arial" w:eastAsia="Arial" w:hAnsi="Arial"/>
                <w:sz w:val="18"/>
                <w:szCs w:val="18"/>
                <w:color w:val="auto"/>
                <w:w w:val="79"/>
              </w:rPr>
              <w:t>2</w:t>
            </w: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JUNE 30, 2023 AND DECEMBER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7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0"/>
              </w:rPr>
              <w:t>(unaudited)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191,897</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201,044</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236,870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220,651</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1,637,321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1,429,429</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Prepaid expenses and other</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16,619</w:t>
            </w:r>
          </w:p>
        </w:tc>
        <w:tc>
          <w:tcPr>
            <w:tcW w:w="100" w:type="dxa"/>
            <w:vAlign w:val="bottom"/>
          </w:tcPr>
          <w:p>
            <w:pPr>
              <w:spacing w:after="0"/>
              <w:rPr>
                <w:sz w:val="18"/>
                <w:szCs w:val="18"/>
                <w:color w:val="auto"/>
              </w:rPr>
            </w:pPr>
          </w:p>
        </w:tc>
      </w:tr>
      <w:tr>
        <w:trPr>
          <w:trHeight w:val="209"/>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2,087,795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1,867,743</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1,441,046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1,368,594</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102,685</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Goodwill,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417,465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416,363</w:t>
            </w:r>
          </w:p>
        </w:tc>
        <w:tc>
          <w:tcPr>
            <w:tcW w:w="100" w:type="dxa"/>
            <w:vAlign w:val="bottom"/>
          </w:tcPr>
          <w:p>
            <w:pPr>
              <w:spacing w:after="0"/>
              <w:rPr>
                <w:sz w:val="18"/>
                <w:szCs w:val="18"/>
                <w:color w:val="auto"/>
              </w:rPr>
            </w:pPr>
          </w:p>
        </w:tc>
      </w:tr>
      <w:tr>
        <w:trPr>
          <w:trHeight w:val="216"/>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75,175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8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4,126,321</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3,821,066</w:t>
            </w:r>
          </w:p>
        </w:tc>
        <w:tc>
          <w:tcPr>
            <w:tcW w:w="10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Liabilities and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Floor plan notes payable</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1,125,373</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933,203</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maturities of finance lease obligations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29,209</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Current maturities of operating lease obligations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15,003</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accounts payable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171,717</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101,570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116,240</w:t>
            </w:r>
          </w:p>
        </w:tc>
        <w:tc>
          <w:tcPr>
            <w:tcW w:w="100" w:type="dxa"/>
            <w:vAlign w:val="bottom"/>
          </w:tcPr>
          <w:p>
            <w:pPr>
              <w:spacing w:after="0"/>
              <w:rPr>
                <w:sz w:val="18"/>
                <w:szCs w:val="18"/>
                <w:color w:val="auto"/>
              </w:rPr>
            </w:pPr>
          </w:p>
        </w:tc>
      </w:tr>
      <w:tr>
        <w:trPr>
          <w:trHeight w:val="216"/>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157,522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163,302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1,620,845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1,428,674</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275,433</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Finance lease obligations, net of current maturities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102,227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93,483</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 net of current maturities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89,029</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24,301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19,455</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151,970</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8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Preferred stock, par value $.01 per share; 1,000,000 shares authorized; 0 shares outstanding in 2023 and</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7860" w:type="dxa"/>
            <w:vAlign w:val="bottom"/>
          </w:tcPr>
          <w:p>
            <w:pPr>
              <w:ind w:left="180"/>
              <w:spacing w:after="0" w:line="201" w:lineRule="exact"/>
              <w:rPr>
                <w:sz w:val="20"/>
                <w:szCs w:val="20"/>
                <w:color w:val="auto"/>
              </w:rPr>
            </w:pPr>
            <w:r>
              <w:rPr>
                <w:rFonts w:ascii="Arial" w:cs="Arial" w:eastAsia="Arial" w:hAnsi="Arial"/>
                <w:sz w:val="18"/>
                <w:szCs w:val="18"/>
                <w:color w:val="auto"/>
                <w:w w:val="93"/>
              </w:rPr>
              <w:t>Common stock, par value $.01 per share; 105,000,000 Class A shares and 35,000,000 Class B shares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60" w:type="dxa"/>
            <w:vAlign w:val="bottom"/>
          </w:tcPr>
          <w:p>
            <w:pPr>
              <w:ind w:left="340"/>
              <w:spacing w:after="0"/>
              <w:rPr>
                <w:sz w:val="20"/>
                <w:szCs w:val="20"/>
                <w:color w:val="auto"/>
              </w:rPr>
            </w:pPr>
            <w:r>
              <w:rPr>
                <w:rFonts w:ascii="Arial" w:cs="Arial" w:eastAsia="Arial" w:hAnsi="Arial"/>
                <w:sz w:val="18"/>
                <w:szCs w:val="18"/>
                <w:color w:val="auto"/>
                <w:w w:val="97"/>
              </w:rPr>
              <w:t>authorized; 41,715,105 Class A shares and 12,179,225 Class B shares outstanding in 2023; and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860" w:type="dxa"/>
            <w:vAlign w:val="bottom"/>
          </w:tcPr>
          <w:p>
            <w:pPr>
              <w:ind w:left="340"/>
              <w:spacing w:after="0"/>
              <w:rPr>
                <w:sz w:val="20"/>
                <w:szCs w:val="20"/>
                <w:color w:val="auto"/>
              </w:rPr>
            </w:pPr>
            <w:r>
              <w:rPr>
                <w:rFonts w:ascii="Arial" w:cs="Arial" w:eastAsia="Arial" w:hAnsi="Arial"/>
                <w:sz w:val="18"/>
                <w:szCs w:val="18"/>
                <w:color w:val="auto"/>
              </w:rPr>
              <w:t>42,808,333 Class A shares and 12,266,309 Class B shares outstanding in 2022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0"/>
                <w:szCs w:val="20"/>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500,642</w:t>
            </w:r>
          </w:p>
        </w:tc>
        <w:tc>
          <w:tcPr>
            <w:tcW w:w="100" w:type="dxa"/>
            <w:vAlign w:val="bottom"/>
            <w:shd w:val="clear" w:color="auto" w:fill="CCEEFF"/>
          </w:tcPr>
          <w:p>
            <w:pPr>
              <w:spacing w:after="0"/>
              <w:rPr>
                <w:sz w:val="18"/>
                <w:szCs w:val="18"/>
                <w:color w:val="auto"/>
              </w:rPr>
            </w:pPr>
          </w:p>
        </w:tc>
      </w:tr>
      <w:tr>
        <w:trPr>
          <w:trHeight w:val="202"/>
        </w:trPr>
        <w:tc>
          <w:tcPr>
            <w:tcW w:w="7860" w:type="dxa"/>
            <w:vAlign w:val="bottom"/>
          </w:tcPr>
          <w:p>
            <w:pPr>
              <w:ind w:left="180"/>
              <w:spacing w:after="0" w:line="201" w:lineRule="exact"/>
              <w:rPr>
                <w:sz w:val="20"/>
                <w:szCs w:val="20"/>
                <w:color w:val="auto"/>
              </w:rPr>
            </w:pPr>
            <w:r>
              <w:rPr>
                <w:rFonts w:ascii="Arial" w:cs="Arial" w:eastAsia="Arial" w:hAnsi="Arial"/>
                <w:sz w:val="18"/>
                <w:szCs w:val="18"/>
                <w:color w:val="auto"/>
                <w:w w:val="88"/>
              </w:rPr>
              <w:t>Treasury stock, at cost: 2,635,163 Class A shares and 1,297,059 Class B shares in 2023; and 979,978 Class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860" w:type="dxa"/>
            <w:vAlign w:val="bottom"/>
          </w:tcPr>
          <w:p>
            <w:pPr>
              <w:ind w:left="340"/>
              <w:spacing w:after="0"/>
              <w:rPr>
                <w:sz w:val="20"/>
                <w:szCs w:val="20"/>
                <w:color w:val="auto"/>
              </w:rPr>
            </w:pPr>
            <w:r>
              <w:rPr>
                <w:rFonts w:ascii="Arial" w:cs="Arial" w:eastAsia="Arial" w:hAnsi="Arial"/>
                <w:sz w:val="18"/>
                <w:szCs w:val="18"/>
                <w:color w:val="auto"/>
              </w:rPr>
              <w:t>A shares and 927,330 Class B shares in 2022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(196,515)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(130,930)</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1,543,941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1,378,337</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(2,209)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(4,130)</w:t>
            </w:r>
          </w:p>
        </w:tc>
      </w:tr>
      <w:tr>
        <w:trPr>
          <w:trHeight w:val="21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Rush Enterprises, Inc. shareholders’ equity</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1,868,170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1,744,491</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18,531</w:t>
            </w:r>
          </w:p>
        </w:tc>
        <w:tc>
          <w:tcPr>
            <w:tcW w:w="100" w:type="dxa"/>
            <w:vAlign w:val="bottom"/>
          </w:tcPr>
          <w:p>
            <w:pPr>
              <w:spacing w:after="0"/>
              <w:rPr>
                <w:sz w:val="18"/>
                <w:szCs w:val="18"/>
                <w:color w:val="auto"/>
              </w:rPr>
            </w:pPr>
          </w:p>
        </w:tc>
      </w:tr>
      <w:tr>
        <w:trPr>
          <w:trHeight w:val="209"/>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1,887,285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1,763,022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86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4,126,321</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3,821,066</w:t>
            </w:r>
          </w:p>
        </w:tc>
        <w:tc>
          <w:tcPr>
            <w:tcW w:w="10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040" w:type="dxa"/>
            <w:vAlign w:val="bottom"/>
            <w:gridSpan w:val="4"/>
          </w:tcPr>
          <w:p>
            <w:pPr>
              <w:spacing w:after="0"/>
              <w:rPr>
                <w:sz w:val="20"/>
                <w:szCs w:val="20"/>
                <w:color w:val="auto"/>
              </w:rPr>
            </w:pPr>
            <w:r>
              <w:rPr>
                <w:rFonts w:ascii="Arial" w:cs="Arial" w:eastAsia="Arial" w:hAnsi="Arial"/>
                <w:sz w:val="18"/>
                <w:szCs w:val="18"/>
                <w:color w:val="0000EE"/>
              </w:rPr>
              <w:t>Table of Contents</w:t>
            </w: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384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color w:val="auto"/>
                <w:w w:val="95"/>
              </w:rPr>
              <w:t>RUSH ENTERPRISES, INC. AND SUBSIDIARIES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00" w:type="dxa"/>
            <w:vAlign w:val="bottom"/>
            <w:gridSpan w:val="8"/>
          </w:tcPr>
          <w:p>
            <w:pPr>
              <w:jc w:val="center"/>
              <w:ind w:right="120"/>
              <w:spacing w:after="0" w:line="196" w:lineRule="exact"/>
              <w:rPr>
                <w:sz w:val="20"/>
                <w:szCs w:val="20"/>
                <w:color w:val="auto"/>
              </w:rPr>
            </w:pPr>
            <w:r>
              <w:rPr>
                <w:rFonts w:ascii="Arial" w:cs="Arial" w:eastAsia="Arial" w:hAnsi="Arial"/>
                <w:sz w:val="18"/>
                <w:szCs w:val="18"/>
                <w:color w:val="auto"/>
                <w:w w:val="95"/>
              </w:rPr>
              <w:t>CONSOLIDATED STATEMENTS OF INCOME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12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200" w:type="dxa"/>
            <w:vAlign w:val="bottom"/>
            <w:tcBorders>
              <w:top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89"/>
              </w:rPr>
              <w:t>(In Thousands, Except Per Share Amounts)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2"/>
          </w:tcPr>
          <w:p>
            <w:pPr>
              <w:jc w:val="center"/>
              <w:ind w:left="910"/>
              <w:spacing w:after="0"/>
              <w:rPr>
                <w:sz w:val="20"/>
                <w:szCs w:val="20"/>
                <w:color w:val="auto"/>
              </w:rPr>
            </w:pPr>
            <w:r>
              <w:rPr>
                <w:rFonts w:ascii="Arial" w:cs="Arial" w:eastAsia="Arial" w:hAnsi="Arial"/>
                <w:sz w:val="18"/>
                <w:szCs w:val="18"/>
                <w:color w:val="auto"/>
                <w:w w:val="93"/>
              </w:rPr>
              <w:t>(Unaudited)</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7"/>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5"/>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4"/>
          </w:tcPr>
          <w:p>
            <w:pPr>
              <w:ind w:left="180"/>
              <w:spacing w:after="0"/>
              <w:rPr>
                <w:sz w:val="20"/>
                <w:szCs w:val="20"/>
                <w:color w:val="auto"/>
              </w:rPr>
            </w:pPr>
            <w:r>
              <w:rPr>
                <w:rFonts w:ascii="Arial" w:cs="Arial" w:eastAsia="Arial" w:hAnsi="Arial"/>
                <w:sz w:val="18"/>
                <w:szCs w:val="18"/>
                <w:color w:val="auto"/>
              </w:rPr>
              <w:t>New and used commercial vehicle sales</w:t>
            </w:r>
          </w:p>
        </w:tc>
        <w:tc>
          <w:tcPr>
            <w:tcW w:w="21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1,250,794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1,098,255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2,412,519</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2,033,974</w:t>
            </w:r>
          </w:p>
        </w:tc>
        <w:tc>
          <w:tcPr>
            <w:tcW w:w="100" w:type="dxa"/>
            <w:vAlign w:val="bottom"/>
          </w:tcPr>
          <w:p>
            <w:pPr>
              <w:spacing w:after="0"/>
              <w:rPr>
                <w:sz w:val="18"/>
                <w:szCs w:val="18"/>
                <w:color w:val="auto"/>
              </w:rPr>
            </w:pPr>
          </w:p>
        </w:tc>
      </w:tr>
      <w:tr>
        <w:trPr>
          <w:trHeight w:val="216"/>
        </w:trPr>
        <w:tc>
          <w:tcPr>
            <w:tcW w:w="40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Aftermarket products and services sales</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651,130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1,299,356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1,141,561</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4"/>
          </w:tcPr>
          <w:p>
            <w:pPr>
              <w:ind w:left="180"/>
              <w:spacing w:after="0"/>
              <w:rPr>
                <w:sz w:val="20"/>
                <w:szCs w:val="20"/>
                <w:color w:val="auto"/>
              </w:rPr>
            </w:pPr>
            <w:r>
              <w:rPr>
                <w:rFonts w:ascii="Arial" w:cs="Arial" w:eastAsia="Arial" w:hAnsi="Arial"/>
                <w:sz w:val="18"/>
                <w:szCs w:val="18"/>
                <w:color w:val="auto"/>
              </w:rPr>
              <w:t>Lease and rental sales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88,549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80,538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175,215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151,873</w:t>
            </w:r>
          </w:p>
        </w:tc>
        <w:tc>
          <w:tcPr>
            <w:tcW w:w="100" w:type="dxa"/>
            <w:vAlign w:val="bottom"/>
          </w:tcPr>
          <w:p>
            <w:pPr>
              <w:spacing w:after="0"/>
              <w:rPr>
                <w:sz w:val="18"/>
                <w:szCs w:val="18"/>
                <w:color w:val="auto"/>
              </w:rPr>
            </w:pPr>
          </w:p>
        </w:tc>
      </w:tr>
      <w:tr>
        <w:trPr>
          <w:trHeight w:val="216"/>
        </w:trPr>
        <w:tc>
          <w:tcPr>
            <w:tcW w:w="40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Finance and insurance</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15,280</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4"/>
          </w:tcPr>
          <w:p>
            <w:pPr>
              <w:ind w:left="180"/>
              <w:spacing w:after="0"/>
              <w:rPr>
                <w:sz w:val="20"/>
                <w:szCs w:val="20"/>
                <w:color w:val="auto"/>
              </w:rPr>
            </w:pPr>
            <w:r>
              <w:rPr>
                <w:rFonts w:ascii="Arial" w:cs="Arial" w:eastAsia="Arial" w:hAnsi="Arial"/>
                <w:sz w:val="18"/>
                <w:szCs w:val="18"/>
                <w:color w:val="auto"/>
              </w:rPr>
              <w:t>Other</w:t>
            </w:r>
          </w:p>
        </w:tc>
        <w:tc>
          <w:tcPr>
            <w:tcW w:w="1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14,969</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11,755</w:t>
            </w:r>
          </w:p>
        </w:tc>
        <w:tc>
          <w:tcPr>
            <w:tcW w:w="100" w:type="dxa"/>
            <w:vAlign w:val="bottom"/>
          </w:tcPr>
          <w:p>
            <w:pPr>
              <w:spacing w:after="0"/>
              <w:rPr>
                <w:sz w:val="18"/>
                <w:szCs w:val="18"/>
                <w:color w:val="auto"/>
              </w:rPr>
            </w:pPr>
          </w:p>
        </w:tc>
      </w:tr>
      <w:tr>
        <w:trPr>
          <w:trHeight w:val="209"/>
        </w:trPr>
        <w:tc>
          <w:tcPr>
            <w:tcW w:w="40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2,003,052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1,791,241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3,914,819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3,354,443</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4"/>
          </w:tcPr>
          <w:p>
            <w:pPr>
              <w:spacing w:after="0"/>
              <w:rPr>
                <w:sz w:val="20"/>
                <w:szCs w:val="20"/>
                <w:color w:val="auto"/>
              </w:rPr>
            </w:pPr>
            <w:r>
              <w:rPr>
                <w:rFonts w:ascii="Arial" w:cs="Arial" w:eastAsia="Arial" w:hAnsi="Arial"/>
                <w:sz w:val="18"/>
                <w:szCs w:val="18"/>
                <w:b w:val="1"/>
                <w:bCs w:val="1"/>
                <w:color w:val="auto"/>
              </w:rPr>
              <w:t>Cost of products sold</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New and used commercial vehicle sales</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1,124,339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994,406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2,174,704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1,829,399</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4"/>
          </w:tcPr>
          <w:p>
            <w:pPr>
              <w:ind w:left="180"/>
              <w:spacing w:after="0"/>
              <w:rPr>
                <w:sz w:val="20"/>
                <w:szCs w:val="20"/>
                <w:color w:val="auto"/>
              </w:rPr>
            </w:pPr>
            <w:r>
              <w:rPr>
                <w:rFonts w:ascii="Arial" w:cs="Arial" w:eastAsia="Arial" w:hAnsi="Arial"/>
                <w:sz w:val="18"/>
                <w:szCs w:val="18"/>
                <w:color w:val="auto"/>
              </w:rPr>
              <w:t>Aftermarket products and services sales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403,351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367,284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805,506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701,492</w:t>
            </w:r>
          </w:p>
        </w:tc>
        <w:tc>
          <w:tcPr>
            <w:tcW w:w="100" w:type="dxa"/>
            <w:vAlign w:val="bottom"/>
          </w:tcPr>
          <w:p>
            <w:pPr>
              <w:spacing w:after="0"/>
              <w:rPr>
                <w:sz w:val="18"/>
                <w:szCs w:val="18"/>
                <w:color w:val="auto"/>
              </w:rPr>
            </w:pPr>
          </w:p>
        </w:tc>
      </w:tr>
      <w:tr>
        <w:trPr>
          <w:trHeight w:val="216"/>
        </w:trPr>
        <w:tc>
          <w:tcPr>
            <w:tcW w:w="404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Lease and rental sales</w:t>
            </w:r>
          </w:p>
        </w:tc>
        <w:tc>
          <w:tcPr>
            <w:tcW w:w="19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61,514</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55,335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121,992</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103,896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040" w:type="dxa"/>
            <w:vAlign w:val="bottom"/>
            <w:gridSpan w:val="4"/>
          </w:tcPr>
          <w:p>
            <w:pPr>
              <w:ind w:left="180"/>
              <w:spacing w:after="0"/>
              <w:rPr>
                <w:sz w:val="20"/>
                <w:szCs w:val="20"/>
                <w:color w:val="auto"/>
              </w:rPr>
            </w:pPr>
            <w:r>
              <w:rPr>
                <w:rFonts w:ascii="Arial" w:cs="Arial" w:eastAsia="Arial" w:hAnsi="Arial"/>
                <w:sz w:val="18"/>
                <w:szCs w:val="18"/>
                <w:color w:val="auto"/>
              </w:rPr>
              <w:t>Total cost of products sold</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1,589,204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1,417,025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3,102,202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2,634,787</w:t>
            </w:r>
          </w:p>
        </w:tc>
        <w:tc>
          <w:tcPr>
            <w:tcW w:w="100" w:type="dxa"/>
            <w:vAlign w:val="bottom"/>
          </w:tcPr>
          <w:p>
            <w:pPr>
              <w:spacing w:after="0"/>
              <w:rPr>
                <w:sz w:val="18"/>
                <w:szCs w:val="18"/>
                <w:color w:val="auto"/>
              </w:rPr>
            </w:pPr>
          </w:p>
        </w:tc>
      </w:tr>
      <w:tr>
        <w:trPr>
          <w:trHeight w:val="210"/>
        </w:trPr>
        <w:tc>
          <w:tcPr>
            <w:tcW w:w="40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9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413,848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812,617</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719,656</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4"/>
          </w:tcPr>
          <w:p>
            <w:pPr>
              <w:spacing w:after="0"/>
              <w:rPr>
                <w:sz w:val="20"/>
                <w:szCs w:val="20"/>
                <w:color w:val="auto"/>
              </w:rPr>
            </w:pPr>
            <w:r>
              <w:rPr>
                <w:rFonts w:ascii="Arial" w:cs="Arial" w:eastAsia="Arial" w:hAnsi="Arial"/>
                <w:sz w:val="18"/>
                <w:szCs w:val="18"/>
                <w:color w:val="auto"/>
              </w:rPr>
              <w:t>Selling, general and administrative expense</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256,691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225,327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513,499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449,774</w:t>
            </w:r>
          </w:p>
        </w:tc>
        <w:tc>
          <w:tcPr>
            <w:tcW w:w="100" w:type="dxa"/>
            <w:vAlign w:val="bottom"/>
          </w:tcPr>
          <w:p>
            <w:pPr>
              <w:spacing w:after="0"/>
              <w:rPr>
                <w:sz w:val="18"/>
                <w:szCs w:val="18"/>
                <w:color w:val="auto"/>
              </w:rPr>
            </w:pPr>
          </w:p>
        </w:tc>
      </w:tr>
      <w:tr>
        <w:trPr>
          <w:trHeight w:val="216"/>
        </w:trPr>
        <w:tc>
          <w:tcPr>
            <w:tcW w:w="4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27,584</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4"/>
          </w:tcPr>
          <w:p>
            <w:pPr>
              <w:spacing w:after="0"/>
              <w:rPr>
                <w:sz w:val="20"/>
                <w:szCs w:val="20"/>
                <w:color w:val="auto"/>
              </w:rPr>
            </w:pPr>
            <w:r>
              <w:rPr>
                <w:rFonts w:ascii="Arial" w:cs="Arial" w:eastAsia="Arial" w:hAnsi="Arial"/>
                <w:sz w:val="18"/>
                <w:szCs w:val="18"/>
                <w:color w:val="auto"/>
              </w:rPr>
              <w:t>Gain on sale of assets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r>
      <w:tr>
        <w:trPr>
          <w:trHeight w:val="210"/>
        </w:trPr>
        <w:tc>
          <w:tcPr>
            <w:tcW w:w="40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9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270,635</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242,522</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4"/>
          </w:tcPr>
          <w:p>
            <w:pPr>
              <w:spacing w:after="0"/>
              <w:rPr>
                <w:sz w:val="20"/>
                <w:szCs w:val="20"/>
                <w:color w:val="auto"/>
              </w:rPr>
            </w:pPr>
            <w:r>
              <w:rPr>
                <w:rFonts w:ascii="Arial" w:cs="Arial" w:eastAsia="Arial" w:hAnsi="Arial"/>
                <w:sz w:val="18"/>
                <w:szCs w:val="18"/>
                <w:color w:val="auto"/>
              </w:rPr>
              <w:t>Other (expense) income</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22,397</w:t>
            </w:r>
          </w:p>
        </w:tc>
        <w:tc>
          <w:tcPr>
            <w:tcW w:w="100" w:type="dxa"/>
            <w:vAlign w:val="bottom"/>
          </w:tcPr>
          <w:p>
            <w:pPr>
              <w:spacing w:after="0"/>
              <w:rPr>
                <w:sz w:val="18"/>
                <w:szCs w:val="18"/>
                <w:color w:val="auto"/>
              </w:rPr>
            </w:pPr>
          </w:p>
        </w:tc>
      </w:tr>
      <w:tr>
        <w:trPr>
          <w:trHeight w:val="216"/>
        </w:trPr>
        <w:tc>
          <w:tcPr>
            <w:tcW w:w="40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9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12,238</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23,221</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040" w:type="dxa"/>
            <w:vAlign w:val="bottom"/>
            <w:gridSpan w:val="4"/>
          </w:tcPr>
          <w:p>
            <w:pPr>
              <w:spacing w:after="0"/>
              <w:rPr>
                <w:sz w:val="20"/>
                <w:szCs w:val="20"/>
                <w:color w:val="auto"/>
              </w:rPr>
            </w:pPr>
            <w:r>
              <w:rPr>
                <w:rFonts w:ascii="Arial" w:cs="Arial" w:eastAsia="Arial" w:hAnsi="Arial"/>
                <w:sz w:val="18"/>
                <w:szCs w:val="18"/>
                <w:b w:val="1"/>
                <w:bCs w:val="1"/>
                <w:color w:val="auto"/>
              </w:rPr>
              <w:t>Income before taxes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130,525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140,188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249,665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260,532</w:t>
            </w:r>
          </w:p>
        </w:tc>
        <w:tc>
          <w:tcPr>
            <w:tcW w:w="100" w:type="dxa"/>
            <w:vAlign w:val="bottom"/>
          </w:tcPr>
          <w:p>
            <w:pPr>
              <w:spacing w:after="0"/>
              <w:rPr>
                <w:sz w:val="18"/>
                <w:szCs w:val="18"/>
                <w:color w:val="auto"/>
              </w:rPr>
            </w:pPr>
          </w:p>
        </w:tc>
      </w:tr>
      <w:tr>
        <w:trPr>
          <w:trHeight w:val="216"/>
        </w:trPr>
        <w:tc>
          <w:tcPr>
            <w:tcW w:w="40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9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32,001</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60,351</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57,406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040" w:type="dxa"/>
            <w:vAlign w:val="bottom"/>
            <w:gridSpan w:val="4"/>
          </w:tcPr>
          <w:p>
            <w:pPr>
              <w:spacing w:after="0"/>
              <w:rPr>
                <w:sz w:val="20"/>
                <w:szCs w:val="20"/>
                <w:color w:val="auto"/>
              </w:rPr>
            </w:pPr>
            <w:r>
              <w:rPr>
                <w:rFonts w:ascii="Arial" w:cs="Arial" w:eastAsia="Arial" w:hAnsi="Arial"/>
                <w:sz w:val="18"/>
                <w:szCs w:val="18"/>
                <w:b w:val="1"/>
                <w:bCs w:val="1"/>
                <w:color w:val="auto"/>
              </w:rPr>
              <w:t>Net income</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98,524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110,673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189,314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203,126</w:t>
            </w:r>
          </w:p>
        </w:tc>
        <w:tc>
          <w:tcPr>
            <w:tcW w:w="100" w:type="dxa"/>
            <w:vAlign w:val="bottom"/>
          </w:tcPr>
          <w:p>
            <w:pPr>
              <w:spacing w:after="0"/>
              <w:rPr>
                <w:sz w:val="18"/>
                <w:szCs w:val="18"/>
                <w:color w:val="auto"/>
              </w:rPr>
            </w:pPr>
          </w:p>
        </w:tc>
      </w:tr>
      <w:tr>
        <w:trPr>
          <w:trHeight w:val="216"/>
        </w:trPr>
        <w:tc>
          <w:tcPr>
            <w:tcW w:w="40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2"/>
              </w:rPr>
              <w:t>Less: Net income attributable to noncontrolling interest</w:t>
            </w:r>
          </w:p>
        </w:tc>
        <w:tc>
          <w:tcPr>
            <w:tcW w:w="19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040" w:type="dxa"/>
            <w:vAlign w:val="bottom"/>
            <w:gridSpan w:val="4"/>
          </w:tcPr>
          <w:p>
            <w:pPr>
              <w:spacing w:after="0"/>
              <w:rPr>
                <w:sz w:val="20"/>
                <w:szCs w:val="20"/>
                <w:color w:val="auto"/>
              </w:rPr>
            </w:pPr>
            <w:r>
              <w:rPr>
                <w:rFonts w:ascii="Arial" w:cs="Arial" w:eastAsia="Arial" w:hAnsi="Arial"/>
                <w:sz w:val="18"/>
                <w:szCs w:val="18"/>
                <w:b w:val="1"/>
                <w:bCs w:val="1"/>
                <w:color w:val="auto"/>
                <w:w w:val="96"/>
              </w:rPr>
              <w:t>Net income attributable to Rush Enterprises, Inc.</w:t>
            </w:r>
          </w:p>
        </w:tc>
        <w:tc>
          <w:tcPr>
            <w:tcW w:w="19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98,275</w:t>
            </w:r>
          </w:p>
        </w:tc>
        <w:tc>
          <w:tcPr>
            <w:tcW w:w="16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110,227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188,730</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202,680</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360" w:type="dxa"/>
            <w:vAlign w:val="bottom"/>
            <w:gridSpan w:val="3"/>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6200" w:type="dxa"/>
            <w:vAlign w:val="bottom"/>
            <w:gridSpan w:val="6"/>
          </w:tcPr>
          <w:p>
            <w:pPr>
              <w:spacing w:after="0" w:line="198" w:lineRule="exact"/>
              <w:rPr>
                <w:sz w:val="20"/>
                <w:szCs w:val="20"/>
                <w:color w:val="auto"/>
              </w:rPr>
            </w:pPr>
            <w:r>
              <w:rPr>
                <w:rFonts w:ascii="Arial" w:cs="Arial" w:eastAsia="Arial" w:hAnsi="Arial"/>
                <w:sz w:val="18"/>
                <w:szCs w:val="18"/>
                <w:b w:val="1"/>
                <w:bCs w:val="1"/>
                <w:color w:val="auto"/>
              </w:rPr>
              <w:t>Net income attributable to Rush Enterprises, Inc. per share of common</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40" w:type="dxa"/>
            <w:vAlign w:val="bottom"/>
            <w:gridSpan w:val="4"/>
          </w:tcPr>
          <w:p>
            <w:pPr>
              <w:spacing w:after="0"/>
              <w:rPr>
                <w:sz w:val="20"/>
                <w:szCs w:val="20"/>
                <w:color w:val="auto"/>
              </w:rPr>
            </w:pPr>
            <w:r>
              <w:rPr>
                <w:rFonts w:ascii="Arial" w:cs="Arial" w:eastAsia="Arial" w:hAnsi="Arial"/>
                <w:sz w:val="18"/>
                <w:szCs w:val="18"/>
                <w:b w:val="1"/>
                <w:bCs w:val="1"/>
                <w:color w:val="auto"/>
              </w:rPr>
              <w:t>stock:</w:t>
            </w: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Basic</w:t>
            </w:r>
          </w:p>
        </w:tc>
        <w:tc>
          <w:tcPr>
            <w:tcW w:w="2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4"/>
          </w:tcPr>
          <w:p>
            <w:pPr>
              <w:spacing w:after="0"/>
              <w:rPr>
                <w:sz w:val="20"/>
                <w:szCs w:val="20"/>
                <w:color w:val="auto"/>
              </w:rPr>
            </w:pPr>
            <w:r>
              <w:rPr>
                <w:rFonts w:ascii="Arial" w:cs="Arial" w:eastAsia="Arial" w:hAnsi="Arial"/>
                <w:sz w:val="18"/>
                <w:szCs w:val="18"/>
                <w:color w:val="auto"/>
              </w:rPr>
              <w:t>Diluted</w:t>
            </w:r>
          </w:p>
        </w:tc>
        <w:tc>
          <w:tcPr>
            <w:tcW w:w="21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3.35</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4"/>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Basic</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55,788</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4"/>
          </w:tcPr>
          <w:p>
            <w:pPr>
              <w:spacing w:after="0"/>
              <w:rPr>
                <w:sz w:val="20"/>
                <w:szCs w:val="20"/>
                <w:color w:val="auto"/>
              </w:rPr>
            </w:pPr>
            <w:r>
              <w:rPr>
                <w:rFonts w:ascii="Arial" w:cs="Arial" w:eastAsia="Arial" w:hAnsi="Arial"/>
                <w:sz w:val="18"/>
                <w:szCs w:val="18"/>
                <w:color w:val="auto"/>
              </w:rPr>
              <w:t>Diluted</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56,104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57,310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56,334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57,610</w:t>
            </w: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040" w:type="dxa"/>
            <w:vAlign w:val="bottom"/>
            <w:gridSpan w:val="4"/>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21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0.21</w:t>
            </w:r>
          </w:p>
        </w:tc>
        <w:tc>
          <w:tcPr>
            <w:tcW w:w="16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0.42</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7620" w:type="dxa"/>
            <w:vAlign w:val="bottom"/>
            <w:gridSpan w:val="14"/>
          </w:tcPr>
          <w:p>
            <w:pPr>
              <w:jc w:val="center"/>
              <w:ind w:left="97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jc w:val="center"/>
              <w:ind w:left="1150"/>
              <w:spacing w:after="0"/>
              <w:rPr>
                <w:sz w:val="20"/>
                <w:szCs w:val="20"/>
                <w:color w:val="auto"/>
              </w:rPr>
            </w:pPr>
            <w:r>
              <w:rPr>
                <w:rFonts w:ascii="Arial" w:cs="Arial" w:eastAsia="Arial" w:hAnsi="Arial"/>
                <w:sz w:val="18"/>
                <w:szCs w:val="18"/>
                <w:color w:val="auto"/>
                <w:w w:val="79"/>
              </w:rPr>
              <w:t>4</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gridSpan w:val="4"/>
          </w:tcPr>
          <w:p>
            <w:pPr>
              <w:spacing w:after="0"/>
              <w:rPr>
                <w:sz w:val="20"/>
                <w:szCs w:val="20"/>
                <w:color w:val="auto"/>
              </w:rPr>
            </w:pPr>
            <w:r>
              <w:rPr>
                <w:rFonts w:ascii="Arial" w:cs="Arial" w:eastAsia="Arial" w:hAnsi="Arial"/>
                <w:sz w:val="18"/>
                <w:szCs w:val="18"/>
                <w:color w:val="0000EE"/>
              </w:rPr>
              <w:t>Table of Contents</w:t>
            </w: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95"/>
              </w:rPr>
              <w:t>RUSH ENTERPRISES, INC. AND SUBSIDIARIES</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520" w:type="dxa"/>
            <w:vAlign w:val="bottom"/>
            <w:gridSpan w:val="10"/>
          </w:tcPr>
          <w:p>
            <w:pPr>
              <w:jc w:val="center"/>
              <w:ind w:right="380"/>
              <w:spacing w:after="0" w:line="196" w:lineRule="exact"/>
              <w:rPr>
                <w:sz w:val="20"/>
                <w:szCs w:val="20"/>
                <w:color w:val="auto"/>
              </w:rPr>
            </w:pPr>
            <w:r>
              <w:rPr>
                <w:rFonts w:ascii="Arial" w:cs="Arial" w:eastAsia="Arial" w:hAnsi="Arial"/>
                <w:sz w:val="18"/>
                <w:szCs w:val="18"/>
                <w:color w:val="auto"/>
                <w:w w:val="95"/>
              </w:rPr>
              <w:t>CONSOLIDATED STATEMENTS OF COMPREHENSIVE INCOME</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1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8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3"/>
              </w:rPr>
              <w:t>(Unaudited)</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40" w:type="dxa"/>
            <w:vAlign w:val="bottom"/>
            <w:gridSpan w:val="3"/>
          </w:tcPr>
          <w:p>
            <w:pPr>
              <w:spacing w:after="0"/>
              <w:rPr>
                <w:sz w:val="18"/>
                <w:szCs w:val="18"/>
                <w:color w:val="auto"/>
              </w:rPr>
            </w:pPr>
          </w:p>
        </w:tc>
      </w:tr>
      <w:tr>
        <w:trPr>
          <w:trHeight w:val="223"/>
        </w:trPr>
        <w:tc>
          <w:tcPr>
            <w:tcW w:w="1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300" w:type="dxa"/>
            <w:vAlign w:val="bottom"/>
            <w:tcBorders>
              <w:top w:val="single" w:sz="8" w:color="auto"/>
              <w:bottom w:val="single" w:sz="8" w:color="auto"/>
            </w:tcBorders>
            <w:gridSpan w:val="6"/>
          </w:tcPr>
          <w:p>
            <w:pPr>
              <w:jc w:val="right"/>
              <w:ind w:right="560"/>
              <w:spacing w:after="0"/>
              <w:rPr>
                <w:sz w:val="20"/>
                <w:szCs w:val="20"/>
                <w:color w:val="auto"/>
              </w:rPr>
            </w:pPr>
            <w:r>
              <w:rPr>
                <w:rFonts w:ascii="Arial" w:cs="Arial" w:eastAsia="Arial" w:hAnsi="Arial"/>
                <w:sz w:val="18"/>
                <w:szCs w:val="18"/>
                <w:b w:val="1"/>
                <w:bCs w:val="1"/>
                <w:color w:val="auto"/>
                <w:w w:val="96"/>
              </w:rPr>
              <w:t>Three Months Ended</w:t>
            </w:r>
          </w:p>
        </w:tc>
        <w:tc>
          <w:tcPr>
            <w:tcW w:w="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2180" w:type="dxa"/>
            <w:vAlign w:val="bottom"/>
            <w:tcBorders>
              <w:top w:val="single" w:sz="8" w:color="auto"/>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9"/>
                <w:szCs w:val="19"/>
                <w:color w:val="auto"/>
              </w:rPr>
            </w:pPr>
          </w:p>
        </w:tc>
      </w:tr>
      <w:tr>
        <w:trPr>
          <w:trHeight w:val="209"/>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June 30, 2023</w:t>
            </w:r>
          </w:p>
        </w:tc>
        <w:tc>
          <w:tcPr>
            <w:tcW w:w="240" w:type="dxa"/>
            <w:vAlign w:val="bottom"/>
          </w:tcPr>
          <w:p>
            <w:pPr>
              <w:spacing w:after="0"/>
              <w:rPr>
                <w:sz w:val="18"/>
                <w:szCs w:val="18"/>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w w:val="90"/>
              </w:rPr>
              <w:t>June 30, 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2023</w:t>
            </w:r>
          </w:p>
        </w:tc>
        <w:tc>
          <w:tcPr>
            <w:tcW w:w="220" w:type="dxa"/>
            <w:vAlign w:val="bottom"/>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June 30, 2022</w:t>
            </w:r>
          </w:p>
        </w:tc>
        <w:tc>
          <w:tcPr>
            <w:tcW w:w="100" w:type="dxa"/>
            <w:vAlign w:val="bottom"/>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3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98,524</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110,673</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189,314</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203,126</w:t>
            </w:r>
          </w:p>
        </w:tc>
        <w:tc>
          <w:tcPr>
            <w:tcW w:w="100" w:type="dxa"/>
            <w:vAlign w:val="bottom"/>
            <w:shd w:val="clear" w:color="auto" w:fill="CCEEFF"/>
          </w:tcPr>
          <w:p>
            <w:pPr>
              <w:spacing w:after="0"/>
              <w:rPr>
                <w:sz w:val="18"/>
                <w:szCs w:val="18"/>
                <w:color w:val="auto"/>
              </w:rPr>
            </w:pPr>
          </w:p>
        </w:tc>
      </w:tr>
      <w:tr>
        <w:trPr>
          <w:trHeight w:val="216"/>
        </w:trPr>
        <w:tc>
          <w:tcPr>
            <w:tcW w:w="4980" w:type="dxa"/>
            <w:vAlign w:val="bottom"/>
            <w:gridSpan w:val="4"/>
          </w:tcPr>
          <w:p>
            <w:pPr>
              <w:spacing w:after="0"/>
              <w:rPr>
                <w:sz w:val="20"/>
                <w:szCs w:val="20"/>
                <w:color w:val="auto"/>
              </w:rPr>
            </w:pPr>
            <w:r>
              <w:rPr>
                <w:rFonts w:ascii="Arial" w:cs="Arial" w:eastAsia="Arial" w:hAnsi="Arial"/>
                <w:sz w:val="18"/>
                <w:szCs w:val="18"/>
                <w:color w:val="auto"/>
              </w:rPr>
              <w:t>Other comprehensive income (loss), net of tax:</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(567)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r>
      <w:tr>
        <w:trPr>
          <w:trHeight w:val="216"/>
        </w:trPr>
        <w:tc>
          <w:tcPr>
            <w:tcW w:w="6280" w:type="dxa"/>
            <w:vAlign w:val="bottom"/>
            <w:gridSpan w:val="6"/>
          </w:tcPr>
          <w:p>
            <w:pPr>
              <w:ind w:left="180"/>
              <w:spacing w:after="0"/>
              <w:rPr>
                <w:sz w:val="20"/>
                <w:szCs w:val="20"/>
                <w:color w:val="auto"/>
              </w:rPr>
            </w:pPr>
            <w:r>
              <w:rPr>
                <w:rFonts w:ascii="Arial" w:cs="Arial" w:eastAsia="Arial" w:hAnsi="Arial"/>
                <w:sz w:val="18"/>
                <w:szCs w:val="18"/>
                <w:color w:val="auto"/>
              </w:rPr>
              <w:t>Reclassification of currency translation related to equity method accounting</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(601)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(601)</w:t>
            </w:r>
          </w:p>
        </w:tc>
      </w:tr>
      <w:tr>
        <w:trPr>
          <w:trHeight w:val="209"/>
        </w:trPr>
        <w:tc>
          <w:tcPr>
            <w:tcW w:w="59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Other comprehensive income (loss) attributable to Rush Enterprises, Inc.</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980" w:type="dxa"/>
            <w:vAlign w:val="bottom"/>
            <w:gridSpan w:val="4"/>
          </w:tcPr>
          <w:p>
            <w:pPr>
              <w:spacing w:after="0"/>
              <w:rPr>
                <w:sz w:val="20"/>
                <w:szCs w:val="20"/>
                <w:color w:val="auto"/>
              </w:rPr>
            </w:pPr>
            <w:r>
              <w:rPr>
                <w:rFonts w:ascii="Arial" w:cs="Arial" w:eastAsia="Arial" w:hAnsi="Arial"/>
                <w:sz w:val="18"/>
                <w:szCs w:val="18"/>
                <w:b w:val="1"/>
                <w:bCs w:val="1"/>
                <w:color w:val="auto"/>
              </w:rPr>
              <w:t>Comprehensive income</w:t>
            </w: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100,213</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109,505</w:t>
            </w:r>
          </w:p>
        </w:tc>
        <w:tc>
          <w:tcPr>
            <w:tcW w:w="140" w:type="dxa"/>
            <w:vAlign w:val="bottom"/>
          </w:tcPr>
          <w:p>
            <w:pPr>
              <w:spacing w:after="0"/>
              <w:rPr>
                <w:sz w:val="18"/>
                <w:szCs w:val="18"/>
                <w:color w:val="auto"/>
              </w:rPr>
            </w:pP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191,235</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202,403</w:t>
            </w:r>
          </w:p>
        </w:tc>
        <w:tc>
          <w:tcPr>
            <w:tcW w:w="100" w:type="dxa"/>
            <w:vAlign w:val="bottom"/>
          </w:tcPr>
          <w:p>
            <w:pPr>
              <w:spacing w:after="0"/>
              <w:rPr>
                <w:sz w:val="18"/>
                <w:szCs w:val="18"/>
                <w:color w:val="auto"/>
              </w:rPr>
            </w:pPr>
          </w:p>
        </w:tc>
      </w:tr>
      <w:tr>
        <w:trPr>
          <w:trHeight w:val="216"/>
        </w:trPr>
        <w:tc>
          <w:tcPr>
            <w:tcW w:w="49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3"/>
              </w:rPr>
              <w:t>Less: Comprehensive income attributable to noncontrolling interest</w:t>
            </w:r>
          </w:p>
        </w:tc>
        <w:tc>
          <w:tcPr>
            <w:tcW w:w="9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980" w:type="dxa"/>
            <w:vAlign w:val="bottom"/>
            <w:gridSpan w:val="4"/>
          </w:tcPr>
          <w:p>
            <w:pPr>
              <w:spacing w:after="0"/>
              <w:rPr>
                <w:sz w:val="20"/>
                <w:szCs w:val="20"/>
                <w:color w:val="auto"/>
              </w:rPr>
            </w:pPr>
            <w:r>
              <w:rPr>
                <w:rFonts w:ascii="Arial" w:cs="Arial" w:eastAsia="Arial" w:hAnsi="Arial"/>
                <w:sz w:val="18"/>
                <w:szCs w:val="18"/>
                <w:b w:val="1"/>
                <w:bCs w:val="1"/>
                <w:color w:val="auto"/>
                <w:w w:val="94"/>
              </w:rPr>
              <w:t>Comprehensive income attributable to Rush Enterprises, Inc.</w:t>
            </w: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99,964</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109,059</w:t>
            </w:r>
          </w:p>
        </w:tc>
        <w:tc>
          <w:tcPr>
            <w:tcW w:w="140" w:type="dxa"/>
            <w:vAlign w:val="bottom"/>
          </w:tcPr>
          <w:p>
            <w:pPr>
              <w:spacing w:after="0"/>
              <w:rPr>
                <w:sz w:val="18"/>
                <w:szCs w:val="18"/>
                <w:color w:val="auto"/>
              </w:rPr>
            </w:pP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190,651</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201,957</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ind w:right="188"/>
              <w:spacing w:after="0"/>
              <w:rPr>
                <w:sz w:val="20"/>
                <w:szCs w:val="20"/>
                <w:color w:val="auto"/>
              </w:rPr>
            </w:pPr>
            <w:r>
              <w:rPr>
                <w:rFonts w:ascii="Arial" w:cs="Arial" w:eastAsia="Arial" w:hAnsi="Arial"/>
                <w:sz w:val="14"/>
                <w:szCs w:val="14"/>
                <w:color w:val="auto"/>
                <w:w w:val="96"/>
              </w:rPr>
              <w:t>Total</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2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1"/>
              </w:rPr>
              <w:t>Rush</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2080" w:type="dxa"/>
            <w:vAlign w:val="bottom"/>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4"/>
              </w:rPr>
              <w:t>Common Stock</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Accumulated</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Enterprises,</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2080" w:type="dxa"/>
            <w:vAlign w:val="bottom"/>
          </w:tcPr>
          <w:p>
            <w:pPr>
              <w:spacing w:after="0"/>
              <w:rPr>
                <w:sz w:val="12"/>
                <w:szCs w:val="12"/>
                <w:color w:val="auto"/>
              </w:rPr>
            </w:pPr>
          </w:p>
        </w:tc>
        <w:tc>
          <w:tcPr>
            <w:tcW w:w="920" w:type="dxa"/>
            <w:vAlign w:val="bottom"/>
          </w:tcPr>
          <w:p>
            <w:pPr>
              <w:jc w:val="center"/>
              <w:ind w:left="468"/>
              <w:spacing w:after="0" w:line="149" w:lineRule="exact"/>
              <w:rPr>
                <w:sz w:val="20"/>
                <w:szCs w:val="20"/>
                <w:color w:val="auto"/>
              </w:rPr>
            </w:pPr>
            <w:r>
              <w:rPr>
                <w:rFonts w:ascii="Arial" w:cs="Arial" w:eastAsia="Arial" w:hAnsi="Arial"/>
                <w:sz w:val="14"/>
                <w:szCs w:val="14"/>
                <w:color w:val="auto"/>
                <w:w w:val="85"/>
              </w:rPr>
              <w:t>Shares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96"/>
              </w:rPr>
              <w:t>$0.01</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96"/>
              </w:rPr>
              <w:t>Other</w:t>
            </w:r>
          </w:p>
        </w:tc>
        <w:tc>
          <w:tcPr>
            <w:tcW w:w="220" w:type="dxa"/>
            <w:vAlign w:val="bottom"/>
          </w:tcPr>
          <w:p>
            <w:pPr>
              <w:spacing w:after="0"/>
              <w:rPr>
                <w:sz w:val="12"/>
                <w:szCs w:val="12"/>
                <w:color w:val="auto"/>
              </w:rPr>
            </w:pPr>
          </w:p>
        </w:tc>
        <w:tc>
          <w:tcPr>
            <w:tcW w:w="80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7"/>
              </w:rPr>
              <w:t>Inc.</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Total</w:t>
            </w:r>
          </w:p>
        </w:tc>
      </w:tr>
      <w:tr>
        <w:trPr>
          <w:trHeight w:val="167"/>
        </w:trPr>
        <w:tc>
          <w:tcPr>
            <w:tcW w:w="2080" w:type="dxa"/>
            <w:vAlign w:val="bottom"/>
          </w:tcPr>
          <w:p>
            <w:pPr>
              <w:spacing w:after="0"/>
              <w:rPr>
                <w:sz w:val="14"/>
                <w:szCs w:val="14"/>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4"/>
                <w:szCs w:val="14"/>
                <w:color w:val="auto"/>
                <w:w w:val="92"/>
              </w:rPr>
              <w:t>Outstanding</w:t>
            </w:r>
          </w:p>
        </w:tc>
        <w:tc>
          <w:tcPr>
            <w:tcW w:w="180" w:type="dxa"/>
            <w:vAlign w:val="bottom"/>
          </w:tcPr>
          <w:p>
            <w:pPr>
              <w:spacing w:after="0"/>
              <w:rPr>
                <w:sz w:val="14"/>
                <w:szCs w:val="14"/>
                <w:color w:val="auto"/>
              </w:rPr>
            </w:pPr>
          </w:p>
        </w:tc>
        <w:tc>
          <w:tcPr>
            <w:tcW w:w="600" w:type="dxa"/>
            <w:vAlign w:val="bottom"/>
          </w:tcPr>
          <w:p>
            <w:pPr>
              <w:jc w:val="right"/>
              <w:ind w:right="228"/>
              <w:spacing w:after="0"/>
              <w:rPr>
                <w:sz w:val="20"/>
                <w:szCs w:val="20"/>
                <w:color w:val="auto"/>
              </w:rPr>
            </w:pPr>
            <w:r>
              <w:rPr>
                <w:rFonts w:ascii="Arial" w:cs="Arial" w:eastAsia="Arial" w:hAnsi="Arial"/>
                <w:sz w:val="14"/>
                <w:szCs w:val="14"/>
                <w:color w:val="auto"/>
              </w:rPr>
              <w:t>Par</w:t>
            </w:r>
          </w:p>
        </w:tc>
        <w:tc>
          <w:tcPr>
            <w:tcW w:w="200" w:type="dxa"/>
            <w:vAlign w:val="bottom"/>
          </w:tcPr>
          <w:p>
            <w:pPr>
              <w:spacing w:after="0"/>
              <w:rPr>
                <w:sz w:val="14"/>
                <w:szCs w:val="14"/>
                <w:color w:val="auto"/>
              </w:rPr>
            </w:pPr>
          </w:p>
        </w:tc>
        <w:tc>
          <w:tcPr>
            <w:tcW w:w="680" w:type="dxa"/>
            <w:vAlign w:val="bottom"/>
          </w:tcPr>
          <w:p>
            <w:pPr>
              <w:jc w:val="center"/>
              <w:ind w:right="148"/>
              <w:spacing w:after="0"/>
              <w:rPr>
                <w:sz w:val="20"/>
                <w:szCs w:val="20"/>
                <w:color w:val="auto"/>
              </w:rPr>
            </w:pPr>
            <w:r>
              <w:rPr>
                <w:rFonts w:ascii="Arial" w:cs="Arial" w:eastAsia="Arial" w:hAnsi="Arial"/>
                <w:sz w:val="14"/>
                <w:szCs w:val="14"/>
                <w:color w:val="auto"/>
                <w:w w:val="95"/>
              </w:rPr>
              <w:t>Paid -In</w:t>
            </w:r>
          </w:p>
        </w:tc>
        <w:tc>
          <w:tcPr>
            <w:tcW w:w="160" w:type="dxa"/>
            <w:vAlign w:val="bottom"/>
          </w:tcPr>
          <w:p>
            <w:pPr>
              <w:spacing w:after="0"/>
              <w:rPr>
                <w:sz w:val="14"/>
                <w:szCs w:val="14"/>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w w:val="86"/>
              </w:rPr>
              <w:t>Treasury</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Retained</w:t>
            </w:r>
          </w:p>
        </w:tc>
        <w:tc>
          <w:tcPr>
            <w:tcW w:w="1100" w:type="dxa"/>
            <w:vAlign w:val="bottom"/>
            <w:gridSpan w:val="2"/>
          </w:tcPr>
          <w:p>
            <w:pPr>
              <w:ind w:left="80"/>
              <w:spacing w:after="0"/>
              <w:rPr>
                <w:sz w:val="20"/>
                <w:szCs w:val="20"/>
                <w:color w:val="auto"/>
              </w:rPr>
            </w:pPr>
            <w:r>
              <w:rPr>
                <w:rFonts w:ascii="Arial" w:cs="Arial" w:eastAsia="Arial" w:hAnsi="Arial"/>
                <w:sz w:val="14"/>
                <w:szCs w:val="14"/>
                <w:color w:val="auto"/>
              </w:rPr>
              <w:t>Comprehensive</w:t>
            </w:r>
          </w:p>
        </w:tc>
        <w:tc>
          <w:tcPr>
            <w:tcW w:w="1020" w:type="dxa"/>
            <w:vAlign w:val="bottom"/>
            <w:gridSpan w:val="2"/>
          </w:tcPr>
          <w:p>
            <w:pPr>
              <w:jc w:val="center"/>
              <w:spacing w:after="0"/>
              <w:rPr>
                <w:sz w:val="20"/>
                <w:szCs w:val="20"/>
                <w:color w:val="auto"/>
              </w:rPr>
            </w:pPr>
            <w:r>
              <w:rPr>
                <w:rFonts w:ascii="Arial" w:cs="Arial" w:eastAsia="Arial" w:hAnsi="Arial"/>
                <w:sz w:val="14"/>
                <w:szCs w:val="14"/>
                <w:color w:val="auto"/>
                <w:w w:val="92"/>
              </w:rPr>
              <w:t>Shareholders’</w:t>
            </w:r>
          </w:p>
        </w:tc>
        <w:tc>
          <w:tcPr>
            <w:tcW w:w="1040" w:type="dxa"/>
            <w:vAlign w:val="bottom"/>
            <w:gridSpan w:val="2"/>
          </w:tcPr>
          <w:p>
            <w:pPr>
              <w:ind w:left="80"/>
              <w:spacing w:after="0"/>
              <w:rPr>
                <w:sz w:val="20"/>
                <w:szCs w:val="20"/>
                <w:color w:val="auto"/>
              </w:rPr>
            </w:pPr>
            <w:r>
              <w:rPr>
                <w:rFonts w:ascii="Arial" w:cs="Arial" w:eastAsia="Arial" w:hAnsi="Arial"/>
                <w:sz w:val="14"/>
                <w:szCs w:val="14"/>
                <w:color w:val="auto"/>
              </w:rPr>
              <w:t>Noncontrolling</w:t>
            </w:r>
          </w:p>
        </w:tc>
        <w:tc>
          <w:tcPr>
            <w:tcW w:w="1020" w:type="dxa"/>
            <w:vAlign w:val="bottom"/>
            <w:gridSpan w:val="4"/>
          </w:tcPr>
          <w:p>
            <w:pPr>
              <w:ind w:left="120"/>
              <w:spacing w:after="0"/>
              <w:rPr>
                <w:sz w:val="20"/>
                <w:szCs w:val="20"/>
                <w:color w:val="auto"/>
              </w:rPr>
            </w:pPr>
            <w:r>
              <w:rPr>
                <w:rFonts w:ascii="Arial" w:cs="Arial" w:eastAsia="Arial" w:hAnsi="Arial"/>
                <w:sz w:val="14"/>
                <w:szCs w:val="14"/>
                <w:color w:val="auto"/>
              </w:rPr>
              <w:t>Shareholders’</w:t>
            </w:r>
          </w:p>
        </w:tc>
      </w:tr>
      <w:tr>
        <w:trPr>
          <w:trHeight w:val="142"/>
        </w:trPr>
        <w:tc>
          <w:tcPr>
            <w:tcW w:w="2080" w:type="dxa"/>
            <w:vAlign w:val="bottom"/>
          </w:tcPr>
          <w:p>
            <w:pPr>
              <w:spacing w:after="0"/>
              <w:rPr>
                <w:sz w:val="12"/>
                <w:szCs w:val="12"/>
                <w:color w:val="auto"/>
              </w:rPr>
            </w:pPr>
          </w:p>
        </w:tc>
        <w:tc>
          <w:tcPr>
            <w:tcW w:w="920" w:type="dxa"/>
            <w:vAlign w:val="bottom"/>
            <w:tcBorders>
              <w:top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rPr>
              <w:t>Class A</w:t>
            </w:r>
          </w:p>
        </w:tc>
        <w:tc>
          <w:tcPr>
            <w:tcW w:w="54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86"/>
              </w:rPr>
              <w:t>Class B</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168"/>
              <w:spacing w:after="0" w:line="142" w:lineRule="exact"/>
              <w:rPr>
                <w:sz w:val="20"/>
                <w:szCs w:val="20"/>
                <w:color w:val="auto"/>
              </w:rPr>
            </w:pPr>
            <w:r>
              <w:rPr>
                <w:rFonts w:ascii="Arial" w:cs="Arial" w:eastAsia="Arial" w:hAnsi="Arial"/>
                <w:sz w:val="14"/>
                <w:szCs w:val="14"/>
                <w:color w:val="auto"/>
                <w:w w:val="94"/>
              </w:rPr>
              <w:t>Value</w:t>
            </w:r>
          </w:p>
        </w:tc>
        <w:tc>
          <w:tcPr>
            <w:tcW w:w="200" w:type="dxa"/>
            <w:vAlign w:val="bottom"/>
          </w:tcPr>
          <w:p>
            <w:pPr>
              <w:spacing w:after="0"/>
              <w:rPr>
                <w:sz w:val="12"/>
                <w:szCs w:val="12"/>
                <w:color w:val="auto"/>
              </w:rPr>
            </w:pPr>
          </w:p>
        </w:tc>
        <w:tc>
          <w:tcPr>
            <w:tcW w:w="680" w:type="dxa"/>
            <w:vAlign w:val="bottom"/>
          </w:tcPr>
          <w:p>
            <w:pPr>
              <w:jc w:val="center"/>
              <w:ind w:right="148"/>
              <w:spacing w:after="0" w:line="142"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2"/>
                <w:szCs w:val="12"/>
                <w:color w:val="auto"/>
              </w:rPr>
            </w:pPr>
          </w:p>
        </w:tc>
        <w:tc>
          <w:tcPr>
            <w:tcW w:w="700" w:type="dxa"/>
            <w:vAlign w:val="bottom"/>
          </w:tcPr>
          <w:p>
            <w:pPr>
              <w:jc w:val="right"/>
              <w:ind w:right="208"/>
              <w:spacing w:after="0" w:line="142" w:lineRule="exact"/>
              <w:rPr>
                <w:sz w:val="20"/>
                <w:szCs w:val="20"/>
                <w:color w:val="auto"/>
              </w:rPr>
            </w:pPr>
            <w:r>
              <w:rPr>
                <w:rFonts w:ascii="Arial" w:cs="Arial" w:eastAsia="Arial" w:hAnsi="Arial"/>
                <w:sz w:val="14"/>
                <w:szCs w:val="14"/>
                <w:color w:val="auto"/>
              </w:rPr>
              <w:t>Stock</w:t>
            </w:r>
          </w:p>
        </w:tc>
        <w:tc>
          <w:tcPr>
            <w:tcW w:w="880" w:type="dxa"/>
            <w:vAlign w:val="bottom"/>
          </w:tcPr>
          <w:p>
            <w:pPr>
              <w:jc w:val="right"/>
              <w:ind w:right="128"/>
              <w:spacing w:after="0" w:line="142" w:lineRule="exact"/>
              <w:rPr>
                <w:sz w:val="20"/>
                <w:szCs w:val="20"/>
                <w:color w:val="auto"/>
              </w:rPr>
            </w:pPr>
            <w:r>
              <w:rPr>
                <w:rFonts w:ascii="Arial" w:cs="Arial" w:eastAsia="Arial" w:hAnsi="Arial"/>
                <w:sz w:val="14"/>
                <w:szCs w:val="14"/>
                <w:color w:val="auto"/>
              </w:rPr>
              <w:t>Earnings</w:t>
            </w:r>
          </w:p>
        </w:tc>
        <w:tc>
          <w:tcPr>
            <w:tcW w:w="110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2"/>
              </w:rPr>
              <w:t>Income (Loss)</w:t>
            </w:r>
          </w:p>
        </w:tc>
        <w:tc>
          <w:tcPr>
            <w:tcW w:w="220" w:type="dxa"/>
            <w:vAlign w:val="bottom"/>
          </w:tcPr>
          <w:p>
            <w:pPr>
              <w:spacing w:after="0"/>
              <w:rPr>
                <w:sz w:val="12"/>
                <w:szCs w:val="12"/>
                <w:color w:val="auto"/>
              </w:rPr>
            </w:pPr>
          </w:p>
        </w:tc>
        <w:tc>
          <w:tcPr>
            <w:tcW w:w="800" w:type="dxa"/>
            <w:vAlign w:val="bottom"/>
          </w:tcPr>
          <w:p>
            <w:pPr>
              <w:jc w:val="center"/>
              <w:ind w:right="188"/>
              <w:spacing w:after="0" w:line="142" w:lineRule="exact"/>
              <w:rPr>
                <w:sz w:val="20"/>
                <w:szCs w:val="20"/>
                <w:color w:val="auto"/>
              </w:rPr>
            </w:pPr>
            <w:r>
              <w:rPr>
                <w:rFonts w:ascii="Arial" w:cs="Arial" w:eastAsia="Arial" w:hAnsi="Arial"/>
                <w:sz w:val="14"/>
                <w:szCs w:val="14"/>
                <w:color w:val="auto"/>
                <w:w w:val="97"/>
              </w:rPr>
              <w:t>Equity</w:t>
            </w:r>
          </w:p>
        </w:tc>
        <w:tc>
          <w:tcPr>
            <w:tcW w:w="220" w:type="dxa"/>
            <w:vAlign w:val="bottom"/>
          </w:tcPr>
          <w:p>
            <w:pPr>
              <w:spacing w:after="0"/>
              <w:rPr>
                <w:sz w:val="12"/>
                <w:szCs w:val="12"/>
                <w:color w:val="auto"/>
              </w:rPr>
            </w:pPr>
          </w:p>
        </w:tc>
        <w:tc>
          <w:tcPr>
            <w:tcW w:w="820" w:type="dxa"/>
            <w:vAlign w:val="bottom"/>
          </w:tcPr>
          <w:p>
            <w:pPr>
              <w:jc w:val="right"/>
              <w:ind w:right="248"/>
              <w:spacing w:after="0" w:line="142" w:lineRule="exact"/>
              <w:rPr>
                <w:sz w:val="20"/>
                <w:szCs w:val="20"/>
                <w:color w:val="auto"/>
              </w:rPr>
            </w:pPr>
            <w:r>
              <w:rPr>
                <w:rFonts w:ascii="Arial" w:cs="Arial" w:eastAsia="Arial" w:hAnsi="Arial"/>
                <w:sz w:val="14"/>
                <w:szCs w:val="14"/>
                <w:color w:val="auto"/>
              </w:rPr>
              <w:t>Interest</w:t>
            </w:r>
          </w:p>
        </w:tc>
        <w:tc>
          <w:tcPr>
            <w:tcW w:w="240" w:type="dxa"/>
            <w:vAlign w:val="bottom"/>
          </w:tcPr>
          <w:p>
            <w:pPr>
              <w:spacing w:after="0"/>
              <w:rPr>
                <w:sz w:val="12"/>
                <w:szCs w:val="12"/>
                <w:color w:val="auto"/>
              </w:rPr>
            </w:pPr>
          </w:p>
        </w:tc>
        <w:tc>
          <w:tcPr>
            <w:tcW w:w="780" w:type="dxa"/>
            <w:vAlign w:val="bottom"/>
            <w:gridSpan w:val="3"/>
          </w:tcPr>
          <w:p>
            <w:pPr>
              <w:jc w:val="right"/>
              <w:ind w:right="320"/>
              <w:spacing w:after="0" w:line="142" w:lineRule="exact"/>
              <w:rPr>
                <w:sz w:val="20"/>
                <w:szCs w:val="20"/>
                <w:color w:val="auto"/>
              </w:rPr>
            </w:pPr>
            <w:r>
              <w:rPr>
                <w:rFonts w:ascii="Arial" w:cs="Arial" w:eastAsia="Arial" w:hAnsi="Arial"/>
                <w:sz w:val="14"/>
                <w:szCs w:val="14"/>
                <w:color w:val="auto"/>
              </w:rPr>
              <w:t>Equity</w:t>
            </w:r>
          </w:p>
        </w:tc>
      </w:tr>
      <w:tr>
        <w:trPr>
          <w:trHeight w:val="142"/>
        </w:trPr>
        <w:tc>
          <w:tcPr>
            <w:tcW w:w="20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2022</w:t>
            </w:r>
          </w:p>
        </w:tc>
        <w:tc>
          <w:tcPr>
            <w:tcW w:w="920" w:type="dxa"/>
            <w:vAlign w:val="bottom"/>
            <w:tcBorders>
              <w:top w:val="single" w:sz="8" w:color="auto"/>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rPr>
              <w:t>42,345</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12,083</w:t>
            </w:r>
          </w:p>
        </w:tc>
        <w:tc>
          <w:tcPr>
            <w:tcW w:w="1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572</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500,642</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(130,930</w:t>
            </w: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1,378,337</w:t>
            </w:r>
          </w:p>
        </w:tc>
        <w:tc>
          <w:tcPr>
            <w:tcW w:w="260" w:type="dxa"/>
            <w:vAlign w:val="bottom"/>
            <w:tcBorders>
              <w:top w:val="single" w:sz="8" w:color="auto"/>
            </w:tcBorders>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(4,130</w:t>
            </w:r>
            <w:r>
              <w:rPr>
                <w:rFonts w:ascii="Arial" w:cs="Arial" w:eastAsia="Arial" w:hAnsi="Arial"/>
                <w:sz w:val="14"/>
                <w:szCs w:val="14"/>
                <w:b w:val="1"/>
                <w:bCs w:val="1"/>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1,744,491</w:t>
            </w:r>
          </w:p>
        </w:tc>
        <w:tc>
          <w:tcPr>
            <w:tcW w:w="220" w:type="dxa"/>
            <w:vAlign w:val="bottom"/>
            <w:tcBorders>
              <w:top w:val="single" w:sz="8" w:color="auto"/>
            </w:tcBorders>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18,531</w:t>
            </w:r>
          </w:p>
        </w:tc>
        <w:tc>
          <w:tcPr>
            <w:tcW w:w="240" w:type="dxa"/>
            <w:vAlign w:val="bottom"/>
            <w:tcBorders>
              <w:top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1,763,022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w w:val="97"/>
              </w:rPr>
              <w:t>Stock options exercised and stock</w:t>
            </w: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080" w:type="dxa"/>
            <w:vAlign w:val="bottom"/>
          </w:tcPr>
          <w:p>
            <w:pPr>
              <w:ind w:left="180"/>
              <w:spacing w:after="0"/>
              <w:rPr>
                <w:sz w:val="20"/>
                <w:szCs w:val="20"/>
                <w:color w:val="auto"/>
              </w:rPr>
            </w:pPr>
            <w:r>
              <w:rPr>
                <w:rFonts w:ascii="Arial" w:cs="Arial" w:eastAsia="Arial" w:hAnsi="Arial"/>
                <w:sz w:val="14"/>
                <w:szCs w:val="14"/>
                <w:color w:val="auto"/>
              </w:rPr>
              <w:t>awards</w:t>
            </w:r>
          </w:p>
        </w:tc>
        <w:tc>
          <w:tcPr>
            <w:tcW w:w="920" w:type="dxa"/>
            <w:vAlign w:val="bottom"/>
          </w:tcPr>
          <w:p>
            <w:pPr>
              <w:jc w:val="right"/>
              <w:ind w:right="208"/>
              <w:spacing w:after="0"/>
              <w:rPr>
                <w:sz w:val="20"/>
                <w:szCs w:val="20"/>
                <w:color w:val="auto"/>
              </w:rPr>
            </w:pPr>
            <w:r>
              <w:rPr>
                <w:rFonts w:ascii="Arial" w:cs="Arial" w:eastAsia="Arial" w:hAnsi="Arial"/>
                <w:sz w:val="14"/>
                <w:szCs w:val="14"/>
                <w:color w:val="auto"/>
              </w:rPr>
              <w:t>152</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3,412</w:t>
            </w:r>
          </w:p>
        </w:tc>
        <w:tc>
          <w:tcPr>
            <w:tcW w:w="1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3,414</w:t>
            </w:r>
          </w:p>
        </w:tc>
        <w:tc>
          <w:tcPr>
            <w:tcW w:w="22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3,414</w:t>
            </w:r>
          </w:p>
        </w:tc>
        <w:tc>
          <w:tcPr>
            <w:tcW w:w="80" w:type="dxa"/>
            <w:vAlign w:val="bottom"/>
          </w:tcPr>
          <w:p>
            <w:pPr>
              <w:spacing w:after="0"/>
              <w:rPr>
                <w:sz w:val="14"/>
                <w:szCs w:val="14"/>
                <w:color w:val="auto"/>
              </w:rPr>
            </w:pP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Stock-based compensation related</w:t>
            </w:r>
          </w:p>
        </w:tc>
        <w:tc>
          <w:tcPr>
            <w:tcW w:w="9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8"/>
        </w:trPr>
        <w:tc>
          <w:tcPr>
            <w:tcW w:w="20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to stock options, restricted</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8"/>
        </w:trPr>
        <w:tc>
          <w:tcPr>
            <w:tcW w:w="20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shares and employee stock</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plan</w:t>
            </w:r>
          </w:p>
        </w:tc>
        <w:tc>
          <w:tcPr>
            <w:tcW w:w="9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13,080</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13,080</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13,080</w:t>
            </w:r>
          </w:p>
        </w:tc>
        <w:tc>
          <w:tcPr>
            <w:tcW w:w="80" w:type="dxa"/>
            <w:vAlign w:val="bottom"/>
            <w:shd w:val="clear" w:color="auto" w:fill="CCEEFF"/>
          </w:tcPr>
          <w:p>
            <w:pPr>
              <w:spacing w:after="0"/>
              <w:rPr>
                <w:sz w:val="14"/>
                <w:szCs w:val="14"/>
                <w:color w:val="auto"/>
              </w:rPr>
            </w:pPr>
          </w:p>
        </w:tc>
      </w:tr>
      <w:tr>
        <w:trPr>
          <w:trHeight w:val="148"/>
        </w:trPr>
        <w:tc>
          <w:tcPr>
            <w:tcW w:w="2080" w:type="dxa"/>
            <w:vAlign w:val="bottom"/>
          </w:tcPr>
          <w:p>
            <w:pPr>
              <w:spacing w:after="0" w:line="149" w:lineRule="exact"/>
              <w:rPr>
                <w:sz w:val="20"/>
                <w:szCs w:val="20"/>
                <w:color w:val="auto"/>
              </w:rPr>
            </w:pPr>
            <w:r>
              <w:rPr>
                <w:rFonts w:ascii="Arial" w:cs="Arial" w:eastAsia="Arial" w:hAnsi="Arial"/>
                <w:sz w:val="14"/>
                <w:szCs w:val="14"/>
                <w:color w:val="auto"/>
                <w:w w:val="97"/>
              </w:rPr>
              <w:t>Vesting of restricted share awards</w:t>
            </w:r>
          </w:p>
        </w:tc>
        <w:tc>
          <w:tcPr>
            <w:tcW w:w="9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(6,964)</w:t>
            </w:r>
          </w:p>
        </w:tc>
        <w:tc>
          <w:tcPr>
            <w:tcW w:w="16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(6,961)</w:t>
            </w:r>
          </w:p>
        </w:tc>
        <w:tc>
          <w:tcPr>
            <w:tcW w:w="22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(6,961)</w:t>
            </w: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under</w:t>
            </w:r>
          </w:p>
        </w:tc>
        <w:tc>
          <w:tcPr>
            <w:tcW w:w="9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9"/>
              </w:rPr>
              <w:t>employee stock purchase plan</w:t>
            </w:r>
          </w:p>
        </w:tc>
        <w:tc>
          <w:tcPr>
            <w:tcW w:w="9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68</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2,828</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2,828</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2,828</w:t>
            </w:r>
          </w:p>
        </w:tc>
        <w:tc>
          <w:tcPr>
            <w:tcW w:w="80" w:type="dxa"/>
            <w:vAlign w:val="bottom"/>
            <w:shd w:val="clear" w:color="auto" w:fill="CCEEFF"/>
          </w:tcPr>
          <w:p>
            <w:pPr>
              <w:spacing w:after="0"/>
              <w:rPr>
                <w:sz w:val="14"/>
                <w:szCs w:val="14"/>
                <w:color w:val="auto"/>
              </w:rPr>
            </w:pPr>
          </w:p>
        </w:tc>
      </w:tr>
      <w:tr>
        <w:trPr>
          <w:trHeight w:val="148"/>
        </w:trPr>
        <w:tc>
          <w:tcPr>
            <w:tcW w:w="2080" w:type="dxa"/>
            <w:vAlign w:val="bottom"/>
          </w:tcPr>
          <w:p>
            <w:pPr>
              <w:spacing w:after="0" w:line="149" w:lineRule="exact"/>
              <w:rPr>
                <w:sz w:val="20"/>
                <w:szCs w:val="20"/>
                <w:color w:val="auto"/>
              </w:rPr>
            </w:pPr>
            <w:r>
              <w:rPr>
                <w:rFonts w:ascii="Arial" w:cs="Arial" w:eastAsia="Arial" w:hAnsi="Arial"/>
                <w:sz w:val="14"/>
                <w:szCs w:val="14"/>
                <w:color w:val="auto"/>
              </w:rPr>
              <w:t>Common stock repurchases</w:t>
            </w:r>
          </w:p>
        </w:tc>
        <w:tc>
          <w:tcPr>
            <w:tcW w:w="9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(415)</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w:t>
            </w:r>
          </w:p>
        </w:tc>
        <w:tc>
          <w:tcPr>
            <w:tcW w:w="18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(25,280)</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(25,280)</w:t>
            </w:r>
          </w:p>
        </w:tc>
        <w:tc>
          <w:tcPr>
            <w:tcW w:w="22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(25,280)</w:t>
            </w: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Cash dividends declared on Class</w:t>
            </w:r>
          </w:p>
        </w:tc>
        <w:tc>
          <w:tcPr>
            <w:tcW w:w="9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 common stock</w:t>
            </w:r>
          </w:p>
        </w:tc>
        <w:tc>
          <w:tcPr>
            <w:tcW w:w="9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(8,897)</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(8,897)</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(8,897)</w:t>
            </w: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w w:val="97"/>
              </w:rPr>
              <w:t>Cash dividends declared on Class</w:t>
            </w: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080" w:type="dxa"/>
            <w:vAlign w:val="bottom"/>
          </w:tcPr>
          <w:p>
            <w:pPr>
              <w:ind w:left="180"/>
              <w:spacing w:after="0"/>
              <w:rPr>
                <w:sz w:val="20"/>
                <w:szCs w:val="20"/>
                <w:color w:val="auto"/>
              </w:rPr>
            </w:pPr>
            <w:r>
              <w:rPr>
                <w:rFonts w:ascii="Arial" w:cs="Arial" w:eastAsia="Arial" w:hAnsi="Arial"/>
                <w:sz w:val="14"/>
                <w:szCs w:val="14"/>
                <w:color w:val="auto"/>
              </w:rPr>
              <w:t>B common stock</w:t>
            </w:r>
          </w:p>
        </w:tc>
        <w:tc>
          <w:tcPr>
            <w:tcW w:w="9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(2,692)</w:t>
            </w: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(2,692)</w:t>
            </w:r>
          </w:p>
        </w:tc>
        <w:tc>
          <w:tcPr>
            <w:tcW w:w="22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(2,692)</w:t>
            </w: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 translation</w:t>
            </w:r>
          </w:p>
        </w:tc>
        <w:tc>
          <w:tcPr>
            <w:tcW w:w="9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w:t>
            </w:r>
          </w:p>
        </w:tc>
        <w:tc>
          <w:tcPr>
            <w:tcW w:w="9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232</w:t>
            </w:r>
          </w:p>
        </w:tc>
        <w:tc>
          <w:tcPr>
            <w:tcW w:w="80" w:type="dxa"/>
            <w:vAlign w:val="bottom"/>
            <w:shd w:val="clear" w:color="auto" w:fill="CCEEFF"/>
          </w:tcPr>
          <w:p>
            <w:pPr>
              <w:spacing w:after="0"/>
              <w:rPr>
                <w:sz w:val="14"/>
                <w:szCs w:val="14"/>
                <w:color w:val="auto"/>
              </w:rPr>
            </w:pPr>
          </w:p>
        </w:tc>
      </w:tr>
      <w:tr>
        <w:trPr>
          <w:trHeight w:val="148"/>
        </w:trPr>
        <w:tc>
          <w:tcPr>
            <w:tcW w:w="20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92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90,455</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90,455</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335</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90,790</w:t>
            </w:r>
          </w:p>
        </w:tc>
        <w:tc>
          <w:tcPr>
            <w:tcW w:w="80" w:type="dxa"/>
            <w:vAlign w:val="bottom"/>
          </w:tcPr>
          <w:p>
            <w:pPr>
              <w:spacing w:after="0"/>
              <w:rPr>
                <w:sz w:val="12"/>
                <w:szCs w:val="12"/>
                <w:color w:val="auto"/>
              </w:rPr>
            </w:pPr>
          </w:p>
        </w:tc>
      </w:tr>
      <w:tr>
        <w:trPr>
          <w:trHeight w:val="142"/>
        </w:trPr>
        <w:tc>
          <w:tcPr>
            <w:tcW w:w="20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March 31, 2023</w:t>
            </w:r>
          </w:p>
        </w:tc>
        <w:tc>
          <w:tcPr>
            <w:tcW w:w="920" w:type="dxa"/>
            <w:vAlign w:val="bottom"/>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rPr>
              <w:t>42,150</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12,308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577</w:t>
            </w: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512,998</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(156,210</w:t>
            </w:r>
            <w:r>
              <w:rPr>
                <w:rFonts w:ascii="Arial" w:cs="Arial" w:eastAsia="Arial" w:hAnsi="Arial"/>
                <w:sz w:val="14"/>
                <w:szCs w:val="14"/>
                <w:b w:val="1"/>
                <w:bCs w:val="1"/>
                <w:color w:val="auto"/>
              </w:rPr>
              <w:t>)</w:t>
            </w:r>
          </w:p>
        </w:tc>
        <w:tc>
          <w:tcPr>
            <w:tcW w:w="88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1,457,203</w:t>
            </w:r>
          </w:p>
        </w:tc>
        <w:tc>
          <w:tcPr>
            <w:tcW w:w="26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(3,898</w:t>
            </w:r>
            <w:r>
              <w:rPr>
                <w:rFonts w:ascii="Arial" w:cs="Arial" w:eastAsia="Arial" w:hAnsi="Arial"/>
                <w:sz w:val="14"/>
                <w:szCs w:val="14"/>
                <w:b w:val="1"/>
                <w:bCs w:val="1"/>
                <w:color w:val="auto"/>
              </w:rPr>
              <w:t>)</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1,810,670</w:t>
            </w:r>
          </w:p>
        </w:tc>
        <w:tc>
          <w:tcPr>
            <w:tcW w:w="22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18,866</w:t>
            </w:r>
          </w:p>
        </w:tc>
        <w:tc>
          <w:tcPr>
            <w:tcW w:w="24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1,829,536</w:t>
            </w:r>
          </w:p>
        </w:tc>
        <w:tc>
          <w:tcPr>
            <w:tcW w:w="80" w:type="dxa"/>
            <w:vAlign w:val="bottom"/>
            <w:shd w:val="clear" w:color="auto" w:fill="CCEEFF"/>
          </w:tcPr>
          <w:p>
            <w:pPr>
              <w:spacing w:after="0"/>
              <w:rPr>
                <w:sz w:val="12"/>
                <w:szCs w:val="12"/>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w w:val="97"/>
              </w:rPr>
              <w:t>Stock options exercised and stock</w:t>
            </w: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080" w:type="dxa"/>
            <w:vAlign w:val="bottom"/>
          </w:tcPr>
          <w:p>
            <w:pPr>
              <w:ind w:left="180"/>
              <w:spacing w:after="0"/>
              <w:rPr>
                <w:sz w:val="20"/>
                <w:szCs w:val="20"/>
                <w:color w:val="auto"/>
              </w:rPr>
            </w:pPr>
            <w:r>
              <w:rPr>
                <w:rFonts w:ascii="Arial" w:cs="Arial" w:eastAsia="Arial" w:hAnsi="Arial"/>
                <w:sz w:val="14"/>
                <w:szCs w:val="14"/>
                <w:color w:val="auto"/>
              </w:rPr>
              <w:t>awards</w:t>
            </w:r>
          </w:p>
        </w:tc>
        <w:tc>
          <w:tcPr>
            <w:tcW w:w="920" w:type="dxa"/>
            <w:vAlign w:val="bottom"/>
          </w:tcPr>
          <w:p>
            <w:pPr>
              <w:jc w:val="right"/>
              <w:ind w:right="208"/>
              <w:spacing w:after="0"/>
              <w:rPr>
                <w:sz w:val="20"/>
                <w:szCs w:val="20"/>
                <w:color w:val="auto"/>
              </w:rPr>
            </w:pPr>
            <w:r>
              <w:rPr>
                <w:rFonts w:ascii="Arial" w:cs="Arial" w:eastAsia="Arial" w:hAnsi="Arial"/>
                <w:sz w:val="14"/>
                <w:szCs w:val="14"/>
                <w:color w:val="auto"/>
              </w:rPr>
              <w:t>158</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3,479</w:t>
            </w:r>
          </w:p>
        </w:tc>
        <w:tc>
          <w:tcPr>
            <w:tcW w:w="1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3,480</w:t>
            </w:r>
          </w:p>
        </w:tc>
        <w:tc>
          <w:tcPr>
            <w:tcW w:w="22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3,480</w:t>
            </w:r>
          </w:p>
        </w:tc>
        <w:tc>
          <w:tcPr>
            <w:tcW w:w="80" w:type="dxa"/>
            <w:vAlign w:val="bottom"/>
          </w:tcPr>
          <w:p>
            <w:pPr>
              <w:spacing w:after="0"/>
              <w:rPr>
                <w:sz w:val="14"/>
                <w:szCs w:val="14"/>
                <w:color w:val="auto"/>
              </w:rPr>
            </w:pP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Stock-based compensation related</w:t>
            </w:r>
          </w:p>
        </w:tc>
        <w:tc>
          <w:tcPr>
            <w:tcW w:w="9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8"/>
        </w:trPr>
        <w:tc>
          <w:tcPr>
            <w:tcW w:w="20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to stock options, restricted</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shares and employee stock</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plan</w:t>
            </w:r>
          </w:p>
        </w:tc>
        <w:tc>
          <w:tcPr>
            <w:tcW w:w="9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5,952</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5,952</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5,952</w:t>
            </w:r>
          </w:p>
        </w:tc>
        <w:tc>
          <w:tcPr>
            <w:tcW w:w="80" w:type="dxa"/>
            <w:vAlign w:val="bottom"/>
            <w:shd w:val="clear" w:color="auto" w:fill="CCEEFF"/>
          </w:tcPr>
          <w:p>
            <w:pPr>
              <w:spacing w:after="0"/>
              <w:rPr>
                <w:sz w:val="14"/>
                <w:szCs w:val="14"/>
                <w:color w:val="auto"/>
              </w:rPr>
            </w:pPr>
          </w:p>
        </w:tc>
      </w:tr>
      <w:tr>
        <w:trPr>
          <w:trHeight w:val="148"/>
        </w:trPr>
        <w:tc>
          <w:tcPr>
            <w:tcW w:w="2080" w:type="dxa"/>
            <w:vAlign w:val="bottom"/>
          </w:tcPr>
          <w:p>
            <w:pPr>
              <w:spacing w:after="0" w:line="149" w:lineRule="exact"/>
              <w:rPr>
                <w:sz w:val="20"/>
                <w:szCs w:val="20"/>
                <w:color w:val="auto"/>
              </w:rPr>
            </w:pPr>
            <w:r>
              <w:rPr>
                <w:rFonts w:ascii="Arial" w:cs="Arial" w:eastAsia="Arial" w:hAnsi="Arial"/>
                <w:sz w:val="14"/>
                <w:szCs w:val="14"/>
                <w:color w:val="auto"/>
                <w:w w:val="97"/>
              </w:rPr>
              <w:t>Vesting of restricted share awards</w:t>
            </w:r>
          </w:p>
        </w:tc>
        <w:tc>
          <w:tcPr>
            <w:tcW w:w="9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16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(54)</w:t>
            </w:r>
          </w:p>
        </w:tc>
        <w:tc>
          <w:tcPr>
            <w:tcW w:w="22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(54)</w:t>
            </w: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under</w:t>
            </w:r>
          </w:p>
        </w:tc>
        <w:tc>
          <w:tcPr>
            <w:tcW w:w="9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9"/>
              </w:rPr>
              <w:t>employee stock purchase plan</w:t>
            </w:r>
          </w:p>
        </w:tc>
        <w:tc>
          <w:tcPr>
            <w:tcW w:w="9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rPr>
              <w:t>Common stock repurchases</w:t>
            </w:r>
          </w:p>
        </w:tc>
        <w:tc>
          <w:tcPr>
            <w:tcW w:w="9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(593)</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(129)</w:t>
            </w:r>
          </w:p>
        </w:tc>
        <w:tc>
          <w:tcPr>
            <w:tcW w:w="18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(40,305)</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(40,305)</w:t>
            </w:r>
          </w:p>
        </w:tc>
        <w:tc>
          <w:tcPr>
            <w:tcW w:w="22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(40,305)</w:t>
            </w: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Cash dividends declared on Class</w:t>
            </w:r>
          </w:p>
        </w:tc>
        <w:tc>
          <w:tcPr>
            <w:tcW w:w="9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 common stock</w:t>
            </w:r>
          </w:p>
        </w:tc>
        <w:tc>
          <w:tcPr>
            <w:tcW w:w="9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(8,812)</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(8,812)</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(8,812)</w:t>
            </w: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w w:val="97"/>
              </w:rPr>
              <w:t>Cash dividends declared on Class</w:t>
            </w: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080" w:type="dxa"/>
            <w:vAlign w:val="bottom"/>
          </w:tcPr>
          <w:p>
            <w:pPr>
              <w:ind w:left="180"/>
              <w:spacing w:after="0"/>
              <w:rPr>
                <w:sz w:val="20"/>
                <w:szCs w:val="20"/>
                <w:color w:val="auto"/>
              </w:rPr>
            </w:pPr>
            <w:r>
              <w:rPr>
                <w:rFonts w:ascii="Arial" w:cs="Arial" w:eastAsia="Arial" w:hAnsi="Arial"/>
                <w:sz w:val="14"/>
                <w:szCs w:val="14"/>
                <w:color w:val="auto"/>
              </w:rPr>
              <w:t>B common stock</w:t>
            </w:r>
          </w:p>
        </w:tc>
        <w:tc>
          <w:tcPr>
            <w:tcW w:w="9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(2,725)</w:t>
            </w: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(2,725)</w:t>
            </w:r>
          </w:p>
        </w:tc>
        <w:tc>
          <w:tcPr>
            <w:tcW w:w="22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(2,725)</w:t>
            </w: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 translation</w:t>
            </w:r>
          </w:p>
        </w:tc>
        <w:tc>
          <w:tcPr>
            <w:tcW w:w="9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w:t>
            </w:r>
          </w:p>
        </w:tc>
        <w:tc>
          <w:tcPr>
            <w:tcW w:w="9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1,689</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1,689</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1,689</w:t>
            </w:r>
          </w:p>
        </w:tc>
        <w:tc>
          <w:tcPr>
            <w:tcW w:w="80" w:type="dxa"/>
            <w:vAlign w:val="bottom"/>
            <w:shd w:val="clear" w:color="auto" w:fill="CCEEFF"/>
          </w:tcPr>
          <w:p>
            <w:pPr>
              <w:spacing w:after="0"/>
              <w:rPr>
                <w:sz w:val="14"/>
                <w:szCs w:val="14"/>
                <w:color w:val="auto"/>
              </w:rPr>
            </w:pPr>
          </w:p>
        </w:tc>
      </w:tr>
      <w:tr>
        <w:trPr>
          <w:trHeight w:val="148"/>
        </w:trPr>
        <w:tc>
          <w:tcPr>
            <w:tcW w:w="20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92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98,275</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98,275</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249</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98,524</w:t>
            </w:r>
          </w:p>
        </w:tc>
        <w:tc>
          <w:tcPr>
            <w:tcW w:w="80" w:type="dxa"/>
            <w:vAlign w:val="bottom"/>
          </w:tcPr>
          <w:p>
            <w:pPr>
              <w:spacing w:after="0"/>
              <w:rPr>
                <w:sz w:val="12"/>
                <w:szCs w:val="12"/>
                <w:color w:val="auto"/>
              </w:rPr>
            </w:pPr>
          </w:p>
        </w:tc>
      </w:tr>
      <w:tr>
        <w:trPr>
          <w:trHeight w:val="182"/>
        </w:trPr>
        <w:tc>
          <w:tcPr>
            <w:tcW w:w="20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June 30, 2023</w:t>
            </w:r>
          </w:p>
        </w:tc>
        <w:tc>
          <w:tcPr>
            <w:tcW w:w="920" w:type="dxa"/>
            <w:vAlign w:val="bottom"/>
            <w:tcBorders>
              <w:bottom w:val="single" w:sz="8" w:color="auto"/>
            </w:tcBorders>
            <w:shd w:val="clear" w:color="auto" w:fill="CCEEFF"/>
          </w:tcPr>
          <w:p>
            <w:pPr>
              <w:jc w:val="right"/>
              <w:ind w:right="208"/>
              <w:spacing w:after="0" w:line="129" w:lineRule="exact"/>
              <w:rPr>
                <w:sz w:val="20"/>
                <w:szCs w:val="20"/>
                <w:color w:val="auto"/>
              </w:rPr>
            </w:pPr>
            <w:r>
              <w:rPr>
                <w:rFonts w:ascii="Arial" w:cs="Arial" w:eastAsia="Arial" w:hAnsi="Arial"/>
                <w:sz w:val="14"/>
                <w:szCs w:val="14"/>
                <w:color w:val="auto"/>
              </w:rPr>
              <w:t>41,715</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12,179</w:t>
            </w:r>
          </w:p>
        </w:tc>
        <w:tc>
          <w:tcPr>
            <w:tcW w:w="1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rPr>
              <w:t>578</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rPr>
              <w:t>522,375</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(196,515</w:t>
            </w: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1,543,941</w:t>
            </w:r>
          </w:p>
        </w:tc>
        <w:tc>
          <w:tcPr>
            <w:tcW w:w="260" w:type="dxa"/>
            <w:vAlign w:val="bottom"/>
            <w:tcBorders>
              <w:bottom w:val="single" w:sz="8" w:color="auto"/>
            </w:tcBorders>
            <w:shd w:val="clear" w:color="auto" w:fill="CCEEFF"/>
          </w:tcPr>
          <w:p>
            <w:pPr>
              <w:ind w:left="80"/>
              <w:spacing w:after="0" w:line="129"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(2,209</w:t>
            </w:r>
            <w:r>
              <w:rPr>
                <w:rFonts w:ascii="Arial" w:cs="Arial" w:eastAsia="Arial" w:hAnsi="Arial"/>
                <w:sz w:val="14"/>
                <w:szCs w:val="14"/>
                <w:b w:val="1"/>
                <w:bCs w:val="1"/>
                <w:color w:val="auto"/>
              </w:rPr>
              <w:t>)</w:t>
            </w:r>
          </w:p>
        </w:tc>
        <w:tc>
          <w:tcPr>
            <w:tcW w:w="2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rPr>
              <w:t>1,868,170</w:t>
            </w:r>
          </w:p>
        </w:tc>
        <w:tc>
          <w:tcPr>
            <w:tcW w:w="220" w:type="dxa"/>
            <w:vAlign w:val="bottom"/>
            <w:tcBorders>
              <w:bottom w:val="single" w:sz="8" w:color="auto"/>
            </w:tcBorders>
            <w:shd w:val="clear" w:color="auto" w:fill="CCEEFF"/>
          </w:tcPr>
          <w:p>
            <w:pPr>
              <w:ind w:left="80"/>
              <w:spacing w:after="0" w:line="129"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rPr>
              <w:t>19,115</w:t>
            </w:r>
          </w:p>
        </w:tc>
        <w:tc>
          <w:tcPr>
            <w:tcW w:w="240" w:type="dxa"/>
            <w:vAlign w:val="bottom"/>
            <w:tcBorders>
              <w:bottom w:val="single" w:sz="8" w:color="auto"/>
            </w:tcBorders>
            <w:shd w:val="clear" w:color="auto" w:fill="CCEEFF"/>
          </w:tcPr>
          <w:p>
            <w:pPr>
              <w:ind w:left="100"/>
              <w:spacing w:after="0" w:line="129"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1,887,285</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ind w:right="188"/>
              <w:spacing w:after="0"/>
              <w:rPr>
                <w:sz w:val="20"/>
                <w:szCs w:val="20"/>
                <w:color w:val="auto"/>
              </w:rPr>
            </w:pPr>
            <w:r>
              <w:rPr>
                <w:rFonts w:ascii="Arial" w:cs="Arial" w:eastAsia="Arial" w:hAnsi="Arial"/>
                <w:sz w:val="14"/>
                <w:szCs w:val="14"/>
                <w:color w:val="auto"/>
                <w:w w:val="96"/>
              </w:rPr>
              <w:t>Total</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2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1"/>
              </w:rPr>
              <w:t>Rush</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100" w:type="dxa"/>
            <w:vAlign w:val="bottom"/>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4"/>
              </w:rPr>
              <w:t>Common Stock</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Accumulated</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Enterprises,</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100" w:type="dxa"/>
            <w:vAlign w:val="bottom"/>
          </w:tcPr>
          <w:p>
            <w:pPr>
              <w:spacing w:after="0"/>
              <w:rPr>
                <w:sz w:val="12"/>
                <w:szCs w:val="12"/>
                <w:color w:val="auto"/>
              </w:rPr>
            </w:pPr>
          </w:p>
        </w:tc>
        <w:tc>
          <w:tcPr>
            <w:tcW w:w="920" w:type="dxa"/>
            <w:vAlign w:val="bottom"/>
          </w:tcPr>
          <w:p>
            <w:pPr>
              <w:jc w:val="center"/>
              <w:ind w:left="468"/>
              <w:spacing w:after="0" w:line="149" w:lineRule="exact"/>
              <w:rPr>
                <w:sz w:val="20"/>
                <w:szCs w:val="20"/>
                <w:color w:val="auto"/>
              </w:rPr>
            </w:pPr>
            <w:r>
              <w:rPr>
                <w:rFonts w:ascii="Arial" w:cs="Arial" w:eastAsia="Arial" w:hAnsi="Arial"/>
                <w:sz w:val="14"/>
                <w:szCs w:val="14"/>
                <w:color w:val="auto"/>
                <w:w w:val="85"/>
              </w:rPr>
              <w:t>Shares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96"/>
              </w:rPr>
              <w:t>$0.01</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Additional</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jc w:val="center"/>
              <w:ind w:right="268"/>
              <w:spacing w:after="0" w:line="149" w:lineRule="exact"/>
              <w:rPr>
                <w:sz w:val="20"/>
                <w:szCs w:val="20"/>
                <w:color w:val="auto"/>
              </w:rPr>
            </w:pPr>
            <w:r>
              <w:rPr>
                <w:rFonts w:ascii="Arial" w:cs="Arial" w:eastAsia="Arial" w:hAnsi="Arial"/>
                <w:sz w:val="14"/>
                <w:szCs w:val="14"/>
                <w:color w:val="auto"/>
                <w:w w:val="96"/>
              </w:rPr>
              <w:t>Other</w:t>
            </w:r>
          </w:p>
        </w:tc>
        <w:tc>
          <w:tcPr>
            <w:tcW w:w="220" w:type="dxa"/>
            <w:vAlign w:val="bottom"/>
          </w:tcPr>
          <w:p>
            <w:pPr>
              <w:spacing w:after="0"/>
              <w:rPr>
                <w:sz w:val="12"/>
                <w:szCs w:val="12"/>
                <w:color w:val="auto"/>
              </w:rPr>
            </w:pPr>
          </w:p>
        </w:tc>
        <w:tc>
          <w:tcPr>
            <w:tcW w:w="80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7"/>
              </w:rPr>
              <w:t>Inc.</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Total</w:t>
            </w:r>
          </w:p>
        </w:tc>
      </w:tr>
      <w:tr>
        <w:trPr>
          <w:trHeight w:val="167"/>
        </w:trPr>
        <w:tc>
          <w:tcPr>
            <w:tcW w:w="2100" w:type="dxa"/>
            <w:vAlign w:val="bottom"/>
          </w:tcPr>
          <w:p>
            <w:pPr>
              <w:spacing w:after="0"/>
              <w:rPr>
                <w:sz w:val="14"/>
                <w:szCs w:val="14"/>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4"/>
                <w:szCs w:val="14"/>
                <w:color w:val="auto"/>
                <w:w w:val="92"/>
              </w:rPr>
              <w:t>Outstanding</w:t>
            </w:r>
          </w:p>
        </w:tc>
        <w:tc>
          <w:tcPr>
            <w:tcW w:w="180" w:type="dxa"/>
            <w:vAlign w:val="bottom"/>
          </w:tcPr>
          <w:p>
            <w:pPr>
              <w:spacing w:after="0"/>
              <w:rPr>
                <w:sz w:val="14"/>
                <w:szCs w:val="14"/>
                <w:color w:val="auto"/>
              </w:rPr>
            </w:pPr>
          </w:p>
        </w:tc>
        <w:tc>
          <w:tcPr>
            <w:tcW w:w="600" w:type="dxa"/>
            <w:vAlign w:val="bottom"/>
          </w:tcPr>
          <w:p>
            <w:pPr>
              <w:jc w:val="right"/>
              <w:ind w:right="228"/>
              <w:spacing w:after="0"/>
              <w:rPr>
                <w:sz w:val="20"/>
                <w:szCs w:val="20"/>
                <w:color w:val="auto"/>
              </w:rPr>
            </w:pPr>
            <w:r>
              <w:rPr>
                <w:rFonts w:ascii="Arial" w:cs="Arial" w:eastAsia="Arial" w:hAnsi="Arial"/>
                <w:sz w:val="14"/>
                <w:szCs w:val="14"/>
                <w:color w:val="auto"/>
              </w:rPr>
              <w:t>Par</w:t>
            </w:r>
          </w:p>
        </w:tc>
        <w:tc>
          <w:tcPr>
            <w:tcW w:w="180" w:type="dxa"/>
            <w:vAlign w:val="bottom"/>
          </w:tcPr>
          <w:p>
            <w:pPr>
              <w:spacing w:after="0"/>
              <w:rPr>
                <w:sz w:val="14"/>
                <w:szCs w:val="14"/>
                <w:color w:val="auto"/>
              </w:rPr>
            </w:pPr>
          </w:p>
        </w:tc>
        <w:tc>
          <w:tcPr>
            <w:tcW w:w="700" w:type="dxa"/>
            <w:vAlign w:val="bottom"/>
          </w:tcPr>
          <w:p>
            <w:pPr>
              <w:jc w:val="center"/>
              <w:ind w:right="128"/>
              <w:spacing w:after="0"/>
              <w:rPr>
                <w:sz w:val="20"/>
                <w:szCs w:val="20"/>
                <w:color w:val="auto"/>
              </w:rPr>
            </w:pPr>
            <w:r>
              <w:rPr>
                <w:rFonts w:ascii="Arial" w:cs="Arial" w:eastAsia="Arial" w:hAnsi="Arial"/>
                <w:sz w:val="14"/>
                <w:szCs w:val="14"/>
                <w:color w:val="auto"/>
                <w:w w:val="95"/>
              </w:rPr>
              <w:t>Paid -In</w:t>
            </w:r>
          </w:p>
        </w:tc>
        <w:tc>
          <w:tcPr>
            <w:tcW w:w="840" w:type="dxa"/>
            <w:vAlign w:val="bottom"/>
            <w:gridSpan w:val="2"/>
          </w:tcPr>
          <w:p>
            <w:pPr>
              <w:jc w:val="right"/>
              <w:ind w:right="108"/>
              <w:spacing w:after="0"/>
              <w:rPr>
                <w:sz w:val="20"/>
                <w:szCs w:val="20"/>
                <w:color w:val="auto"/>
              </w:rPr>
            </w:pPr>
            <w:r>
              <w:rPr>
                <w:rFonts w:ascii="Arial" w:cs="Arial" w:eastAsia="Arial" w:hAnsi="Arial"/>
                <w:sz w:val="14"/>
                <w:szCs w:val="14"/>
                <w:color w:val="auto"/>
              </w:rPr>
              <w:t>Treasury</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Retained</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1"/>
              </w:rPr>
              <w:t>Comprehensive</w:t>
            </w:r>
          </w:p>
        </w:tc>
        <w:tc>
          <w:tcPr>
            <w:tcW w:w="1020" w:type="dxa"/>
            <w:vAlign w:val="bottom"/>
            <w:gridSpan w:val="2"/>
          </w:tcPr>
          <w:p>
            <w:pPr>
              <w:jc w:val="center"/>
              <w:spacing w:after="0"/>
              <w:rPr>
                <w:sz w:val="20"/>
                <w:szCs w:val="20"/>
                <w:color w:val="auto"/>
              </w:rPr>
            </w:pPr>
            <w:r>
              <w:rPr>
                <w:rFonts w:ascii="Arial" w:cs="Arial" w:eastAsia="Arial" w:hAnsi="Arial"/>
                <w:sz w:val="14"/>
                <w:szCs w:val="14"/>
                <w:color w:val="auto"/>
                <w:w w:val="92"/>
              </w:rPr>
              <w:t>Shareholders’</w:t>
            </w:r>
          </w:p>
        </w:tc>
        <w:tc>
          <w:tcPr>
            <w:tcW w:w="1040" w:type="dxa"/>
            <w:vAlign w:val="bottom"/>
            <w:gridSpan w:val="2"/>
          </w:tcPr>
          <w:p>
            <w:pPr>
              <w:ind w:left="80"/>
              <w:spacing w:after="0"/>
              <w:rPr>
                <w:sz w:val="20"/>
                <w:szCs w:val="20"/>
                <w:color w:val="auto"/>
              </w:rPr>
            </w:pPr>
            <w:r>
              <w:rPr>
                <w:rFonts w:ascii="Arial" w:cs="Arial" w:eastAsia="Arial" w:hAnsi="Arial"/>
                <w:sz w:val="14"/>
                <w:szCs w:val="14"/>
                <w:color w:val="auto"/>
              </w:rPr>
              <w:t>Noncontrolling</w:t>
            </w:r>
          </w:p>
        </w:tc>
        <w:tc>
          <w:tcPr>
            <w:tcW w:w="1020" w:type="dxa"/>
            <w:vAlign w:val="bottom"/>
            <w:gridSpan w:val="3"/>
          </w:tcPr>
          <w:p>
            <w:pPr>
              <w:ind w:left="120"/>
              <w:spacing w:after="0"/>
              <w:rPr>
                <w:sz w:val="20"/>
                <w:szCs w:val="20"/>
                <w:color w:val="auto"/>
              </w:rPr>
            </w:pPr>
            <w:r>
              <w:rPr>
                <w:rFonts w:ascii="Arial" w:cs="Arial" w:eastAsia="Arial" w:hAnsi="Arial"/>
                <w:sz w:val="14"/>
                <w:szCs w:val="14"/>
                <w:color w:val="auto"/>
              </w:rPr>
              <w:t>Shareholders’</w:t>
            </w:r>
          </w:p>
        </w:tc>
      </w:tr>
      <w:tr>
        <w:trPr>
          <w:trHeight w:val="142"/>
        </w:trPr>
        <w:tc>
          <w:tcPr>
            <w:tcW w:w="2100" w:type="dxa"/>
            <w:vAlign w:val="bottom"/>
          </w:tcPr>
          <w:p>
            <w:pPr>
              <w:spacing w:after="0"/>
              <w:rPr>
                <w:sz w:val="12"/>
                <w:szCs w:val="12"/>
                <w:color w:val="auto"/>
              </w:rPr>
            </w:pPr>
          </w:p>
        </w:tc>
        <w:tc>
          <w:tcPr>
            <w:tcW w:w="920" w:type="dxa"/>
            <w:vAlign w:val="bottom"/>
            <w:tcBorders>
              <w:top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rPr>
              <w:t>Class A</w:t>
            </w:r>
          </w:p>
        </w:tc>
        <w:tc>
          <w:tcPr>
            <w:tcW w:w="54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86"/>
              </w:rPr>
              <w:t>Class B</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168"/>
              <w:spacing w:after="0" w:line="142" w:lineRule="exact"/>
              <w:rPr>
                <w:sz w:val="20"/>
                <w:szCs w:val="20"/>
                <w:color w:val="auto"/>
              </w:rPr>
            </w:pPr>
            <w:r>
              <w:rPr>
                <w:rFonts w:ascii="Arial" w:cs="Arial" w:eastAsia="Arial" w:hAnsi="Arial"/>
                <w:sz w:val="14"/>
                <w:szCs w:val="14"/>
                <w:color w:val="auto"/>
                <w:w w:val="94"/>
              </w:rPr>
              <w:t>Value</w:t>
            </w:r>
          </w:p>
        </w:tc>
        <w:tc>
          <w:tcPr>
            <w:tcW w:w="180" w:type="dxa"/>
            <w:vAlign w:val="bottom"/>
          </w:tcPr>
          <w:p>
            <w:pPr>
              <w:spacing w:after="0"/>
              <w:rPr>
                <w:sz w:val="12"/>
                <w:szCs w:val="12"/>
                <w:color w:val="auto"/>
              </w:rPr>
            </w:pPr>
          </w:p>
        </w:tc>
        <w:tc>
          <w:tcPr>
            <w:tcW w:w="700" w:type="dxa"/>
            <w:vAlign w:val="bottom"/>
          </w:tcPr>
          <w:p>
            <w:pPr>
              <w:jc w:val="center"/>
              <w:ind w:right="128"/>
              <w:spacing w:after="0" w:line="142" w:lineRule="exact"/>
              <w:rPr>
                <w:sz w:val="20"/>
                <w:szCs w:val="20"/>
                <w:color w:val="auto"/>
              </w:rPr>
            </w:pPr>
            <w:r>
              <w:rPr>
                <w:rFonts w:ascii="Arial" w:cs="Arial" w:eastAsia="Arial" w:hAnsi="Arial"/>
                <w:sz w:val="14"/>
                <w:szCs w:val="14"/>
                <w:color w:val="auto"/>
                <w:w w:val="96"/>
              </w:rPr>
              <w:t>Capital</w:t>
            </w:r>
          </w:p>
        </w:tc>
        <w:tc>
          <w:tcPr>
            <w:tcW w:w="200" w:type="dxa"/>
            <w:vAlign w:val="bottom"/>
          </w:tcPr>
          <w:p>
            <w:pPr>
              <w:spacing w:after="0"/>
              <w:rPr>
                <w:sz w:val="12"/>
                <w:szCs w:val="12"/>
                <w:color w:val="auto"/>
              </w:rPr>
            </w:pPr>
          </w:p>
        </w:tc>
        <w:tc>
          <w:tcPr>
            <w:tcW w:w="640" w:type="dxa"/>
            <w:vAlign w:val="bottom"/>
          </w:tcPr>
          <w:p>
            <w:pPr>
              <w:jc w:val="right"/>
              <w:ind w:right="208"/>
              <w:spacing w:after="0" w:line="142" w:lineRule="exact"/>
              <w:rPr>
                <w:sz w:val="20"/>
                <w:szCs w:val="20"/>
                <w:color w:val="auto"/>
              </w:rPr>
            </w:pPr>
            <w:r>
              <w:rPr>
                <w:rFonts w:ascii="Arial" w:cs="Arial" w:eastAsia="Arial" w:hAnsi="Arial"/>
                <w:sz w:val="14"/>
                <w:szCs w:val="14"/>
                <w:color w:val="auto"/>
                <w:w w:val="96"/>
              </w:rPr>
              <w:t>Stock</w:t>
            </w:r>
          </w:p>
        </w:tc>
        <w:tc>
          <w:tcPr>
            <w:tcW w:w="880" w:type="dxa"/>
            <w:vAlign w:val="bottom"/>
          </w:tcPr>
          <w:p>
            <w:pPr>
              <w:jc w:val="right"/>
              <w:ind w:right="128"/>
              <w:spacing w:after="0" w:line="142" w:lineRule="exact"/>
              <w:rPr>
                <w:sz w:val="20"/>
                <w:szCs w:val="20"/>
                <w:color w:val="auto"/>
              </w:rPr>
            </w:pPr>
            <w:r>
              <w:rPr>
                <w:rFonts w:ascii="Arial" w:cs="Arial" w:eastAsia="Arial" w:hAnsi="Arial"/>
                <w:sz w:val="14"/>
                <w:szCs w:val="14"/>
                <w:color w:val="auto"/>
              </w:rPr>
              <w:t>Earnings</w:t>
            </w:r>
          </w:p>
        </w:tc>
        <w:tc>
          <w:tcPr>
            <w:tcW w:w="110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4"/>
              </w:rPr>
              <w:t>Income (Loss)</w:t>
            </w:r>
          </w:p>
        </w:tc>
        <w:tc>
          <w:tcPr>
            <w:tcW w:w="220" w:type="dxa"/>
            <w:vAlign w:val="bottom"/>
          </w:tcPr>
          <w:p>
            <w:pPr>
              <w:spacing w:after="0"/>
              <w:rPr>
                <w:sz w:val="12"/>
                <w:szCs w:val="12"/>
                <w:color w:val="auto"/>
              </w:rPr>
            </w:pPr>
          </w:p>
        </w:tc>
        <w:tc>
          <w:tcPr>
            <w:tcW w:w="800" w:type="dxa"/>
            <w:vAlign w:val="bottom"/>
          </w:tcPr>
          <w:p>
            <w:pPr>
              <w:jc w:val="center"/>
              <w:ind w:right="188"/>
              <w:spacing w:after="0" w:line="142" w:lineRule="exact"/>
              <w:rPr>
                <w:sz w:val="20"/>
                <w:szCs w:val="20"/>
                <w:color w:val="auto"/>
              </w:rPr>
            </w:pPr>
            <w:r>
              <w:rPr>
                <w:rFonts w:ascii="Arial" w:cs="Arial" w:eastAsia="Arial" w:hAnsi="Arial"/>
                <w:sz w:val="14"/>
                <w:szCs w:val="14"/>
                <w:color w:val="auto"/>
                <w:w w:val="97"/>
              </w:rPr>
              <w:t>Equity</w:t>
            </w:r>
          </w:p>
        </w:tc>
        <w:tc>
          <w:tcPr>
            <w:tcW w:w="220" w:type="dxa"/>
            <w:vAlign w:val="bottom"/>
          </w:tcPr>
          <w:p>
            <w:pPr>
              <w:spacing w:after="0"/>
              <w:rPr>
                <w:sz w:val="12"/>
                <w:szCs w:val="12"/>
                <w:color w:val="auto"/>
              </w:rPr>
            </w:pPr>
          </w:p>
        </w:tc>
        <w:tc>
          <w:tcPr>
            <w:tcW w:w="820" w:type="dxa"/>
            <w:vAlign w:val="bottom"/>
          </w:tcPr>
          <w:p>
            <w:pPr>
              <w:jc w:val="right"/>
              <w:ind w:right="248"/>
              <w:spacing w:after="0" w:line="142" w:lineRule="exact"/>
              <w:rPr>
                <w:sz w:val="20"/>
                <w:szCs w:val="20"/>
                <w:color w:val="auto"/>
              </w:rPr>
            </w:pPr>
            <w:r>
              <w:rPr>
                <w:rFonts w:ascii="Arial" w:cs="Arial" w:eastAsia="Arial" w:hAnsi="Arial"/>
                <w:sz w:val="14"/>
                <w:szCs w:val="14"/>
                <w:color w:val="auto"/>
              </w:rPr>
              <w:t>Interest</w:t>
            </w:r>
          </w:p>
        </w:tc>
        <w:tc>
          <w:tcPr>
            <w:tcW w:w="240" w:type="dxa"/>
            <w:vAlign w:val="bottom"/>
          </w:tcPr>
          <w:p>
            <w:pPr>
              <w:spacing w:after="0"/>
              <w:rPr>
                <w:sz w:val="12"/>
                <w:szCs w:val="12"/>
                <w:color w:val="auto"/>
              </w:rPr>
            </w:pPr>
          </w:p>
        </w:tc>
        <w:tc>
          <w:tcPr>
            <w:tcW w:w="78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Equity</w:t>
            </w:r>
          </w:p>
        </w:tc>
      </w:tr>
      <w:tr>
        <w:trPr>
          <w:trHeight w:val="142"/>
        </w:trPr>
        <w:tc>
          <w:tcPr>
            <w:tcW w:w="2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2021</w:t>
            </w:r>
          </w:p>
        </w:tc>
        <w:tc>
          <w:tcPr>
            <w:tcW w:w="92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43,108</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12,399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563</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470,750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(36,933</w:t>
            </w:r>
            <w:r>
              <w:rPr>
                <w:rFonts w:ascii="Arial" w:cs="Arial" w:eastAsia="Arial" w:hAnsi="Arial"/>
                <w:sz w:val="14"/>
                <w:szCs w:val="14"/>
                <w:b w:val="1"/>
                <w:bCs w:val="1"/>
                <w:color w:val="auto"/>
              </w:rPr>
              <w:t>)</w:t>
            </w:r>
          </w:p>
        </w:tc>
        <w:tc>
          <w:tcPr>
            <w:tcW w:w="8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1,031,582</w:t>
            </w:r>
          </w:p>
        </w:tc>
        <w:tc>
          <w:tcPr>
            <w:tcW w:w="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787</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1,466,749</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1,466,749</w:t>
            </w:r>
          </w:p>
        </w:tc>
      </w:tr>
      <w:tr>
        <w:trPr>
          <w:trHeight w:val="130"/>
        </w:trPr>
        <w:tc>
          <w:tcPr>
            <w:tcW w:w="2100" w:type="dxa"/>
            <w:vAlign w:val="bottom"/>
          </w:tcPr>
          <w:p>
            <w:pPr>
              <w:spacing w:after="0" w:line="130" w:lineRule="exact"/>
              <w:rPr>
                <w:sz w:val="20"/>
                <w:szCs w:val="20"/>
                <w:color w:val="auto"/>
              </w:rPr>
            </w:pPr>
            <w:r>
              <w:rPr>
                <w:rFonts w:ascii="Arial" w:cs="Arial" w:eastAsia="Arial" w:hAnsi="Arial"/>
                <w:sz w:val="14"/>
                <w:szCs w:val="14"/>
                <w:color w:val="auto"/>
                <w:w w:val="98"/>
              </w:rPr>
              <w:t>Stock options exercised and stock</w:t>
            </w: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100" w:type="dxa"/>
            <w:vAlign w:val="bottom"/>
          </w:tcPr>
          <w:p>
            <w:pPr>
              <w:ind w:left="180"/>
              <w:spacing w:after="0"/>
              <w:rPr>
                <w:sz w:val="20"/>
                <w:szCs w:val="20"/>
                <w:color w:val="auto"/>
              </w:rPr>
            </w:pPr>
            <w:r>
              <w:rPr>
                <w:rFonts w:ascii="Arial" w:cs="Arial" w:eastAsia="Arial" w:hAnsi="Arial"/>
                <w:sz w:val="14"/>
                <w:szCs w:val="14"/>
                <w:color w:val="auto"/>
              </w:rPr>
              <w:t>awards</w:t>
            </w:r>
          </w:p>
        </w:tc>
        <w:tc>
          <w:tcPr>
            <w:tcW w:w="920" w:type="dxa"/>
            <w:vAlign w:val="bottom"/>
          </w:tcPr>
          <w:p>
            <w:pPr>
              <w:jc w:val="right"/>
              <w:ind w:right="208"/>
              <w:spacing w:after="0"/>
              <w:rPr>
                <w:sz w:val="20"/>
                <w:szCs w:val="20"/>
                <w:color w:val="auto"/>
              </w:rPr>
            </w:pPr>
            <w:r>
              <w:rPr>
                <w:rFonts w:ascii="Arial" w:cs="Arial" w:eastAsia="Arial" w:hAnsi="Arial"/>
                <w:sz w:val="14"/>
                <w:szCs w:val="14"/>
                <w:color w:val="auto"/>
              </w:rPr>
              <w:t>112</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2,384</w:t>
            </w:r>
          </w:p>
        </w:tc>
        <w:tc>
          <w:tcPr>
            <w:tcW w:w="2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2,385</w:t>
            </w:r>
          </w:p>
        </w:tc>
        <w:tc>
          <w:tcPr>
            <w:tcW w:w="2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2,385</w:t>
            </w:r>
          </w:p>
        </w:tc>
        <w:tc>
          <w:tcPr>
            <w:tcW w:w="100" w:type="dxa"/>
            <w:vAlign w:val="bottom"/>
          </w:tcPr>
          <w:p>
            <w:pPr>
              <w:spacing w:after="0"/>
              <w:rPr>
                <w:sz w:val="14"/>
                <w:szCs w:val="14"/>
                <w:color w:val="auto"/>
              </w:rPr>
            </w:pPr>
          </w:p>
        </w:tc>
      </w:tr>
      <w:tr>
        <w:trPr>
          <w:trHeight w:val="130"/>
        </w:trPr>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Stock-based compensation related</w:t>
            </w:r>
          </w:p>
        </w:tc>
        <w:tc>
          <w:tcPr>
            <w:tcW w:w="9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8"/>
        </w:trPr>
        <w:tc>
          <w:tcPr>
            <w:tcW w:w="21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to stock options, restricted</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1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shares and employee stock</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plan</w:t>
            </w:r>
          </w:p>
        </w:tc>
        <w:tc>
          <w:tcPr>
            <w:tcW w:w="9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13,793</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13,793</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13,793</w:t>
            </w:r>
          </w:p>
        </w:tc>
        <w:tc>
          <w:tcPr>
            <w:tcW w:w="100" w:type="dxa"/>
            <w:vAlign w:val="bottom"/>
            <w:shd w:val="clear" w:color="auto" w:fill="CCEEFF"/>
          </w:tcPr>
          <w:p>
            <w:pPr>
              <w:spacing w:after="0"/>
              <w:rPr>
                <w:sz w:val="14"/>
                <w:szCs w:val="14"/>
                <w:color w:val="auto"/>
              </w:rPr>
            </w:pPr>
          </w:p>
        </w:tc>
      </w:tr>
      <w:tr>
        <w:trPr>
          <w:trHeight w:val="148"/>
        </w:trPr>
        <w:tc>
          <w:tcPr>
            <w:tcW w:w="2100" w:type="dxa"/>
            <w:vAlign w:val="bottom"/>
          </w:tcPr>
          <w:p>
            <w:pPr>
              <w:spacing w:after="0" w:line="149" w:lineRule="exact"/>
              <w:rPr>
                <w:sz w:val="20"/>
                <w:szCs w:val="20"/>
                <w:color w:val="auto"/>
              </w:rPr>
            </w:pPr>
            <w:r>
              <w:rPr>
                <w:rFonts w:ascii="Arial" w:cs="Arial" w:eastAsia="Arial" w:hAnsi="Arial"/>
                <w:sz w:val="14"/>
                <w:szCs w:val="14"/>
                <w:color w:val="auto"/>
                <w:w w:val="98"/>
              </w:rPr>
              <w:t>Vesting of restricted share awards</w:t>
            </w:r>
          </w:p>
        </w:tc>
        <w:tc>
          <w:tcPr>
            <w:tcW w:w="9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(7,215)</w:t>
            </w:r>
          </w:p>
        </w:tc>
        <w:tc>
          <w:tcPr>
            <w:tcW w:w="20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(7,212)</w:t>
            </w:r>
          </w:p>
        </w:tc>
        <w:tc>
          <w:tcPr>
            <w:tcW w:w="22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(7,212)</w:t>
            </w:r>
          </w:p>
        </w:tc>
      </w:tr>
      <w:tr>
        <w:trPr>
          <w:trHeight w:val="130"/>
        </w:trPr>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under</w:t>
            </w:r>
          </w:p>
        </w:tc>
        <w:tc>
          <w:tcPr>
            <w:tcW w:w="9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stock purchase plan</w:t>
            </w:r>
          </w:p>
        </w:tc>
        <w:tc>
          <w:tcPr>
            <w:tcW w:w="9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66</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2,434</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2,435</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2,435</w:t>
            </w:r>
          </w:p>
        </w:tc>
        <w:tc>
          <w:tcPr>
            <w:tcW w:w="100" w:type="dxa"/>
            <w:vAlign w:val="bottom"/>
            <w:shd w:val="clear" w:color="auto" w:fill="CCEEFF"/>
          </w:tcPr>
          <w:p>
            <w:pPr>
              <w:spacing w:after="0"/>
              <w:rPr>
                <w:sz w:val="14"/>
                <w:szCs w:val="14"/>
                <w:color w:val="auto"/>
              </w:rPr>
            </w:pPr>
          </w:p>
        </w:tc>
      </w:tr>
      <w:tr>
        <w:trPr>
          <w:trHeight w:val="148"/>
        </w:trPr>
        <w:tc>
          <w:tcPr>
            <w:tcW w:w="2100" w:type="dxa"/>
            <w:vAlign w:val="bottom"/>
          </w:tcPr>
          <w:p>
            <w:pPr>
              <w:spacing w:after="0" w:line="149" w:lineRule="exact"/>
              <w:rPr>
                <w:sz w:val="20"/>
                <w:szCs w:val="20"/>
                <w:color w:val="auto"/>
              </w:rPr>
            </w:pPr>
            <w:r>
              <w:rPr>
                <w:rFonts w:ascii="Arial" w:cs="Arial" w:eastAsia="Arial" w:hAnsi="Arial"/>
                <w:sz w:val="14"/>
                <w:szCs w:val="14"/>
                <w:color w:val="auto"/>
              </w:rPr>
              <w:t>Common stock repurchases</w:t>
            </w:r>
          </w:p>
        </w:tc>
        <w:tc>
          <w:tcPr>
            <w:tcW w:w="9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(192)</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(104)</w:t>
            </w:r>
          </w:p>
        </w:tc>
        <w:tc>
          <w:tcPr>
            <w:tcW w:w="18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(15,315)</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(15,315)</w:t>
            </w:r>
          </w:p>
        </w:tc>
        <w:tc>
          <w:tcPr>
            <w:tcW w:w="22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(15,315)</w:t>
            </w:r>
          </w:p>
        </w:tc>
      </w:tr>
      <w:tr>
        <w:trPr>
          <w:trHeight w:val="148"/>
        </w:trPr>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Class A common stock</w:t>
            </w:r>
          </w:p>
        </w:tc>
        <w:tc>
          <w:tcPr>
            <w:tcW w:w="92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(8,189)</w:t>
            </w:r>
          </w:p>
        </w:tc>
        <w:tc>
          <w:tcPr>
            <w:tcW w:w="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(8,189)</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(8,189)</w:t>
            </w:r>
          </w:p>
        </w:tc>
      </w:tr>
      <w:tr>
        <w:trPr>
          <w:trHeight w:val="148"/>
        </w:trPr>
        <w:tc>
          <w:tcPr>
            <w:tcW w:w="2100" w:type="dxa"/>
            <w:vAlign w:val="bottom"/>
          </w:tcPr>
          <w:p>
            <w:pPr>
              <w:spacing w:after="0" w:line="149" w:lineRule="exact"/>
              <w:rPr>
                <w:sz w:val="20"/>
                <w:szCs w:val="20"/>
                <w:color w:val="auto"/>
              </w:rPr>
            </w:pPr>
            <w:r>
              <w:rPr>
                <w:rFonts w:ascii="Arial" w:cs="Arial" w:eastAsia="Arial" w:hAnsi="Arial"/>
                <w:sz w:val="14"/>
                <w:szCs w:val="14"/>
                <w:color w:val="auto"/>
              </w:rPr>
              <w:t>Dividend Class B common stock</w:t>
            </w:r>
          </w:p>
        </w:tc>
        <w:tc>
          <w:tcPr>
            <w:tcW w:w="9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(2,505)</w:t>
            </w:r>
          </w:p>
        </w:tc>
        <w:tc>
          <w:tcPr>
            <w:tcW w:w="3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(2,505)</w:t>
            </w:r>
          </w:p>
        </w:tc>
        <w:tc>
          <w:tcPr>
            <w:tcW w:w="22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(2,505)</w:t>
            </w:r>
          </w:p>
        </w:tc>
      </w:tr>
      <w:tr>
        <w:trPr>
          <w:trHeight w:val="130"/>
        </w:trPr>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 translation</w:t>
            </w:r>
          </w:p>
        </w:tc>
        <w:tc>
          <w:tcPr>
            <w:tcW w:w="9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w:t>
            </w:r>
          </w:p>
        </w:tc>
        <w:tc>
          <w:tcPr>
            <w:tcW w:w="9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445</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445</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445</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92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92,453</w:t>
            </w: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92,453</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92,453</w:t>
            </w:r>
          </w:p>
        </w:tc>
        <w:tc>
          <w:tcPr>
            <w:tcW w:w="100" w:type="dxa"/>
            <w:vAlign w:val="bottom"/>
          </w:tcPr>
          <w:p>
            <w:pPr>
              <w:spacing w:after="0"/>
              <w:rPr>
                <w:sz w:val="12"/>
                <w:szCs w:val="12"/>
                <w:color w:val="auto"/>
              </w:rPr>
            </w:pPr>
          </w:p>
        </w:tc>
      </w:tr>
      <w:tr>
        <w:trPr>
          <w:trHeight w:val="142"/>
        </w:trPr>
        <w:tc>
          <w:tcPr>
            <w:tcW w:w="21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March 31, 2022</w:t>
            </w:r>
          </w:p>
        </w:tc>
        <w:tc>
          <w:tcPr>
            <w:tcW w:w="920" w:type="dxa"/>
            <w:vAlign w:val="bottom"/>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rPr>
              <w:t>43,094</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12,597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568</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482,146</w:t>
            </w: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(52,248</w:t>
            </w:r>
            <w:r>
              <w:rPr>
                <w:rFonts w:ascii="Arial" w:cs="Arial" w:eastAsia="Arial" w:hAnsi="Arial"/>
                <w:sz w:val="14"/>
                <w:szCs w:val="14"/>
                <w:b w:val="1"/>
                <w:bCs w:val="1"/>
                <w:color w:val="auto"/>
              </w:rPr>
              <w:t>)</w:t>
            </w:r>
          </w:p>
        </w:tc>
        <w:tc>
          <w:tcPr>
            <w:tcW w:w="88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1,113,341</w:t>
            </w:r>
          </w:p>
        </w:tc>
        <w:tc>
          <w:tcPr>
            <w:tcW w:w="30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1,232</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1,545,039</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1,545,039</w:t>
            </w:r>
          </w:p>
        </w:tc>
        <w:tc>
          <w:tcPr>
            <w:tcW w:w="100" w:type="dxa"/>
            <w:vAlign w:val="bottom"/>
            <w:shd w:val="clear" w:color="auto" w:fill="CCEEFF"/>
          </w:tcPr>
          <w:p>
            <w:pPr>
              <w:spacing w:after="0"/>
              <w:rPr>
                <w:sz w:val="12"/>
                <w:szCs w:val="12"/>
                <w:color w:val="auto"/>
              </w:rPr>
            </w:pPr>
          </w:p>
        </w:tc>
      </w:tr>
      <w:tr>
        <w:trPr>
          <w:trHeight w:val="130"/>
        </w:trPr>
        <w:tc>
          <w:tcPr>
            <w:tcW w:w="2100" w:type="dxa"/>
            <w:vAlign w:val="bottom"/>
          </w:tcPr>
          <w:p>
            <w:pPr>
              <w:spacing w:after="0" w:line="130" w:lineRule="exact"/>
              <w:rPr>
                <w:sz w:val="20"/>
                <w:szCs w:val="20"/>
                <w:color w:val="auto"/>
              </w:rPr>
            </w:pPr>
            <w:r>
              <w:rPr>
                <w:rFonts w:ascii="Arial" w:cs="Arial" w:eastAsia="Arial" w:hAnsi="Arial"/>
                <w:sz w:val="14"/>
                <w:szCs w:val="14"/>
                <w:color w:val="auto"/>
                <w:w w:val="98"/>
              </w:rPr>
              <w:t>Stock options exercised and stock</w:t>
            </w: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100" w:type="dxa"/>
            <w:vAlign w:val="bottom"/>
          </w:tcPr>
          <w:p>
            <w:pPr>
              <w:ind w:left="180"/>
              <w:spacing w:after="0"/>
              <w:rPr>
                <w:sz w:val="20"/>
                <w:szCs w:val="20"/>
                <w:color w:val="auto"/>
              </w:rPr>
            </w:pPr>
            <w:r>
              <w:rPr>
                <w:rFonts w:ascii="Arial" w:cs="Arial" w:eastAsia="Arial" w:hAnsi="Arial"/>
                <w:sz w:val="14"/>
                <w:szCs w:val="14"/>
                <w:color w:val="auto"/>
              </w:rPr>
              <w:t>awards</w:t>
            </w:r>
          </w:p>
        </w:tc>
        <w:tc>
          <w:tcPr>
            <w:tcW w:w="920" w:type="dxa"/>
            <w:vAlign w:val="bottom"/>
          </w:tcPr>
          <w:p>
            <w:pPr>
              <w:jc w:val="right"/>
              <w:ind w:right="208"/>
              <w:spacing w:after="0"/>
              <w:rPr>
                <w:sz w:val="20"/>
                <w:szCs w:val="20"/>
                <w:color w:val="auto"/>
              </w:rPr>
            </w:pPr>
            <w:r>
              <w:rPr>
                <w:rFonts w:ascii="Arial" w:cs="Arial" w:eastAsia="Arial" w:hAnsi="Arial"/>
                <w:sz w:val="14"/>
                <w:szCs w:val="14"/>
                <w:color w:val="auto"/>
              </w:rPr>
              <w:t>162</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3,244</w:t>
            </w:r>
          </w:p>
        </w:tc>
        <w:tc>
          <w:tcPr>
            <w:tcW w:w="2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3,246</w:t>
            </w:r>
          </w:p>
        </w:tc>
        <w:tc>
          <w:tcPr>
            <w:tcW w:w="2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3,246</w:t>
            </w:r>
          </w:p>
        </w:tc>
        <w:tc>
          <w:tcPr>
            <w:tcW w:w="100" w:type="dxa"/>
            <w:vAlign w:val="bottom"/>
          </w:tcPr>
          <w:p>
            <w:pPr>
              <w:spacing w:after="0"/>
              <w:rPr>
                <w:sz w:val="14"/>
                <w:szCs w:val="14"/>
                <w:color w:val="auto"/>
              </w:rPr>
            </w:pPr>
          </w:p>
        </w:tc>
      </w:tr>
      <w:tr>
        <w:trPr>
          <w:trHeight w:val="130"/>
        </w:trPr>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Stock-based compensation related</w:t>
            </w:r>
          </w:p>
        </w:tc>
        <w:tc>
          <w:tcPr>
            <w:tcW w:w="9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8"/>
        </w:trPr>
        <w:tc>
          <w:tcPr>
            <w:tcW w:w="21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to stock options, restricted</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21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shares and employee stock</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plan</w:t>
            </w:r>
          </w:p>
        </w:tc>
        <w:tc>
          <w:tcPr>
            <w:tcW w:w="9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4,203</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4,203</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4,203</w:t>
            </w:r>
          </w:p>
        </w:tc>
        <w:tc>
          <w:tcPr>
            <w:tcW w:w="100" w:type="dxa"/>
            <w:vAlign w:val="bottom"/>
            <w:shd w:val="clear" w:color="auto" w:fill="CCEEFF"/>
          </w:tcPr>
          <w:p>
            <w:pPr>
              <w:spacing w:after="0"/>
              <w:rPr>
                <w:sz w:val="14"/>
                <w:szCs w:val="14"/>
                <w:color w:val="auto"/>
              </w:rPr>
            </w:pPr>
          </w:p>
        </w:tc>
      </w:tr>
      <w:tr>
        <w:trPr>
          <w:trHeight w:val="148"/>
        </w:trPr>
        <w:tc>
          <w:tcPr>
            <w:tcW w:w="2100" w:type="dxa"/>
            <w:vAlign w:val="bottom"/>
          </w:tcPr>
          <w:p>
            <w:pPr>
              <w:spacing w:after="0" w:line="149" w:lineRule="exact"/>
              <w:rPr>
                <w:sz w:val="20"/>
                <w:szCs w:val="20"/>
                <w:color w:val="auto"/>
              </w:rPr>
            </w:pPr>
            <w:r>
              <w:rPr>
                <w:rFonts w:ascii="Arial" w:cs="Arial" w:eastAsia="Arial" w:hAnsi="Arial"/>
                <w:sz w:val="14"/>
                <w:szCs w:val="14"/>
                <w:color w:val="auto"/>
                <w:w w:val="98"/>
              </w:rPr>
              <w:t>Vesting of restricted share awards</w:t>
            </w:r>
          </w:p>
        </w:tc>
        <w:tc>
          <w:tcPr>
            <w:tcW w:w="9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(1,423)</w:t>
            </w:r>
          </w:p>
        </w:tc>
        <w:tc>
          <w:tcPr>
            <w:tcW w:w="20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(1,423)</w:t>
            </w:r>
          </w:p>
        </w:tc>
        <w:tc>
          <w:tcPr>
            <w:tcW w:w="22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(1,423)</w:t>
            </w:r>
          </w:p>
        </w:tc>
      </w:tr>
      <w:tr>
        <w:trPr>
          <w:trHeight w:val="149"/>
        </w:trPr>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repurchases</w:t>
            </w:r>
          </w:p>
        </w:tc>
        <w:tc>
          <w:tcPr>
            <w:tcW w:w="9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(448)</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(331)</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(38,438)</w:t>
            </w:r>
          </w:p>
        </w:tc>
        <w:tc>
          <w:tcPr>
            <w:tcW w:w="8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(38,438)</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(38,438)</w:t>
            </w:r>
          </w:p>
        </w:tc>
      </w:tr>
      <w:tr>
        <w:trPr>
          <w:trHeight w:val="148"/>
        </w:trPr>
        <w:tc>
          <w:tcPr>
            <w:tcW w:w="2100" w:type="dxa"/>
            <w:vAlign w:val="bottom"/>
          </w:tcPr>
          <w:p>
            <w:pPr>
              <w:spacing w:after="0" w:line="149" w:lineRule="exact"/>
              <w:rPr>
                <w:sz w:val="20"/>
                <w:szCs w:val="20"/>
                <w:color w:val="auto"/>
              </w:rPr>
            </w:pPr>
            <w:r>
              <w:rPr>
                <w:rFonts w:ascii="Arial" w:cs="Arial" w:eastAsia="Arial" w:hAnsi="Arial"/>
                <w:sz w:val="14"/>
                <w:szCs w:val="14"/>
                <w:color w:val="auto"/>
              </w:rPr>
              <w:t>Dividend Class A common stock</w:t>
            </w:r>
          </w:p>
        </w:tc>
        <w:tc>
          <w:tcPr>
            <w:tcW w:w="9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(8,128)</w:t>
            </w:r>
          </w:p>
        </w:tc>
        <w:tc>
          <w:tcPr>
            <w:tcW w:w="3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(8,128)</w:t>
            </w:r>
          </w:p>
        </w:tc>
        <w:tc>
          <w:tcPr>
            <w:tcW w:w="22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(8,128)</w:t>
            </w:r>
          </w:p>
        </w:tc>
      </w:tr>
      <w:tr>
        <w:trPr>
          <w:trHeight w:val="148"/>
        </w:trPr>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Class B common stock</w:t>
            </w:r>
          </w:p>
        </w:tc>
        <w:tc>
          <w:tcPr>
            <w:tcW w:w="92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(2,521)</w:t>
            </w:r>
          </w:p>
        </w:tc>
        <w:tc>
          <w:tcPr>
            <w:tcW w:w="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(2,521)</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(2,521)</w:t>
            </w:r>
          </w:p>
        </w:tc>
      </w:tr>
      <w:tr>
        <w:trPr>
          <w:trHeight w:val="130"/>
        </w:trPr>
        <w:tc>
          <w:tcPr>
            <w:tcW w:w="2100" w:type="dxa"/>
            <w:vAlign w:val="bottom"/>
          </w:tcPr>
          <w:p>
            <w:pPr>
              <w:spacing w:after="0" w:line="130" w:lineRule="exact"/>
              <w:rPr>
                <w:sz w:val="20"/>
                <w:szCs w:val="20"/>
                <w:color w:val="auto"/>
              </w:rPr>
            </w:pPr>
            <w:r>
              <w:rPr>
                <w:rFonts w:ascii="Arial" w:cs="Arial" w:eastAsia="Arial" w:hAnsi="Arial"/>
                <w:sz w:val="14"/>
                <w:szCs w:val="14"/>
                <w:color w:val="auto"/>
              </w:rPr>
              <w:t>Foreign currency translation</w:t>
            </w: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100" w:type="dxa"/>
            <w:vAlign w:val="bottom"/>
          </w:tcPr>
          <w:p>
            <w:pPr>
              <w:ind w:left="180"/>
              <w:spacing w:after="0"/>
              <w:rPr>
                <w:sz w:val="20"/>
                <w:szCs w:val="20"/>
                <w:color w:val="auto"/>
              </w:rPr>
            </w:pPr>
            <w:r>
              <w:rPr>
                <w:rFonts w:ascii="Arial" w:cs="Arial" w:eastAsia="Arial" w:hAnsi="Arial"/>
                <w:sz w:val="14"/>
                <w:szCs w:val="14"/>
                <w:color w:val="auto"/>
              </w:rPr>
              <w:t>adjustment</w:t>
            </w:r>
          </w:p>
        </w:tc>
        <w:tc>
          <w:tcPr>
            <w:tcW w:w="9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(567)</w:t>
            </w:r>
          </w:p>
        </w:tc>
        <w:tc>
          <w:tcPr>
            <w:tcW w:w="2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(567)</w:t>
            </w:r>
          </w:p>
        </w:tc>
        <w:tc>
          <w:tcPr>
            <w:tcW w:w="2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(567)</w:t>
            </w:r>
          </w:p>
        </w:tc>
      </w:tr>
      <w:tr>
        <w:trPr>
          <w:trHeight w:val="130"/>
        </w:trPr>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Reclassification of foreign</w:t>
            </w:r>
          </w:p>
        </w:tc>
        <w:tc>
          <w:tcPr>
            <w:tcW w:w="9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1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currency translation related to</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method</w:t>
            </w:r>
          </w:p>
        </w:tc>
        <w:tc>
          <w:tcPr>
            <w:tcW w:w="9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(601)</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(601)</w:t>
            </w:r>
          </w:p>
        </w:tc>
      </w:tr>
      <w:tr>
        <w:trPr>
          <w:trHeight w:val="148"/>
        </w:trPr>
        <w:tc>
          <w:tcPr>
            <w:tcW w:w="2100" w:type="dxa"/>
            <w:vAlign w:val="bottom"/>
          </w:tcPr>
          <w:p>
            <w:pPr>
              <w:spacing w:after="0" w:line="149" w:lineRule="exact"/>
              <w:rPr>
                <w:sz w:val="20"/>
                <w:szCs w:val="20"/>
                <w:color w:val="auto"/>
              </w:rPr>
            </w:pPr>
            <w:r>
              <w:rPr>
                <w:rFonts w:ascii="Arial" w:cs="Arial" w:eastAsia="Arial" w:hAnsi="Arial"/>
                <w:sz w:val="14"/>
                <w:szCs w:val="14"/>
                <w:color w:val="auto"/>
              </w:rPr>
              <w:t>Noncontrolling interest equity</w:t>
            </w:r>
          </w:p>
        </w:tc>
        <w:tc>
          <w:tcPr>
            <w:tcW w:w="9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17,828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17,828</w:t>
            </w:r>
          </w:p>
        </w:tc>
        <w:tc>
          <w:tcPr>
            <w:tcW w:w="100" w:type="dxa"/>
            <w:vAlign w:val="bottom"/>
          </w:tcPr>
          <w:p>
            <w:pPr>
              <w:spacing w:after="0"/>
              <w:rPr>
                <w:sz w:val="12"/>
                <w:szCs w:val="12"/>
                <w:color w:val="auto"/>
              </w:rPr>
            </w:pPr>
          </w:p>
        </w:tc>
      </w:tr>
      <w:tr>
        <w:trPr>
          <w:trHeight w:val="149"/>
        </w:trPr>
        <w:tc>
          <w:tcPr>
            <w:tcW w:w="210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92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110,227</w:t>
            </w:r>
          </w:p>
        </w:tc>
        <w:tc>
          <w:tcPr>
            <w:tcW w:w="3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110,227</w:t>
            </w: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446</w:t>
            </w:r>
          </w:p>
        </w:tc>
        <w:tc>
          <w:tcPr>
            <w:tcW w:w="2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110,673</w:t>
            </w:r>
          </w:p>
        </w:tc>
        <w:tc>
          <w:tcPr>
            <w:tcW w:w="100" w:type="dxa"/>
            <w:vAlign w:val="bottom"/>
            <w:tcBorders>
              <w:bottom w:val="single" w:sz="8" w:color="CCEEFF"/>
            </w:tcBorders>
            <w:shd w:val="clear" w:color="auto" w:fill="CCEEFF"/>
          </w:tcPr>
          <w:p>
            <w:pPr>
              <w:spacing w:after="0"/>
              <w:rPr>
                <w:sz w:val="12"/>
                <w:szCs w:val="12"/>
                <w:color w:val="auto"/>
              </w:rPr>
            </w:pPr>
          </w:p>
        </w:tc>
      </w:tr>
      <w:tr>
        <w:trPr>
          <w:trHeight w:val="142"/>
        </w:trPr>
        <w:tc>
          <w:tcPr>
            <w:tcW w:w="2100" w:type="dxa"/>
            <w:vAlign w:val="bottom"/>
          </w:tcPr>
          <w:p>
            <w:pPr>
              <w:spacing w:after="0" w:line="142" w:lineRule="exact"/>
              <w:rPr>
                <w:sz w:val="20"/>
                <w:szCs w:val="20"/>
                <w:color w:val="auto"/>
              </w:rPr>
            </w:pPr>
            <w:r>
              <w:rPr>
                <w:rFonts w:ascii="Arial" w:cs="Arial" w:eastAsia="Arial" w:hAnsi="Arial"/>
                <w:sz w:val="14"/>
                <w:szCs w:val="14"/>
                <w:b w:val="1"/>
                <w:bCs w:val="1"/>
                <w:color w:val="auto"/>
              </w:rPr>
              <w:t>Balance, June 30, 2022</w:t>
            </w:r>
          </w:p>
        </w:tc>
        <w:tc>
          <w:tcPr>
            <w:tcW w:w="920" w:type="dxa"/>
            <w:vAlign w:val="bottom"/>
            <w:tcBorders>
              <w:bottom w:val="single" w:sz="8" w:color="auto"/>
            </w:tcBorders>
          </w:tcPr>
          <w:p>
            <w:pPr>
              <w:jc w:val="right"/>
              <w:ind w:right="208"/>
              <w:spacing w:after="0" w:line="129" w:lineRule="exact"/>
              <w:rPr>
                <w:sz w:val="20"/>
                <w:szCs w:val="20"/>
                <w:color w:val="auto"/>
              </w:rPr>
            </w:pPr>
            <w:r>
              <w:rPr>
                <w:rFonts w:ascii="Arial" w:cs="Arial" w:eastAsia="Arial" w:hAnsi="Arial"/>
                <w:sz w:val="14"/>
                <w:szCs w:val="14"/>
                <w:color w:val="auto"/>
              </w:rPr>
              <w:t>42,808</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12,266</w:t>
            </w: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rPr>
              <w:t>570</w:t>
            </w:r>
          </w:p>
        </w:tc>
        <w:tc>
          <w:tcPr>
            <w:tcW w:w="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rPr>
              <w:t>488,170</w:t>
            </w:r>
          </w:p>
        </w:tc>
        <w:tc>
          <w:tcPr>
            <w:tcW w:w="2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(90,686</w:t>
            </w: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line="12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1,212,919</w:t>
            </w:r>
          </w:p>
        </w:tc>
        <w:tc>
          <w:tcPr>
            <w:tcW w:w="300" w:type="dxa"/>
            <w:vAlign w:val="bottom"/>
            <w:tcBorders>
              <w:bottom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rPr>
              <w:t>64</w:t>
            </w:r>
          </w:p>
        </w:tc>
        <w:tc>
          <w:tcPr>
            <w:tcW w:w="2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rPr>
              <w:t>1,611,037</w:t>
            </w:r>
          </w:p>
        </w:tc>
        <w:tc>
          <w:tcPr>
            <w:tcW w:w="220" w:type="dxa"/>
            <w:vAlign w:val="bottom"/>
            <w:tcBorders>
              <w:bottom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8"/>
              <w:spacing w:after="0" w:line="129" w:lineRule="exact"/>
              <w:rPr>
                <w:sz w:val="20"/>
                <w:szCs w:val="20"/>
                <w:color w:val="auto"/>
              </w:rPr>
            </w:pPr>
            <w:r>
              <w:rPr>
                <w:rFonts w:ascii="Arial" w:cs="Arial" w:eastAsia="Arial" w:hAnsi="Arial"/>
                <w:sz w:val="14"/>
                <w:szCs w:val="14"/>
                <w:color w:val="auto"/>
              </w:rPr>
              <w:t>18,274</w:t>
            </w:r>
          </w:p>
        </w:tc>
        <w:tc>
          <w:tcPr>
            <w:tcW w:w="24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1,629,311</w:t>
            </w:r>
          </w:p>
        </w:tc>
        <w:tc>
          <w:tcPr>
            <w:tcW w:w="100" w:type="dxa"/>
            <w:vAlign w:val="bottom"/>
          </w:tcPr>
          <w:p>
            <w:pPr>
              <w:spacing w:after="0"/>
              <w:rPr>
                <w:sz w:val="12"/>
                <w:szCs w:val="12"/>
                <w:color w:val="auto"/>
              </w:rPr>
            </w:pPr>
          </w:p>
        </w:tc>
      </w:tr>
      <w:tr>
        <w:trPr>
          <w:trHeight w:val="20"/>
        </w:trPr>
        <w:tc>
          <w:tcPr>
            <w:tcW w:w="2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7880" w:type="dxa"/>
            <w:vAlign w:val="bottom"/>
            <w:gridSpan w:val="6"/>
          </w:tcPr>
          <w:p>
            <w:pPr>
              <w:spacing w:after="0"/>
              <w:rPr>
                <w:sz w:val="20"/>
                <w:szCs w:val="20"/>
                <w:color w:val="auto"/>
              </w:rPr>
            </w:pPr>
            <w:r>
              <w:rPr>
                <w:rFonts w:ascii="Arial" w:cs="Arial" w:eastAsia="Arial" w:hAnsi="Arial"/>
                <w:sz w:val="18"/>
                <w:szCs w:val="18"/>
                <w:color w:val="0000EE"/>
              </w:rPr>
              <w:t>Table of Contents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RUSH ENTERPRISES, INC. AND SUBSIDIARIES</w:t>
            </w:r>
          </w:p>
        </w:tc>
        <w:tc>
          <w:tcPr>
            <w:tcW w:w="3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260" w:type="dxa"/>
            <w:vAlign w:val="bottom"/>
            <w:gridSpan w:val="4"/>
          </w:tcPr>
          <w:p>
            <w:pPr>
              <w:jc w:val="center"/>
              <w:ind w:right="260"/>
              <w:spacing w:after="0" w:line="196" w:lineRule="exact"/>
              <w:rPr>
                <w:sz w:val="20"/>
                <w:szCs w:val="20"/>
                <w:color w:val="auto"/>
              </w:rPr>
            </w:pPr>
            <w:r>
              <w:rPr>
                <w:rFonts w:ascii="Arial" w:cs="Arial" w:eastAsia="Arial" w:hAnsi="Arial"/>
                <w:sz w:val="18"/>
                <w:szCs w:val="18"/>
                <w:color w:val="auto"/>
                <w:w w:val="94"/>
              </w:rPr>
              <w:t>CONSOLIDATED STATEMENTS OF CASH FLOWS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1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92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89"/>
              </w:rPr>
              <w:t>(In Thousands)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80" w:type="dxa"/>
            <w:vAlign w:val="bottom"/>
            <w:gridSpan w:val="3"/>
          </w:tcPr>
          <w:p>
            <w:pPr>
              <w:jc w:val="center"/>
              <w:ind w:right="340"/>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788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gridSpan w:val="6"/>
          </w:tcPr>
          <w:p>
            <w:pPr>
              <w:ind w:left="180"/>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189,314</w:t>
            </w:r>
          </w:p>
        </w:tc>
        <w:tc>
          <w:tcPr>
            <w:tcW w:w="14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203,126</w:t>
            </w:r>
          </w:p>
        </w:tc>
        <w:tc>
          <w:tcPr>
            <w:tcW w:w="100" w:type="dxa"/>
            <w:vAlign w:val="bottom"/>
          </w:tcPr>
          <w:p>
            <w:pPr>
              <w:spacing w:after="0"/>
              <w:rPr>
                <w:sz w:val="18"/>
                <w:szCs w:val="18"/>
                <w:color w:val="auto"/>
              </w:rPr>
            </w:pPr>
          </w:p>
        </w:tc>
      </w:tr>
      <w:tr>
        <w:trPr>
          <w:trHeight w:val="216"/>
        </w:trPr>
        <w:tc>
          <w:tcPr>
            <w:tcW w:w="78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gridSpan w:val="6"/>
          </w:tcPr>
          <w:p>
            <w:pPr>
              <w:ind w:left="5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108,557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95,122</w:t>
            </w:r>
          </w:p>
        </w:tc>
        <w:tc>
          <w:tcPr>
            <w:tcW w:w="100" w:type="dxa"/>
            <w:vAlign w:val="bottom"/>
          </w:tcPr>
          <w:p>
            <w:pPr>
              <w:spacing w:after="0"/>
              <w:rPr>
                <w:sz w:val="18"/>
                <w:szCs w:val="18"/>
                <w:color w:val="auto"/>
              </w:rPr>
            </w:pPr>
          </w:p>
        </w:tc>
      </w:tr>
      <w:tr>
        <w:trPr>
          <w:trHeight w:val="216"/>
        </w:trPr>
        <w:tc>
          <w:tcPr>
            <w:tcW w:w="7880" w:type="dxa"/>
            <w:vAlign w:val="bottom"/>
            <w:gridSpan w:val="6"/>
            <w:shd w:val="clear" w:color="auto" w:fill="CCEEFF"/>
          </w:tcPr>
          <w:p>
            <w:pPr>
              <w:ind w:left="500"/>
              <w:spacing w:after="0"/>
              <w:rPr>
                <w:sz w:val="20"/>
                <w:szCs w:val="20"/>
                <w:color w:val="auto"/>
              </w:rPr>
            </w:pPr>
            <w:r>
              <w:rPr>
                <w:rFonts w:ascii="Arial" w:cs="Arial" w:eastAsia="Arial" w:hAnsi="Arial"/>
                <w:sz w:val="18"/>
                <w:szCs w:val="18"/>
                <w:color w:val="auto"/>
              </w:rPr>
              <w:t>Gain on sale of property and equipment, net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w:t>
            </w:r>
          </w:p>
        </w:tc>
      </w:tr>
      <w:tr>
        <w:trPr>
          <w:trHeight w:val="216"/>
        </w:trPr>
        <w:tc>
          <w:tcPr>
            <w:tcW w:w="7880" w:type="dxa"/>
            <w:vAlign w:val="bottom"/>
            <w:gridSpan w:val="6"/>
          </w:tcPr>
          <w:p>
            <w:pPr>
              <w:ind w:left="500"/>
              <w:spacing w:after="0"/>
              <w:rPr>
                <w:sz w:val="20"/>
                <w:szCs w:val="20"/>
                <w:color w:val="auto"/>
              </w:rPr>
            </w:pPr>
            <w:r>
              <w:rPr>
                <w:rFonts w:ascii="Arial" w:cs="Arial" w:eastAsia="Arial" w:hAnsi="Arial"/>
                <w:sz w:val="18"/>
                <w:szCs w:val="18"/>
                <w:color w:val="auto"/>
              </w:rPr>
              <w:t>Gain on joint venture transaction</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(12,500)</w:t>
            </w:r>
          </w:p>
        </w:tc>
      </w:tr>
      <w:tr>
        <w:trPr>
          <w:trHeight w:val="216"/>
        </w:trPr>
        <w:tc>
          <w:tcPr>
            <w:tcW w:w="7880" w:type="dxa"/>
            <w:vAlign w:val="bottom"/>
            <w:gridSpan w:val="6"/>
            <w:shd w:val="clear" w:color="auto" w:fill="CCEEFF"/>
          </w:tcPr>
          <w:p>
            <w:pPr>
              <w:ind w:left="500"/>
              <w:spacing w:after="0"/>
              <w:rPr>
                <w:sz w:val="20"/>
                <w:szCs w:val="20"/>
                <w:color w:val="auto"/>
              </w:rPr>
            </w:pPr>
            <w:r>
              <w:rPr>
                <w:rFonts w:ascii="Arial" w:cs="Arial" w:eastAsia="Arial" w:hAnsi="Arial"/>
                <w:sz w:val="18"/>
                <w:szCs w:val="18"/>
                <w:color w:val="auto"/>
              </w:rPr>
              <w:t>Gain on business acquisition</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(6,958)</w:t>
            </w:r>
          </w:p>
        </w:tc>
      </w:tr>
      <w:tr>
        <w:trPr>
          <w:trHeight w:val="216"/>
        </w:trPr>
        <w:tc>
          <w:tcPr>
            <w:tcW w:w="7880" w:type="dxa"/>
            <w:vAlign w:val="bottom"/>
            <w:gridSpan w:val="6"/>
          </w:tcPr>
          <w:p>
            <w:pPr>
              <w:ind w:left="500"/>
              <w:spacing w:after="0"/>
              <w:rPr>
                <w:sz w:val="20"/>
                <w:szCs w:val="20"/>
                <w:color w:val="auto"/>
              </w:rPr>
            </w:pPr>
            <w:r>
              <w:rPr>
                <w:rFonts w:ascii="Arial" w:cs="Arial" w:eastAsia="Arial" w:hAnsi="Arial"/>
                <w:sz w:val="18"/>
                <w:szCs w:val="18"/>
                <w:color w:val="auto"/>
                <w:w w:val="89"/>
              </w:rPr>
              <w:t>Stock-based compensation expense related to employee equity awards and employee stock purchases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17,996</w:t>
            </w:r>
          </w:p>
        </w:tc>
        <w:tc>
          <w:tcPr>
            <w:tcW w:w="100" w:type="dxa"/>
            <w:vAlign w:val="bottom"/>
          </w:tcPr>
          <w:p>
            <w:pPr>
              <w:spacing w:after="0"/>
              <w:rPr>
                <w:sz w:val="18"/>
                <w:szCs w:val="18"/>
                <w:color w:val="auto"/>
              </w:rPr>
            </w:pPr>
          </w:p>
        </w:tc>
      </w:tr>
      <w:tr>
        <w:trPr>
          <w:trHeight w:val="216"/>
        </w:trPr>
        <w:tc>
          <w:tcPr>
            <w:tcW w:w="7880" w:type="dxa"/>
            <w:vAlign w:val="bottom"/>
            <w:gridSpan w:val="6"/>
            <w:shd w:val="clear" w:color="auto" w:fill="CCEEFF"/>
          </w:tcPr>
          <w:p>
            <w:pPr>
              <w:ind w:left="500"/>
              <w:spacing w:after="0"/>
              <w:rPr>
                <w:sz w:val="20"/>
                <w:szCs w:val="20"/>
                <w:color w:val="auto"/>
              </w:rPr>
            </w:pPr>
            <w:r>
              <w:rPr>
                <w:rFonts w:ascii="Arial" w:cs="Arial" w:eastAsia="Arial" w:hAnsi="Arial"/>
                <w:sz w:val="18"/>
                <w:szCs w:val="18"/>
                <w:color w:val="auto"/>
              </w:rPr>
              <w:t>Deferred income tax expense</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gridSpan w:val="6"/>
          </w:tcPr>
          <w:p>
            <w:pPr>
              <w:ind w:left="500"/>
              <w:spacing w:after="0"/>
              <w:rPr>
                <w:sz w:val="20"/>
                <w:szCs w:val="20"/>
                <w:color w:val="auto"/>
              </w:rPr>
            </w:pPr>
            <w:r>
              <w:rPr>
                <w:rFonts w:ascii="Arial" w:cs="Arial" w:eastAsia="Arial" w:hAnsi="Arial"/>
                <w:sz w:val="18"/>
                <w:szCs w:val="18"/>
                <w:color w:val="auto"/>
              </w:rPr>
              <w:t>Change in accounts and notes receivable, net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(15,911)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(85,110)</w:t>
            </w:r>
          </w:p>
        </w:tc>
      </w:tr>
      <w:tr>
        <w:trPr>
          <w:trHeight w:val="216"/>
        </w:trPr>
        <w:tc>
          <w:tcPr>
            <w:tcW w:w="7880" w:type="dxa"/>
            <w:vAlign w:val="bottom"/>
            <w:gridSpan w:val="6"/>
            <w:shd w:val="clear" w:color="auto" w:fill="CCEEFF"/>
          </w:tcPr>
          <w:p>
            <w:pPr>
              <w:ind w:left="500"/>
              <w:spacing w:after="0"/>
              <w:rPr>
                <w:sz w:val="20"/>
                <w:szCs w:val="20"/>
                <w:color w:val="auto"/>
              </w:rPr>
            </w:pPr>
            <w:r>
              <w:rPr>
                <w:rFonts w:ascii="Arial" w:cs="Arial" w:eastAsia="Arial" w:hAnsi="Arial"/>
                <w:sz w:val="18"/>
                <w:szCs w:val="18"/>
                <w:color w:val="auto"/>
              </w:rPr>
              <w:t>Change in inventories, net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(174,353)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(193,046)</w:t>
            </w:r>
          </w:p>
        </w:tc>
      </w:tr>
      <w:tr>
        <w:trPr>
          <w:trHeight w:val="216"/>
        </w:trPr>
        <w:tc>
          <w:tcPr>
            <w:tcW w:w="7880" w:type="dxa"/>
            <w:vAlign w:val="bottom"/>
            <w:gridSpan w:val="6"/>
          </w:tcPr>
          <w:p>
            <w:pPr>
              <w:ind w:left="500"/>
              <w:spacing w:after="0"/>
              <w:rPr>
                <w:sz w:val="20"/>
                <w:szCs w:val="20"/>
                <w:color w:val="auto"/>
              </w:rPr>
            </w:pPr>
            <w:r>
              <w:rPr>
                <w:rFonts w:ascii="Arial" w:cs="Arial" w:eastAsia="Arial" w:hAnsi="Arial"/>
                <w:sz w:val="18"/>
                <w:szCs w:val="18"/>
                <w:color w:val="auto"/>
              </w:rPr>
              <w:t>Change in prepaid expenses and other, net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(5,057)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(1,922)</w:t>
            </w:r>
          </w:p>
        </w:tc>
      </w:tr>
      <w:tr>
        <w:trPr>
          <w:trHeight w:val="216"/>
        </w:trPr>
        <w:tc>
          <w:tcPr>
            <w:tcW w:w="7880" w:type="dxa"/>
            <w:vAlign w:val="bottom"/>
            <w:gridSpan w:val="6"/>
            <w:shd w:val="clear" w:color="auto" w:fill="CCEEFF"/>
          </w:tcPr>
          <w:p>
            <w:pPr>
              <w:ind w:left="500"/>
              <w:spacing w:after="0"/>
              <w:rPr>
                <w:sz w:val="20"/>
                <w:szCs w:val="20"/>
                <w:color w:val="auto"/>
              </w:rPr>
            </w:pPr>
            <w:r>
              <w:rPr>
                <w:rFonts w:ascii="Arial" w:cs="Arial" w:eastAsia="Arial" w:hAnsi="Arial"/>
                <w:sz w:val="18"/>
                <w:szCs w:val="18"/>
                <w:color w:val="auto"/>
              </w:rPr>
              <w:t>Change in trade accounts payable</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33,307</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gridSpan w:val="6"/>
          </w:tcPr>
          <w:p>
            <w:pPr>
              <w:ind w:left="500"/>
              <w:spacing w:after="0"/>
              <w:rPr>
                <w:sz w:val="20"/>
                <w:szCs w:val="20"/>
                <w:color w:val="auto"/>
              </w:rPr>
            </w:pPr>
            <w:r>
              <w:rPr>
                <w:rFonts w:ascii="Arial" w:cs="Arial" w:eastAsia="Arial" w:hAnsi="Arial"/>
                <w:sz w:val="18"/>
                <w:szCs w:val="18"/>
                <w:color w:val="auto"/>
              </w:rPr>
              <w:t>Change in customer deposits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(14,868)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(8,773)</w:t>
            </w:r>
          </w:p>
        </w:tc>
      </w:tr>
      <w:tr>
        <w:trPr>
          <w:trHeight w:val="216"/>
        </w:trPr>
        <w:tc>
          <w:tcPr>
            <w:tcW w:w="7880" w:type="dxa"/>
            <w:vAlign w:val="bottom"/>
            <w:gridSpan w:val="6"/>
            <w:shd w:val="clear" w:color="auto" w:fill="CCEEFF"/>
          </w:tcPr>
          <w:p>
            <w:pPr>
              <w:ind w:left="500"/>
              <w:spacing w:after="0"/>
              <w:rPr>
                <w:sz w:val="20"/>
                <w:szCs w:val="20"/>
                <w:color w:val="auto"/>
              </w:rPr>
            </w:pPr>
            <w:r>
              <w:rPr>
                <w:rFonts w:ascii="Arial" w:cs="Arial" w:eastAsia="Arial" w:hAnsi="Arial"/>
                <w:sz w:val="18"/>
                <w:szCs w:val="18"/>
                <w:color w:val="auto"/>
              </w:rPr>
              <w:t>Change in accrued expenses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18,572</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gridSpan w:val="6"/>
          </w:tcPr>
          <w:p>
            <w:pPr>
              <w:ind w:left="50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(5,527)</w:t>
            </w:r>
          </w:p>
        </w:tc>
      </w:tr>
      <w:tr>
        <w:trPr>
          <w:trHeight w:val="210"/>
        </w:trPr>
        <w:tc>
          <w:tcPr>
            <w:tcW w:w="7880" w:type="dxa"/>
            <w:vAlign w:val="bottom"/>
            <w:tcBorders>
              <w:bottom w:val="single" w:sz="8" w:color="CCEEFF"/>
            </w:tcBorders>
            <w:gridSpan w:val="6"/>
            <w:shd w:val="clear" w:color="auto" w:fill="CCEEFF"/>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114,016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880" w:type="dxa"/>
            <w:vAlign w:val="bottom"/>
            <w:gridSpan w:val="6"/>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Acquisition of property and equipment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(107,226)</w:t>
            </w:r>
          </w:p>
        </w:tc>
      </w:tr>
      <w:tr>
        <w:trPr>
          <w:trHeight w:val="216"/>
        </w:trPr>
        <w:tc>
          <w:tcPr>
            <w:tcW w:w="7880" w:type="dxa"/>
            <w:vAlign w:val="bottom"/>
            <w:gridSpan w:val="6"/>
          </w:tcPr>
          <w:p>
            <w:pPr>
              <w:ind w:left="180"/>
              <w:spacing w:after="0"/>
              <w:rPr>
                <w:sz w:val="20"/>
                <w:szCs w:val="20"/>
                <w:color w:val="auto"/>
              </w:rPr>
            </w:pPr>
            <w:r>
              <w:rPr>
                <w:rFonts w:ascii="Arial" w:cs="Arial" w:eastAsia="Arial" w:hAnsi="Arial"/>
                <w:sz w:val="18"/>
                <w:szCs w:val="18"/>
                <w:color w:val="auto"/>
              </w:rPr>
              <w:t>Proceeds from the sale of property and equipment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18"/>
                <w:szCs w:val="18"/>
                <w:color w:val="auto"/>
              </w:rPr>
            </w:pPr>
          </w:p>
        </w:tc>
      </w:tr>
      <w:tr>
        <w:trPr>
          <w:trHeight w:val="216"/>
        </w:trPr>
        <w:tc>
          <w:tcPr>
            <w:tcW w:w="78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Business disposition</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gridSpan w:val="6"/>
          </w:tcPr>
          <w:p>
            <w:pPr>
              <w:ind w:left="180"/>
              <w:spacing w:after="0"/>
              <w:rPr>
                <w:sz w:val="20"/>
                <w:szCs w:val="20"/>
                <w:color w:val="auto"/>
              </w:rPr>
            </w:pPr>
            <w:r>
              <w:rPr>
                <w:rFonts w:ascii="Arial" w:cs="Arial" w:eastAsia="Arial" w:hAnsi="Arial"/>
                <w:sz w:val="18"/>
                <w:szCs w:val="18"/>
                <w:color w:val="auto"/>
              </w:rPr>
              <w:t>Business acquisition, net of cash acquired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(15,051)</w:t>
            </w:r>
          </w:p>
        </w:tc>
      </w:tr>
      <w:tr>
        <w:trPr>
          <w:trHeight w:val="216"/>
        </w:trPr>
        <w:tc>
          <w:tcPr>
            <w:tcW w:w="78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(2,189)</w:t>
            </w:r>
          </w:p>
        </w:tc>
      </w:tr>
      <w:tr>
        <w:trPr>
          <w:trHeight w:val="20"/>
        </w:trPr>
        <w:tc>
          <w:tcPr>
            <w:tcW w:w="12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880" w:type="dxa"/>
            <w:vAlign w:val="bottom"/>
            <w:gridSpan w:val="6"/>
          </w:tcPr>
          <w:p>
            <w:pPr>
              <w:ind w:left="6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(188,946)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(94,194)</w:t>
            </w:r>
          </w:p>
        </w:tc>
      </w:tr>
      <w:tr>
        <w:trPr>
          <w:trHeight w:val="210"/>
        </w:trPr>
        <w:tc>
          <w:tcPr>
            <w:tcW w:w="788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gridSpan w:val="6"/>
          </w:tcPr>
          <w:p>
            <w:pPr>
              <w:ind w:left="180"/>
              <w:spacing w:after="0"/>
              <w:rPr>
                <w:sz w:val="20"/>
                <w:szCs w:val="20"/>
                <w:color w:val="auto"/>
              </w:rPr>
            </w:pPr>
            <w:r>
              <w:rPr>
                <w:rFonts w:ascii="Arial" w:cs="Arial" w:eastAsia="Arial" w:hAnsi="Arial"/>
                <w:sz w:val="18"/>
                <w:szCs w:val="18"/>
                <w:color w:val="auto"/>
              </w:rPr>
              <w:t>Draws on floor plan notes payable – non-trade, net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191,002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190,483</w:t>
            </w:r>
          </w:p>
        </w:tc>
        <w:tc>
          <w:tcPr>
            <w:tcW w:w="100" w:type="dxa"/>
            <w:vAlign w:val="bottom"/>
          </w:tcPr>
          <w:p>
            <w:pPr>
              <w:spacing w:after="0"/>
              <w:rPr>
                <w:sz w:val="18"/>
                <w:szCs w:val="18"/>
                <w:color w:val="auto"/>
              </w:rPr>
            </w:pPr>
          </w:p>
        </w:tc>
      </w:tr>
      <w:tr>
        <w:trPr>
          <w:trHeight w:val="216"/>
        </w:trPr>
        <w:tc>
          <w:tcPr>
            <w:tcW w:w="78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Proceeds from long-term debt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571,302</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gridSpan w:val="6"/>
          </w:tcPr>
          <w:p>
            <w:pPr>
              <w:ind w:left="18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(684,803)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(574,165)</w:t>
            </w:r>
          </w:p>
        </w:tc>
      </w:tr>
      <w:tr>
        <w:trPr>
          <w:trHeight w:val="216"/>
        </w:trPr>
        <w:tc>
          <w:tcPr>
            <w:tcW w:w="78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Principal payments on finance lease obligations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(8,110)</w:t>
            </w:r>
          </w:p>
        </w:tc>
      </w:tr>
      <w:tr>
        <w:trPr>
          <w:trHeight w:val="216"/>
        </w:trPr>
        <w:tc>
          <w:tcPr>
            <w:tcW w:w="7880" w:type="dxa"/>
            <w:vAlign w:val="bottom"/>
            <w:gridSpan w:val="6"/>
          </w:tcPr>
          <w:p>
            <w:pPr>
              <w:ind w:left="180"/>
              <w:spacing w:after="0"/>
              <w:rPr>
                <w:sz w:val="20"/>
                <w:szCs w:val="20"/>
                <w:color w:val="auto"/>
              </w:rPr>
            </w:pPr>
            <w:r>
              <w:rPr>
                <w:rFonts w:ascii="Arial" w:cs="Arial" w:eastAsia="Arial" w:hAnsi="Arial"/>
                <w:sz w:val="18"/>
                <w:szCs w:val="18"/>
                <w:color w:val="auto"/>
              </w:rPr>
              <w:t>Proceeds from issuance of shares relating to equity awards and employee stock purchases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8,068</w:t>
            </w:r>
          </w:p>
        </w:tc>
        <w:tc>
          <w:tcPr>
            <w:tcW w:w="100" w:type="dxa"/>
            <w:vAlign w:val="bottom"/>
          </w:tcPr>
          <w:p>
            <w:pPr>
              <w:spacing w:after="0"/>
              <w:rPr>
                <w:sz w:val="18"/>
                <w:szCs w:val="18"/>
                <w:color w:val="auto"/>
              </w:rPr>
            </w:pPr>
          </w:p>
        </w:tc>
      </w:tr>
      <w:tr>
        <w:trPr>
          <w:trHeight w:val="216"/>
        </w:trPr>
        <w:tc>
          <w:tcPr>
            <w:tcW w:w="78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Taxes paid related to net share settlement of equity awards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(8,637)</w:t>
            </w:r>
          </w:p>
        </w:tc>
      </w:tr>
      <w:tr>
        <w:trPr>
          <w:trHeight w:val="216"/>
        </w:trPr>
        <w:tc>
          <w:tcPr>
            <w:tcW w:w="7880" w:type="dxa"/>
            <w:vAlign w:val="bottom"/>
            <w:gridSpan w:val="6"/>
          </w:tcPr>
          <w:p>
            <w:pPr>
              <w:ind w:left="180"/>
              <w:spacing w:after="0"/>
              <w:rPr>
                <w:sz w:val="20"/>
                <w:szCs w:val="20"/>
                <w:color w:val="auto"/>
              </w:rPr>
            </w:pPr>
            <w:r>
              <w:rPr>
                <w:rFonts w:ascii="Arial" w:cs="Arial" w:eastAsia="Arial" w:hAnsi="Arial"/>
                <w:sz w:val="18"/>
                <w:szCs w:val="18"/>
                <w:color w:val="auto"/>
              </w:rPr>
              <w:t>Payments of cash dividends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(23,449)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(21,589)</w:t>
            </w:r>
          </w:p>
        </w:tc>
      </w:tr>
      <w:tr>
        <w:trPr>
          <w:trHeight w:val="216"/>
        </w:trPr>
        <w:tc>
          <w:tcPr>
            <w:tcW w:w="78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Common stock repurchased</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(63,857)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(52,789)</w:t>
            </w:r>
          </w:p>
        </w:tc>
      </w:tr>
      <w:tr>
        <w:trPr>
          <w:trHeight w:val="210"/>
        </w:trPr>
        <w:tc>
          <w:tcPr>
            <w:tcW w:w="7880" w:type="dxa"/>
            <w:vAlign w:val="bottom"/>
            <w:tcBorders>
              <w:top w:val="single" w:sz="8" w:color="CCEEFF"/>
            </w:tcBorders>
            <w:gridSpan w:val="6"/>
          </w:tcPr>
          <w:p>
            <w:pPr>
              <w:ind w:left="6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65,704</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104,563</w:t>
            </w:r>
          </w:p>
        </w:tc>
        <w:tc>
          <w:tcPr>
            <w:tcW w:w="100" w:type="dxa"/>
            <w:vAlign w:val="bottom"/>
            <w:tcBorders>
              <w:top w:val="single" w:sz="8" w:color="CCEEFF"/>
            </w:tcBorders>
          </w:tcPr>
          <w:p>
            <w:pPr>
              <w:spacing w:after="0"/>
              <w:rPr>
                <w:sz w:val="18"/>
                <w:szCs w:val="18"/>
                <w:color w:val="auto"/>
              </w:rPr>
            </w:pPr>
          </w:p>
        </w:tc>
      </w:tr>
      <w:tr>
        <w:trPr>
          <w:trHeight w:val="210"/>
        </w:trPr>
        <w:tc>
          <w:tcPr>
            <w:tcW w:w="788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68,548</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gridSpan w:val="6"/>
          </w:tcPr>
          <w:p>
            <w:pPr>
              <w:spacing w:after="0"/>
              <w:rPr>
                <w:sz w:val="20"/>
                <w:szCs w:val="20"/>
                <w:color w:val="auto"/>
              </w:rPr>
            </w:pPr>
            <w:r>
              <w:rPr>
                <w:rFonts w:ascii="Arial" w:cs="Arial" w:eastAsia="Arial" w:hAnsi="Arial"/>
                <w:sz w:val="18"/>
                <w:szCs w:val="18"/>
                <w:color w:val="auto"/>
              </w:rPr>
              <w:t>Effect of exchange rate on cash</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201,044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148,146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880" w:type="dxa"/>
            <w:vAlign w:val="bottom"/>
            <w:gridSpan w:val="6"/>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191,897</w:t>
            </w:r>
          </w:p>
        </w:tc>
        <w:tc>
          <w:tcPr>
            <w:tcW w:w="14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216,694</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880" w:type="dxa"/>
            <w:vAlign w:val="bottom"/>
            <w:gridSpan w:val="6"/>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80" w:type="dxa"/>
            <w:vAlign w:val="bottom"/>
            <w:gridSpan w:val="6"/>
          </w:tcPr>
          <w:p>
            <w:pPr>
              <w:ind w:left="180"/>
              <w:spacing w:after="0"/>
              <w:rPr>
                <w:sz w:val="20"/>
                <w:szCs w:val="20"/>
                <w:color w:val="auto"/>
              </w:rPr>
            </w:pPr>
            <w:r>
              <w:rPr>
                <w:rFonts w:ascii="Arial" w:cs="Arial" w:eastAsia="Arial" w:hAnsi="Arial"/>
                <w:sz w:val="18"/>
                <w:szCs w:val="18"/>
                <w:color w:val="auto"/>
              </w:rPr>
              <w:t>Cash paid during the period for:</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25,033</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gridSpan w:val="6"/>
          </w:tcPr>
          <w:p>
            <w:pPr>
              <w:ind w:left="340"/>
              <w:spacing w:after="0"/>
              <w:rPr>
                <w:sz w:val="20"/>
                <w:szCs w:val="20"/>
                <w:color w:val="auto"/>
              </w:rPr>
            </w:pPr>
            <w:r>
              <w:rPr>
                <w:rFonts w:ascii="Arial" w:cs="Arial" w:eastAsia="Arial" w:hAnsi="Arial"/>
                <w:sz w:val="18"/>
                <w:szCs w:val="18"/>
                <w:color w:val="auto"/>
              </w:rPr>
              <w:t>Income taxes, net of refunds</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46,502</w:t>
            </w:r>
          </w:p>
        </w:tc>
        <w:tc>
          <w:tcPr>
            <w:tcW w:w="14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38,354</w:t>
            </w:r>
          </w:p>
        </w:tc>
        <w:tc>
          <w:tcPr>
            <w:tcW w:w="100" w:type="dxa"/>
            <w:vAlign w:val="bottom"/>
          </w:tcPr>
          <w:p>
            <w:pPr>
              <w:spacing w:after="0"/>
              <w:rPr>
                <w:sz w:val="18"/>
                <w:szCs w:val="18"/>
                <w:color w:val="auto"/>
              </w:rPr>
            </w:pPr>
          </w:p>
        </w:tc>
      </w:tr>
      <w:tr>
        <w:trPr>
          <w:trHeight w:val="216"/>
        </w:trPr>
        <w:tc>
          <w:tcPr>
            <w:tcW w:w="78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Noncash activities: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880" w:type="dxa"/>
            <w:vAlign w:val="bottom"/>
            <w:gridSpan w:val="6"/>
          </w:tcPr>
          <w:p>
            <w:pPr>
              <w:ind w:left="340"/>
              <w:spacing w:after="0"/>
              <w:rPr>
                <w:sz w:val="20"/>
                <w:szCs w:val="20"/>
                <w:color w:val="auto"/>
              </w:rPr>
            </w:pPr>
            <w:r>
              <w:rPr>
                <w:rFonts w:ascii="Arial" w:cs="Arial" w:eastAsia="Arial" w:hAnsi="Arial"/>
                <w:sz w:val="18"/>
                <w:szCs w:val="18"/>
                <w:color w:val="auto"/>
              </w:rPr>
              <w:t>Assets acquired under finance leases</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29,401</w:t>
            </w:r>
          </w:p>
        </w:tc>
        <w:tc>
          <w:tcPr>
            <w:tcW w:w="140" w:type="dxa"/>
            <w:vAlign w:val="bottom"/>
          </w:tcPr>
          <w:p>
            <w:pPr>
              <w:spacing w:after="0"/>
              <w:rPr>
                <w:sz w:val="20"/>
                <w:szCs w:val="20"/>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5,749</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w:t>
      </w:r>
      <w:r>
        <w:rPr>
          <w:rFonts w:ascii="Arial" w:cs="Arial" w:eastAsia="Arial" w:hAnsi="Arial"/>
          <w:sz w:val="18"/>
          <w:szCs w:val="18"/>
          <w:b w:val="1"/>
          <w:bCs w:val="1"/>
          <w:color w:val="auto"/>
        </w:rPr>
        <w:t xml:space="preserve"> Principles of Consolidation and Basis of Presentation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2022. Results of operations for interim periods are not necessarily indicative of results that may be expected for any other interim periods or the full fiscal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May 16, 2023, the Company’s shareholders approved the Certificate of Amendment to the Restated Articles of Incorporation of the Company to increase the number of authorized shares of Class A Common Stock from 60,000,000 to 105,000,000 and Class B Common Stock from 20,000,000 to 35,000,000.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functional currency of the Company’s foreign subsidiary, Rush Truck Centres of Canada Limited (“RTC Canada”), is the local currency, the Canadian dollar. Results of operations for RTC Canada are translated to USD using the average exchange rate on a monthly basis during each quarter. The assets and liabilities of RTC Canada are translated into USD using the exchange rate in effect on the balance sheet date. The related translation adjustments are recorded as a separate component of the Company’s Consolidated Statements of Shareholders’ Equity in accumulated other comprehensive income (loss).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color w:val="auto"/>
        </w:rPr>
        <w:t>–</w:t>
      </w:r>
      <w:r>
        <w:rPr>
          <w:rFonts w:ascii="Arial" w:cs="Arial" w:eastAsia="Arial" w:hAnsi="Arial"/>
          <w:sz w:val="18"/>
          <w:szCs w:val="18"/>
          <w:b w:val="1"/>
          <w:bCs w:val="1"/>
          <w:color w:val="auto"/>
        </w:rPr>
        <w:t xml:space="preserve"> Commitments and Contingencies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time to time, the Company is involved in litigation arising out of its operations in the ordinary course of business. The Company maintains liability insurance, including product liability coverage, in amounts deemed adequate by management. However, an uninsured or partially insured claim, or claim for which indemnification is not available, could have a material adverse effect on the Company’s financial condition or results of operations. As of June 30, 2023, the Company believes that there are no pending claims or litigation, individually or in the aggregate, that are reasonably likely to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color w:val="auto"/>
        </w:rPr>
        <w:t>–</w:t>
      </w:r>
      <w:r>
        <w:rPr>
          <w:rFonts w:ascii="Arial" w:cs="Arial" w:eastAsia="Arial" w:hAnsi="Arial"/>
          <w:sz w:val="18"/>
          <w:szCs w:val="18"/>
          <w:b w:val="1"/>
          <w:bCs w:val="1"/>
          <w:color w:val="auto"/>
        </w:rPr>
        <w:t xml:space="preserve">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ind w:left="24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right"/>
              <w:ind w:right="490"/>
              <w:spacing w:after="0"/>
              <w:rPr>
                <w:sz w:val="20"/>
                <w:szCs w:val="20"/>
                <w:color w:val="auto"/>
              </w:rPr>
            </w:pPr>
            <w:r>
              <w:rPr>
                <w:rFonts w:ascii="Arial" w:cs="Arial" w:eastAsia="Arial" w:hAnsi="Arial"/>
                <w:sz w:val="18"/>
                <w:szCs w:val="18"/>
                <w:color w:val="auto"/>
              </w:rPr>
              <w:t>Six Months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60" w:type="dxa"/>
            <w:vAlign w:val="bottom"/>
          </w:tcPr>
          <w:p>
            <w:pPr>
              <w:ind w:left="180"/>
              <w:spacing w:after="0" w:line="201" w:lineRule="exact"/>
              <w:rPr>
                <w:sz w:val="20"/>
                <w:szCs w:val="20"/>
                <w:color w:val="auto"/>
              </w:rPr>
            </w:pPr>
            <w:r>
              <w:rPr>
                <w:rFonts w:ascii="Arial" w:cs="Arial" w:eastAsia="Arial" w:hAnsi="Arial"/>
                <w:sz w:val="18"/>
                <w:szCs w:val="18"/>
                <w:color w:val="auto"/>
                <w:w w:val="93"/>
              </w:rPr>
              <w:t>Numerator for basic and diluted earnings per share – Net income available to</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98,275</w:t>
            </w:r>
          </w:p>
        </w:tc>
        <w:tc>
          <w:tcPr>
            <w:tcW w:w="520" w:type="dxa"/>
            <w:vAlign w:val="bottom"/>
            <w:gridSpan w:val="2"/>
            <w:vMerge w:val="restart"/>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110,227</w:t>
            </w:r>
          </w:p>
        </w:tc>
        <w:tc>
          <w:tcPr>
            <w:tcW w:w="360" w:type="dxa"/>
            <w:vAlign w:val="bottom"/>
            <w:gridSpan w:val="2"/>
            <w:vMerge w:val="restart"/>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188,730</w:t>
            </w:r>
          </w:p>
        </w:tc>
        <w:tc>
          <w:tcPr>
            <w:tcW w:w="50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202,680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960" w:type="dxa"/>
            <w:vAlign w:val="bottom"/>
          </w:tcPr>
          <w:p>
            <w:pPr>
              <w:ind w:left="340"/>
              <w:spacing w:after="0"/>
              <w:rPr>
                <w:sz w:val="20"/>
                <w:szCs w:val="20"/>
                <w:color w:val="auto"/>
              </w:rPr>
            </w:pPr>
            <w:r>
              <w:rPr>
                <w:rFonts w:ascii="Arial" w:cs="Arial" w:eastAsia="Arial" w:hAnsi="Arial"/>
                <w:sz w:val="18"/>
                <w:szCs w:val="18"/>
                <w:color w:val="auto"/>
              </w:rPr>
              <w:t>common shareholders</w:t>
            </w:r>
          </w:p>
        </w:tc>
        <w:tc>
          <w:tcPr>
            <w:tcW w:w="2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60" w:type="dxa"/>
            <w:vAlign w:val="bottom"/>
          </w:tcPr>
          <w:p>
            <w:pPr>
              <w:ind w:left="180"/>
              <w:spacing w:after="0" w:line="201" w:lineRule="exact"/>
              <w:rPr>
                <w:sz w:val="20"/>
                <w:szCs w:val="20"/>
                <w:color w:val="auto"/>
              </w:rPr>
            </w:pPr>
            <w:r>
              <w:rPr>
                <w:rFonts w:ascii="Arial" w:cs="Arial" w:eastAsia="Arial" w:hAnsi="Arial"/>
                <w:sz w:val="18"/>
                <w:szCs w:val="18"/>
                <w:color w:val="auto"/>
              </w:rPr>
              <w:t>Denominator for basic earnings per share – weighted average shares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54,460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55,640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54,617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55,788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Effect of dilutive securities – Employee stock options and restricted stock</w:t>
            </w:r>
          </w:p>
        </w:tc>
        <w:tc>
          <w:tcPr>
            <w:tcW w:w="2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awards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960" w:type="dxa"/>
            <w:vAlign w:val="bottom"/>
          </w:tcPr>
          <w:p>
            <w:pPr>
              <w:ind w:left="180"/>
              <w:spacing w:after="0" w:line="195" w:lineRule="exact"/>
              <w:rPr>
                <w:sz w:val="20"/>
                <w:szCs w:val="20"/>
                <w:color w:val="auto"/>
              </w:rPr>
            </w:pPr>
            <w:r>
              <w:rPr>
                <w:rFonts w:ascii="Arial" w:cs="Arial" w:eastAsia="Arial" w:hAnsi="Arial"/>
                <w:sz w:val="18"/>
                <w:szCs w:val="18"/>
                <w:color w:val="auto"/>
                <w:w w:val="99"/>
              </w:rPr>
              <w:t>Denominator for diluted earnings per share – adjusted weighted average</w:t>
            </w:r>
          </w:p>
        </w:tc>
        <w:tc>
          <w:tcPr>
            <w:tcW w:w="2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56,104</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57,310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56,334</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57,610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60" w:type="dxa"/>
            <w:vAlign w:val="bottom"/>
          </w:tcPr>
          <w:p>
            <w:pPr>
              <w:ind w:left="340"/>
              <w:spacing w:after="0" w:line="190" w:lineRule="exact"/>
              <w:rPr>
                <w:sz w:val="20"/>
                <w:szCs w:val="20"/>
                <w:color w:val="auto"/>
              </w:rPr>
            </w:pPr>
            <w:r>
              <w:rPr>
                <w:rFonts w:ascii="Arial" w:cs="Arial" w:eastAsia="Arial" w:hAnsi="Arial"/>
                <w:sz w:val="18"/>
                <w:szCs w:val="18"/>
                <w:color w:val="auto"/>
              </w:rPr>
              <w:t>shares outstanding and assumed conversions</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w:t>
            </w: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3.46</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960" w:type="dxa"/>
            <w:vAlign w:val="bottom"/>
          </w:tcPr>
          <w:p>
            <w:pPr>
              <w:spacing w:after="0" w:line="196" w:lineRule="exact"/>
              <w:rPr>
                <w:sz w:val="20"/>
                <w:szCs w:val="20"/>
                <w:color w:val="auto"/>
              </w:rPr>
            </w:pPr>
            <w:r>
              <w:rPr>
                <w:rFonts w:ascii="Arial" w:cs="Arial" w:eastAsia="Arial" w:hAnsi="Arial"/>
                <w:sz w:val="18"/>
                <w:szCs w:val="18"/>
                <w:color w:val="auto"/>
              </w:rPr>
              <w:t>Diluted earnings per common share and common share equivalents</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c>
          <w:tcPr>
            <w:tcW w:w="520" w:type="dxa"/>
            <w:vAlign w:val="bottom"/>
            <w:gridSpan w:val="2"/>
          </w:tcPr>
          <w:p>
            <w:pPr>
              <w:jc w:val="right"/>
              <w:ind w:right="127"/>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1.92</w:t>
            </w:r>
          </w:p>
        </w:tc>
        <w:tc>
          <w:tcPr>
            <w:tcW w:w="360" w:type="dxa"/>
            <w:vAlign w:val="bottom"/>
            <w:gridSpan w:val="2"/>
          </w:tcPr>
          <w:p>
            <w:pPr>
              <w:jc w:val="right"/>
              <w:ind w:right="87"/>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3.35</w:t>
            </w:r>
          </w:p>
        </w:tc>
        <w:tc>
          <w:tcPr>
            <w:tcW w:w="50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Options to purchase shares of common stock that were outstanding for the three months and six months ended June 30, 2023, and 2022, that were not included in the computation of diluted earnings per share because the effect would have been anti-dilutive, are as follows (in thousands):</w:t>
      </w:r>
    </w:p>
    <w:p>
      <w:pPr>
        <w:spacing w:after="0" w:line="12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4"/>
          </w:tcPr>
          <w:p>
            <w:pPr>
              <w:jc w:val="center"/>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8"/>
                <w:szCs w:val="18"/>
                <w:color w:val="auto"/>
              </w:rPr>
            </w:pPr>
          </w:p>
        </w:tc>
        <w:tc>
          <w:tcPr>
            <w:tcW w:w="2440" w:type="dxa"/>
            <w:vAlign w:val="bottom"/>
            <w:gridSpan w:val="5"/>
          </w:tcPr>
          <w:p>
            <w:pPr>
              <w:jc w:val="center"/>
              <w:ind w:right="100"/>
              <w:spacing w:after="0"/>
              <w:rPr>
                <w:sz w:val="20"/>
                <w:szCs w:val="20"/>
                <w:color w:val="auto"/>
              </w:rPr>
            </w:pPr>
            <w:r>
              <w:rPr>
                <w:rFonts w:ascii="Arial" w:cs="Arial" w:eastAsia="Arial" w:hAnsi="Arial"/>
                <w:sz w:val="18"/>
                <w:szCs w:val="18"/>
                <w:color w:val="auto"/>
                <w:w w:val="91"/>
              </w:rPr>
              <w:t>Six Months Ended</w:t>
            </w:r>
          </w:p>
        </w:tc>
      </w:tr>
      <w:tr>
        <w:trPr>
          <w:trHeight w:val="230"/>
        </w:trPr>
        <w:tc>
          <w:tcPr>
            <w:tcW w:w="5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color w:val="auto"/>
                <w:w w:val="86"/>
              </w:rPr>
              <w:t>June 30,</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r>
      <w:tr>
        <w:trPr>
          <w:trHeight w:val="20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anti-dilutive stock options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color w:val="auto"/>
        </w:rPr>
        <w:t>–</w:t>
      </w:r>
      <w:r>
        <w:rPr>
          <w:rFonts w:ascii="Arial" w:cs="Arial" w:eastAsia="Arial" w:hAnsi="Arial"/>
          <w:sz w:val="18"/>
          <w:szCs w:val="18"/>
          <w:b w:val="1"/>
          <w:bCs w:val="1"/>
          <w:color w:val="auto"/>
        </w:rPr>
        <w:t xml:space="preserve"> Stock Options and Restricted Stock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accounts for stock-based compensation in accordance with Accounting Standards Codification (“ASC”) 718-10,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 </w:t>
      </w:r>
      <w:r>
        <w:rPr>
          <w:rFonts w:ascii="Arial" w:cs="Arial" w:eastAsia="Arial" w:hAnsi="Arial"/>
          <w:sz w:val="18"/>
          <w:szCs w:val="18"/>
          <w:i w:val="1"/>
          <w:iCs w:val="1"/>
          <w:color w:val="auto"/>
        </w:rPr>
        <w:t xml:space="preserve">Stock Compensation, </w:t>
      </w:r>
      <w:r>
        <w:rPr>
          <w:rFonts w:ascii="Arial" w:cs="Arial" w:eastAsia="Arial" w:hAnsi="Arial"/>
          <w:sz w:val="18"/>
          <w:szCs w:val="18"/>
          <w:color w:val="auto"/>
        </w:rPr>
        <w:t>which requires the measurement and recognition of compensation expense for all share-based payment awards made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employees and directors, including employee stock options, restricted stock awards and employee stock purchases related to the Employee Stock Purchase Plan, based on estimated fair values.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Stock-based compensation expense, calculated using the Black-Scholes option-pricing model for employee stock options and included in selling, general and administrative expense, was $6.0 million for the three months ended June 30, 2023, and $4.2 million for the three months ended June 30, 2022. Stock-based compensation expense, included in selling, general and administrative expense, was $19.0 million for the six months ended June 30, 2023, and was $18.0 million for the six months ended June 30, 2022.</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2023, the Company had $14.9 million of unrecognized compensation cost related to non-vested employee stock options to be recognized over a weighted-average period of 2.5 years and $18.8 million of unrecognized compensation cost related to non-vested restricted stock awards to be recognized over a weighted-average period of 1.5 years.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Instruments and Fair Value</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as of June 30, 2023, and December 31, 2022. The carrying value of current assets and current liabilities approximates the fair value due to the short maturity of these items.</w:t>
      </w:r>
    </w:p>
    <w:p>
      <w:pPr>
        <w:spacing w:after="0" w:line="17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fair value of the Company’s long-term debt is based on secondary market indicators. Because the Company’s debt is not quoted, estimates are based on each obligation’s characteristics, including remaining maturities, variable interest rate, credit rating, collateral and liquidity. Accordingly, the Company concluded that the valuation measurement inputs of its long-term debt represent, at its lowest level, current market interest rates available to the Company for similar debt and the Company’s current credit standing. Thus, the carrying amount of such debt approximates fair value.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color w:val="auto"/>
        </w:rPr>
        <w:t>–</w:t>
      </w:r>
      <w:r>
        <w:rPr>
          <w:rFonts w:ascii="Arial" w:cs="Arial" w:eastAsia="Arial" w:hAnsi="Arial"/>
          <w:sz w:val="18"/>
          <w:szCs w:val="18"/>
          <w:b w:val="1"/>
          <w:bCs w:val="1"/>
          <w:color w:val="auto"/>
        </w:rPr>
        <w:t xml:space="preserve"> Segment Information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currently has one reportable business segment - the Truck Segment. The Truck Segment includes the Company’s operation of a network of commercial vehicle dealerships throughout the United States and Ontario, Canada that provide an integrated one-stop source for the commercial vehicle needs of its customers, including retail sales of new and used commercial vehicles; aftermarket parts, service and collision center facilities; and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or departments within its dealerships, when making decisions about resources to be allocated to the segment and assessing its performance.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revenues, segment income or loss from continuing operations and segment assets for the periods ended June 30, 2023 and 2022 (in thousands):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Truck</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Segment</w:t>
            </w:r>
          </w:p>
        </w:tc>
        <w:tc>
          <w:tcPr>
            <w:tcW w:w="26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All Other</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and for the three months ended June 30, 2023</w:t>
            </w: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1,999,028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4,024</w:t>
            </w:r>
          </w:p>
        </w:tc>
        <w:tc>
          <w:tcPr>
            <w:tcW w:w="12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2,003,052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142,869</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2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130,535</w:t>
            </w:r>
          </w:p>
        </w:tc>
        <w:tc>
          <w:tcPr>
            <w:tcW w:w="2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4,070,544</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 the six months ended June 30, 2023</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3,906,969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7,850</w:t>
            </w:r>
          </w:p>
        </w:tc>
        <w:tc>
          <w:tcPr>
            <w:tcW w:w="12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3,914,819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270,432</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2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249,462</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249,665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i w:val="1"/>
                <w:iCs w:val="1"/>
                <w:color w:val="auto"/>
              </w:rPr>
              <w:t>As of and for the three months ended June 30, 2022</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1,786,927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2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134,506</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before taxes</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139,765</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Segment assets</w:t>
            </w:r>
          </w:p>
        </w:tc>
        <w:tc>
          <w:tcPr>
            <w:tcW w:w="2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3,615,745</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53,624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3,669,369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i w:val="1"/>
                <w:iCs w:val="1"/>
                <w:color w:val="auto"/>
              </w:rPr>
              <w:t>For the six months ended June 30, 2022</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3,345,979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8,464</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2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241,826</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before taxes</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260,023</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color w:val="auto"/>
        </w:rPr>
        <w:t>–</w:t>
      </w:r>
      <w:r>
        <w:rPr>
          <w:rFonts w:ascii="Arial" w:cs="Arial" w:eastAsia="Arial" w:hAnsi="Arial"/>
          <w:sz w:val="18"/>
          <w:szCs w:val="18"/>
          <w:b w:val="1"/>
          <w:bCs w:val="1"/>
          <w:color w:val="auto"/>
        </w:rPr>
        <w:t xml:space="preserve"> Income Taxes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had unrecognized income tax benefits totaling $5.3 million as a component of accrued liabilities as of June 30, 2023 and December 31, 2022, the total of which, if recognized, would impact the Company’s effective tax rate. An unfavorable settlement would require a charge to income tax expense and a favorable resolution would be recognized as a reduction to income tax expense. The Company recognizes interest accrued related to unrecognized tax benefits in income tax expense. The Company had approximately $302,000 accrued for the payment of interest as of June 30, 2023 and December 31, 2022. No amounts were accrued for penalties.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June 30, 2023, the tax years ended December 31, 2019 through 2022 remained subject to audit by federal tax authorities, and the tax years ended December 31, 2018 through 2022, remained subject to audit by state tax authorities.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color w:val="auto"/>
        </w:rPr>
        <w:t>–</w:t>
      </w:r>
      <w:r>
        <w:rPr>
          <w:rFonts w:ascii="Arial" w:cs="Arial" w:eastAsia="Arial" w:hAnsi="Arial"/>
          <w:sz w:val="18"/>
          <w:szCs w:val="18"/>
          <w:b w:val="1"/>
          <w:bCs w:val="1"/>
          <w:color w:val="auto"/>
        </w:rPr>
        <w:t xml:space="preserve"> Revenue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non-lease and rental revenues are primarily generated from the sale of finished products to customers. Those sales predominantly contain a single delivery element and revenue from such sales is recognized when the customer obtains control, which is typically when the finished product is delivered to the customer. The Company’s material revenue streams have been identified as the following: the sale of new and used commercial vehicles,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Company’s disaggregated revenue by revenue source, excluding lease and rental revenue, for the three months and six months ended June 30, 2023 and 2022 (in thousands):</w:t>
      </w:r>
    </w:p>
    <w:p>
      <w:pPr>
        <w:spacing w:after="0" w:line="170"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gridSpan w:val="3"/>
          </w:tcPr>
          <w:p>
            <w:pPr>
              <w:jc w:val="right"/>
              <w:ind w:right="43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4"/>
          </w:tcPr>
          <w:p>
            <w:pPr>
              <w:jc w:val="right"/>
              <w:ind w:right="720"/>
              <w:spacing w:after="0"/>
              <w:rPr>
                <w:sz w:val="20"/>
                <w:szCs w:val="20"/>
                <w:color w:val="auto"/>
              </w:rPr>
            </w:pPr>
            <w:r>
              <w:rPr>
                <w:rFonts w:ascii="Arial" w:cs="Arial" w:eastAsia="Arial" w:hAnsi="Arial"/>
                <w:sz w:val="18"/>
                <w:szCs w:val="18"/>
                <w:color w:val="auto"/>
              </w:rPr>
              <w:t>Six Months Ended</w:t>
            </w:r>
          </w:p>
        </w:tc>
      </w:tr>
      <w:tr>
        <w:trPr>
          <w:trHeight w:val="210"/>
        </w:trPr>
        <w:tc>
          <w:tcPr>
            <w:tcW w:w="20" w:type="dxa"/>
            <w:vAlign w:val="bottom"/>
          </w:tcPr>
          <w:p>
            <w:pPr>
              <w:spacing w:after="0"/>
              <w:rPr>
                <w:sz w:val="18"/>
                <w:szCs w:val="18"/>
                <w:color w:val="auto"/>
              </w:rPr>
            </w:pPr>
          </w:p>
        </w:tc>
        <w:tc>
          <w:tcPr>
            <w:tcW w:w="5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2"/>
              </w:rPr>
              <w:t>June 30, 2023</w:t>
            </w: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June 30, 2022</w:t>
            </w:r>
          </w:p>
        </w:tc>
        <w:tc>
          <w:tcPr>
            <w:tcW w:w="220" w:type="dxa"/>
            <w:vAlign w:val="bottom"/>
          </w:tcPr>
          <w:p>
            <w:pPr>
              <w:spacing w:after="0"/>
              <w:rPr>
                <w:sz w:val="18"/>
                <w:szCs w:val="18"/>
                <w:color w:val="auto"/>
              </w:rPr>
            </w:pPr>
          </w:p>
        </w:tc>
        <w:tc>
          <w:tcPr>
            <w:tcW w:w="128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2"/>
              </w:rPr>
              <w:t>June 30, 2023</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June 30, 2022</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Commercial vehicle sales revenue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1,250,794</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1,098,255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2,412,519</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2,033,974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Parts revenue</w:t>
            </w:r>
          </w:p>
        </w:tc>
        <w:tc>
          <w:tcPr>
            <w:tcW w:w="2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379,444</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361,562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764,898</w:t>
            </w: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692,304</w:t>
            </w: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vehicle repair service revenue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271,685</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236,736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534,458</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449,257</w:t>
            </w: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Finance revenue</w:t>
            </w:r>
          </w:p>
        </w:tc>
        <w:tc>
          <w:tcPr>
            <w:tcW w:w="2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2,978</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4,578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6,500</w:t>
            </w: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9,067</w:t>
            </w: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revenue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3,212</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6,260</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6,213</w:t>
            </w: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2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6,390</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6,395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14,969</w:t>
            </w: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11,755</w:t>
            </w:r>
          </w:p>
        </w:tc>
      </w:tr>
      <w:tr>
        <w:trPr>
          <w:trHeight w:val="250"/>
        </w:trPr>
        <w:tc>
          <w:tcPr>
            <w:tcW w:w="20" w:type="dxa"/>
            <w:vAlign w:val="bottom"/>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1,914,503</w:t>
            </w:r>
          </w:p>
        </w:tc>
        <w:tc>
          <w:tcPr>
            <w:tcW w:w="3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1,710,703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3,739,604</w:t>
            </w:r>
          </w:p>
        </w:tc>
        <w:tc>
          <w:tcPr>
            <w:tcW w:w="3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3,202,570</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All of the Company's performance obligations and associated revenues are generally transferred to customers at a point in time. The Company did not have any material contract assets or contract liabilities on the balance sheet as of June 30, 2023. Revenues related to commercial vehicle sales, parts sales, commercial vehicle repair service, finance and the majority of other revenues are related to the Truck Segment.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w:t>
      </w:r>
      <w:r>
        <w:rPr>
          <w:rFonts w:ascii="Arial" w:cs="Arial" w:eastAsia="Arial" w:hAnsi="Arial"/>
          <w:sz w:val="18"/>
          <w:szCs w:val="18"/>
          <w:color w:val="auto"/>
        </w:rPr>
        <w:t>–</w:t>
      </w:r>
      <w:r>
        <w:rPr>
          <w:rFonts w:ascii="Arial" w:cs="Arial" w:eastAsia="Arial" w:hAnsi="Arial"/>
          <w:sz w:val="18"/>
          <w:szCs w:val="18"/>
          <w:b w:val="1"/>
          <w:bCs w:val="1"/>
          <w:color w:val="auto"/>
        </w:rPr>
        <w:t xml:space="preserve">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of Vehicles as Lessor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primarily leases commercial vehicles that the Company owns to customers primarily over periods of one to ten years. The Company does not separate lease and nonlease components. Nonlease components typically consist of maintenance and licensing for the commercial vehicle. The variable nonlease components are generally based on mileage. Some leases contain an option for the lessee to purchase the commercial vehicle at the end of the lease term.</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Company’s policy is to depreciate its lease and rental fleet using a straight-line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Sales-type leases are recognized by the Company as lease receivables. The lessee obtains control of the underlying asset and the Company recognizes sales revenue upon lease commencement. The receivable for sales-type leases as of June 30, 2023 was $6.1 million, compared to $6.0 million as of December 31, 2022, and is reflected in Other Assets on the Consolidated Balance Sheet.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Lease and rental income during the three and six months ended June 30, 2023 and June 30, 2022 consisted of the following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6"/>
          </w:tcPr>
          <w:p>
            <w:pPr>
              <w:ind w:left="46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20"/>
                <w:szCs w:val="20"/>
                <w:color w:val="auto"/>
              </w:rPr>
            </w:pPr>
          </w:p>
        </w:tc>
        <w:tc>
          <w:tcPr>
            <w:tcW w:w="2540" w:type="dxa"/>
            <w:vAlign w:val="bottom"/>
            <w:gridSpan w:val="4"/>
          </w:tcPr>
          <w:p>
            <w:pPr>
              <w:jc w:val="right"/>
              <w:ind w:right="550"/>
              <w:spacing w:after="0"/>
              <w:rPr>
                <w:sz w:val="20"/>
                <w:szCs w:val="20"/>
                <w:color w:val="auto"/>
              </w:rPr>
            </w:pPr>
            <w:r>
              <w:rPr>
                <w:rFonts w:ascii="Arial" w:cs="Arial" w:eastAsia="Arial" w:hAnsi="Arial"/>
                <w:sz w:val="18"/>
                <w:szCs w:val="18"/>
                <w:color w:val="auto"/>
              </w:rPr>
              <w:t>Six Months Ended</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June 30, 2023</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5"/>
              </w:rPr>
              <w:t>June 30, 2022</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87"/>
              </w:rPr>
              <w:t>June 30, 2023</w:t>
            </w: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June 30, 2022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Minimum rental payments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3"/>
              </w:rPr>
              <w:t>76,431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70,652</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151,591</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132,650</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Nonlease payments</w:t>
            </w:r>
          </w:p>
        </w:tc>
        <w:tc>
          <w:tcPr>
            <w:tcW w:w="100" w:type="dxa"/>
            <w:vAlign w:val="bottom"/>
          </w:tcPr>
          <w:p>
            <w:pPr>
              <w:spacing w:after="0"/>
              <w:rPr>
                <w:sz w:val="18"/>
                <w:szCs w:val="18"/>
                <w:color w:val="auto"/>
              </w:rPr>
            </w:pP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w w:val="87"/>
              </w:rPr>
              <w:t>12,118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9,886</w:t>
            </w: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23,624</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19,223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2"/>
            <w:shd w:val="clear" w:color="auto" w:fill="CCEEFF"/>
          </w:tcPr>
          <w:p>
            <w:pPr>
              <w:ind w:left="620"/>
              <w:spacing w:after="0"/>
              <w:rPr>
                <w:sz w:val="20"/>
                <w:szCs w:val="20"/>
                <w:color w:val="auto"/>
              </w:rPr>
            </w:pPr>
            <w:r>
              <w:rPr>
                <w:rFonts w:ascii="Arial" w:cs="Arial" w:eastAsia="Arial" w:hAnsi="Arial"/>
                <w:sz w:val="18"/>
                <w:szCs w:val="18"/>
                <w:color w:val="auto"/>
                <w:w w:val="87"/>
              </w:rPr>
              <w:t>88,549</w:t>
            </w:r>
          </w:p>
        </w:tc>
        <w:tc>
          <w:tcPr>
            <w:tcW w:w="18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80,538</w:t>
            </w:r>
          </w:p>
        </w:tc>
        <w:tc>
          <w:tcPr>
            <w:tcW w:w="20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175,215</w:t>
            </w:r>
          </w:p>
        </w:tc>
        <w:tc>
          <w:tcPr>
            <w:tcW w:w="20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151,873</w:t>
            </w: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r>
      <w:tr>
        <w:trPr>
          <w:trHeight w:val="413"/>
        </w:trPr>
        <w:tc>
          <w:tcPr>
            <w:tcW w:w="580" w:type="dxa"/>
            <w:vAlign w:val="bottom"/>
          </w:tcPr>
          <w:p>
            <w:pPr>
              <w:spacing w:after="0"/>
              <w:rPr>
                <w:sz w:val="24"/>
                <w:szCs w:val="24"/>
                <w:color w:val="auto"/>
              </w:rPr>
            </w:pPr>
          </w:p>
        </w:tc>
        <w:tc>
          <w:tcPr>
            <w:tcW w:w="45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12</w:t>
            </w:r>
          </w:p>
        </w:tc>
        <w:tc>
          <w:tcPr>
            <w:tcW w:w="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4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w:t>
      </w:r>
      <w:r>
        <w:rPr>
          <w:rFonts w:ascii="Arial" w:cs="Arial" w:eastAsia="Arial" w:hAnsi="Arial"/>
          <w:sz w:val="18"/>
          <w:szCs w:val="18"/>
          <w:color w:val="auto"/>
        </w:rPr>
        <w:t>–</w:t>
      </w:r>
      <w:r>
        <w:rPr>
          <w:rFonts w:ascii="Arial" w:cs="Arial" w:eastAsia="Arial" w:hAnsi="Arial"/>
          <w:sz w:val="18"/>
          <w:szCs w:val="18"/>
          <w:b w:val="1"/>
          <w:bCs w:val="1"/>
          <w:color w:val="auto"/>
        </w:rPr>
        <w:t xml:space="preserve"> Accumulated Other Comprehensive Income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components of accumulated other comprehensive income (loss) (in thousands):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2022</w:t>
            </w:r>
          </w:p>
        </w:tc>
        <w:tc>
          <w:tcPr>
            <w:tcW w:w="2820" w:type="dxa"/>
            <w:vAlign w:val="bottom"/>
            <w:gridSpan w:val="2"/>
            <w:shd w:val="clear" w:color="auto" w:fill="CCEEFF"/>
          </w:tcPr>
          <w:p>
            <w:pPr>
              <w:jc w:val="right"/>
              <w:ind w:right="40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(4,130)</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2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2023</w:t>
            </w:r>
          </w:p>
        </w:tc>
        <w:tc>
          <w:tcPr>
            <w:tcW w:w="22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2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18"/>
                <w:szCs w:val="18"/>
                <w:color w:val="auto"/>
              </w:rPr>
            </w:pPr>
          </w:p>
        </w:tc>
      </w:tr>
      <w:tr>
        <w:trPr>
          <w:trHeight w:val="249"/>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2023</w:t>
            </w:r>
          </w:p>
        </w:tc>
        <w:tc>
          <w:tcPr>
            <w:tcW w:w="2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functional currency of the Company’s foreign subsidiary, RTC Canada, is its local currency. Results of operations of RTC Canada are translated into USD using the average exchange rates on a monthly basis during the year. The assets and liabilities of RTC Canada are translated into USD using the exchange rates in effect on the balance sheet date. The related translation adjustments are recorded in a separate component of stockholders' equity in accumulated other comprehensive loss and the statement of comprehensive income.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w:t>
      </w:r>
      <w:r>
        <w:rPr>
          <w:rFonts w:ascii="Arial" w:cs="Arial" w:eastAsia="Arial" w:hAnsi="Arial"/>
          <w:sz w:val="18"/>
          <w:szCs w:val="18"/>
          <w:b w:val="1"/>
          <w:bCs w:val="1"/>
          <w:color w:val="auto"/>
        </w:rPr>
        <w:t xml:space="preserve"> Accounts Receivable and Allowance for Credit Losses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establishes an allowance for credit losses to present the net amount of accounts receivable expected to be collected. Under Accounting Standards Update No.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r>
        <w:rPr>
          <w:rFonts w:ascii="Arial" w:cs="Arial" w:eastAsia="Arial" w:hAnsi="Arial"/>
          <w:sz w:val="18"/>
          <w:szCs w:val="18"/>
          <w:i w:val="1"/>
          <w:iCs w:val="1"/>
          <w:color w:val="auto"/>
        </w:rPr>
        <w:t>Credit Losses (Topic 326): Measurement of Credit Losses on Financial Instruments</w:t>
      </w:r>
      <w:r>
        <w:rPr>
          <w:rFonts w:ascii="Arial" w:cs="Arial" w:eastAsia="Arial" w:hAnsi="Arial"/>
          <w:sz w:val="18"/>
          <w:szCs w:val="18"/>
          <w:color w:val="auto"/>
        </w:rPr>
        <w:t>, the Company is required to remeasure expected credit losses for financial instruments held on the reporting date based on historical experience, current conditions and reasonable forecasts.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Accounts receivable consists primarily of commercial vehicle sales receivables, manufacturers’ receivables and leasing, parts and service sales receivables and other trade receivables. The Company maintains an allowance for credit losses based on the probability of default, its historical rate of losses, aging and current economic conditions. The Company writes off account balances when it has exhausted reasonable collection efforts and determined that the likelihood of collection is remote. These write-offs are charged against the allowance for credit losses.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the allowance for credit losses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Write offs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Provision for</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Against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Balance</w:t>
            </w:r>
          </w:p>
        </w:tc>
        <w:tc>
          <w:tcPr>
            <w:tcW w:w="18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the Six</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Allowance,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December 31,</w:t>
            </w:r>
          </w:p>
        </w:tc>
        <w:tc>
          <w:tcPr>
            <w:tcW w:w="128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Months Ended</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net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Balance</w:t>
            </w:r>
          </w:p>
        </w:tc>
      </w:tr>
      <w:tr>
        <w:trPr>
          <w:trHeight w:val="230"/>
        </w:trPr>
        <w:tc>
          <w:tcPr>
            <w:tcW w:w="4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2022</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87"/>
              </w:rPr>
              <w:t>June 30, 2023</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8"/>
              </w:rPr>
              <w:t>Recoveries</w:t>
            </w: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w w:val="87"/>
              </w:rPr>
              <w:t>June 30, 2023</w:t>
            </w:r>
          </w:p>
        </w:tc>
      </w:tr>
      <w:tr>
        <w:trPr>
          <w:trHeight w:val="210"/>
        </w:trPr>
        <w:tc>
          <w:tcPr>
            <w:tcW w:w="4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Commercial vehicle receivables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Manufacturers’ receivables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573</w:t>
            </w: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804</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Leasing, parts and service receivables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3,936</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Other receivables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0"/>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 xml:space="preserve"> Acquisitions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On May 2, 2022, the Company completed the acquisition of an additional 30% equity interest in RTC Canada, resulting in an 80% controlling interest in RTC Canada. The acquisition was accounted for as an acquisition achieved in stages under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acquisition-date fair value of the previous 50% equity interest was $44.7 million, resulting in a gain of $7.0 million included in the line item Other income (expense) on the Consolidated Statements of Income for the three months ended June 30, 2022 and for the six months ended June 30, 2022. The Company also recognized a reversal of deferred tax liabilities of $2.2 million and $0.6 million related to reclassification of the foreign currency translation adjustment related to the remeasurement of the Company’s previous equity method investment in RTC Canada Income for the three months ended June 30, 2022 and for the six months ended June 30, 2022.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As of May 2, 2022, the Company established a noncontrolling interest related to the minority holders. The fair value of the 20% noncontrolling interest in RTC Canada is estimated to be $17.8 million. The fair value of the noncontrolling interest was estimated using a combination of the income approach and a market approach. Since RTC Canada is a private company, the fair value measurement is based on significant inputs that are not observable in the market and thus represents a Level 3 measurement as defined in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The fair value estimates are based on: (i) a discount rate of 11%; (ii) a terminal value based on a long-term sustainable growth rate of 3%; (iii) financial multiples of companies in the same industry as RTC Canada; and (iv) adjustments because of the lack of control or lack of marketability that market participants would consider when estimating the fair value of the noncontrolling interest in RTC Canada.</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purchase price was allocated based on the fair values of the assets and liabilities at the date of acquisition as follows (in thousands):</w:t>
      </w:r>
    </w:p>
    <w:p>
      <w:pPr>
        <w:spacing w:after="0" w:line="25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4,310</w:t>
            </w:r>
          </w:p>
        </w:tc>
      </w:tr>
      <w:tr>
        <w:trPr>
          <w:trHeight w:val="216"/>
        </w:trPr>
        <w:tc>
          <w:tcPr>
            <w:tcW w:w="53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19,072</w:t>
            </w: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56,255</w:t>
            </w:r>
          </w:p>
        </w:tc>
      </w:tr>
      <w:tr>
        <w:trPr>
          <w:trHeight w:val="216"/>
        </w:trPr>
        <w:tc>
          <w:tcPr>
            <w:tcW w:w="5320" w:type="dxa"/>
            <w:vAlign w:val="bottom"/>
          </w:tcPr>
          <w:p>
            <w:pPr>
              <w:ind w:left="20"/>
              <w:spacing w:after="0"/>
              <w:rPr>
                <w:sz w:val="20"/>
                <w:szCs w:val="20"/>
                <w:color w:val="auto"/>
              </w:rPr>
            </w:pPr>
            <w:r>
              <w:rPr>
                <w:rFonts w:ascii="Arial" w:cs="Arial" w:eastAsia="Arial" w:hAnsi="Arial"/>
                <w:sz w:val="18"/>
                <w:szCs w:val="18"/>
                <w:color w:val="auto"/>
              </w:rPr>
              <w:t>Property and equipment, including real estate</w:t>
            </w:r>
          </w:p>
        </w:tc>
        <w:tc>
          <w:tcPr>
            <w:tcW w:w="2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80,196</w:t>
            </w: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Floor plan notes payable</w:t>
            </w:r>
          </w:p>
        </w:tc>
        <w:tc>
          <w:tcPr>
            <w:tcW w:w="2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(30,501)</w:t>
            </w:r>
          </w:p>
        </w:tc>
      </w:tr>
      <w:tr>
        <w:trPr>
          <w:trHeight w:val="216"/>
        </w:trPr>
        <w:tc>
          <w:tcPr>
            <w:tcW w:w="5320" w:type="dxa"/>
            <w:vAlign w:val="bottom"/>
          </w:tcPr>
          <w:p>
            <w:pPr>
              <w:ind w:left="20"/>
              <w:spacing w:after="0"/>
              <w:rPr>
                <w:sz w:val="20"/>
                <w:szCs w:val="20"/>
                <w:color w:val="auto"/>
              </w:rPr>
            </w:pPr>
            <w:r>
              <w:rPr>
                <w:rFonts w:ascii="Arial" w:cs="Arial" w:eastAsia="Arial" w:hAnsi="Arial"/>
                <w:sz w:val="18"/>
                <w:szCs w:val="18"/>
                <w:color w:val="auto"/>
              </w:rPr>
              <w:t>Trade payables</w:t>
            </w:r>
          </w:p>
        </w:tc>
        <w:tc>
          <w:tcPr>
            <w:tcW w:w="2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(19,978)</w:t>
            </w: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deposits</w:t>
            </w:r>
          </w:p>
        </w:tc>
        <w:tc>
          <w:tcPr>
            <w:tcW w:w="2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(1,980)</w:t>
            </w:r>
          </w:p>
        </w:tc>
      </w:tr>
      <w:tr>
        <w:trPr>
          <w:trHeight w:val="216"/>
        </w:trPr>
        <w:tc>
          <w:tcPr>
            <w:tcW w:w="532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2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(7,875)</w:t>
            </w: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2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(69,545)</w:t>
            </w:r>
          </w:p>
        </w:tc>
      </w:tr>
      <w:tr>
        <w:trPr>
          <w:trHeight w:val="216"/>
        </w:trPr>
        <w:tc>
          <w:tcPr>
            <w:tcW w:w="53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44,174</w:t>
            </w: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rights</w:t>
            </w:r>
          </w:p>
        </w:tc>
        <w:tc>
          <w:tcPr>
            <w:tcW w:w="2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3,906</w:t>
            </w:r>
          </w:p>
        </w:tc>
      </w:tr>
      <w:tr>
        <w:trPr>
          <w:trHeight w:val="216"/>
        </w:trPr>
        <w:tc>
          <w:tcPr>
            <w:tcW w:w="5320" w:type="dxa"/>
            <w:vAlign w:val="bottom"/>
          </w:tcPr>
          <w:p>
            <w:pPr>
              <w:ind w:left="20"/>
              <w:spacing w:after="0"/>
              <w:rPr>
                <w:sz w:val="20"/>
                <w:szCs w:val="20"/>
                <w:color w:val="auto"/>
              </w:rPr>
            </w:pPr>
            <w:r>
              <w:rPr>
                <w:rFonts w:ascii="Arial" w:cs="Arial" w:eastAsia="Arial" w:hAnsi="Arial"/>
                <w:sz w:val="18"/>
                <w:szCs w:val="18"/>
                <w:color w:val="auto"/>
              </w:rPr>
              <w:t>Other</w:t>
            </w:r>
          </w:p>
        </w:tc>
        <w:tc>
          <w:tcPr>
            <w:tcW w:w="2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3,422</w:t>
            </w: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 in RTC Canada</w:t>
            </w:r>
          </w:p>
        </w:tc>
        <w:tc>
          <w:tcPr>
            <w:tcW w:w="2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(37,309)</w:t>
            </w:r>
          </w:p>
        </w:tc>
      </w:tr>
      <w:tr>
        <w:trPr>
          <w:trHeight w:val="216"/>
        </w:trPr>
        <w:tc>
          <w:tcPr>
            <w:tcW w:w="532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2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(17,828)</w:t>
            </w: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equity method investment</w:t>
            </w:r>
          </w:p>
        </w:tc>
        <w:tc>
          <w:tcPr>
            <w:tcW w:w="2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(6,958)</w:t>
            </w:r>
          </w:p>
        </w:tc>
      </w:tr>
      <w:tr>
        <w:trPr>
          <w:trHeight w:val="210"/>
        </w:trPr>
        <w:tc>
          <w:tcPr>
            <w:tcW w:w="53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32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Total</w:t>
            </w:r>
          </w:p>
        </w:tc>
        <w:tc>
          <w:tcPr>
            <w:tcW w:w="2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19,361</w:t>
            </w:r>
          </w:p>
        </w:tc>
      </w:tr>
      <w:tr>
        <w:trPr>
          <w:trHeight w:val="20"/>
        </w:trPr>
        <w:tc>
          <w:tcPr>
            <w:tcW w:w="53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goodwill of $44.2 million for the RTC Canada acquisition is primarily attributable to the synergies expected to arise after obtaining a controlling interest in the entity.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Prior to May 2, 2022, the Company accounted for its 50% equity interest in RTC Canada as an equity-method investment. Subsequent to the Company’s acquisition of the additional 30% equity interest on May 2, 2022, operations of RTC Canada are included in the accompanying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w:t>
      </w:r>
      <w:r>
        <w:rPr>
          <w:rFonts w:ascii="Arial" w:cs="Arial" w:eastAsia="Arial" w:hAnsi="Arial"/>
          <w:sz w:val="18"/>
          <w:szCs w:val="18"/>
          <w:b w:val="1"/>
          <w:bCs w:val="1"/>
          <w:color w:val="auto"/>
        </w:rPr>
        <w:t xml:space="preserve"> Subsequent Event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July 25, 2023, the Company’s Board of Directors declared a three-for-two stock split with respect to both the Company’s Class A and Class B common stock. The stock split will be effected in the form of a stock dividend payable on August 28, 2023, to shareholders of record as of August 7, 2023. Holders of the Company’s common stock will receive an additional one-half share for each share of common stock held as of the record date. The Company’s Class A and Class B common stock will begin trading on a split adjusted basis on August 29, 2023.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Certain statements contained in this Form 10-Q (or otherwise made by the Company or on the Company</w:t>
      </w:r>
      <w:r>
        <w:rPr>
          <w:rFonts w:ascii="Arial" w:cs="Arial" w:eastAsia="Arial" w:hAnsi="Arial"/>
          <w:sz w:val="16"/>
          <w:szCs w:val="16"/>
          <w:color w:val="auto"/>
        </w:rPr>
        <w:t>’</w:t>
      </w:r>
      <w:r>
        <w:rPr>
          <w:rFonts w:ascii="Arial" w:cs="Arial" w:eastAsia="Arial" w:hAnsi="Arial"/>
          <w:sz w:val="16"/>
          <w:szCs w:val="16"/>
          <w:i w:val="1"/>
          <w:iCs w:val="1"/>
          <w:color w:val="auto"/>
        </w:rPr>
        <w:t>s behalf from time to time in other reports, filings with the Securities and Exchange Commission (</w:t>
      </w:r>
      <w:r>
        <w:rPr>
          <w:rFonts w:ascii="Arial" w:cs="Arial" w:eastAsia="Arial" w:hAnsi="Arial"/>
          <w:sz w:val="16"/>
          <w:szCs w:val="16"/>
          <w:color w:val="auto"/>
        </w:rPr>
        <w:t>“</w:t>
      </w:r>
      <w:r>
        <w:rPr>
          <w:rFonts w:ascii="Arial" w:cs="Arial" w:eastAsia="Arial" w:hAnsi="Arial"/>
          <w:sz w:val="16"/>
          <w:szCs w:val="16"/>
          <w:i w:val="1"/>
          <w:iCs w:val="1"/>
          <w:color w:val="auto"/>
        </w:rPr>
        <w:t>SEC</w:t>
      </w:r>
      <w:r>
        <w:rPr>
          <w:rFonts w:ascii="Arial" w:cs="Arial" w:eastAsia="Arial" w:hAnsi="Arial"/>
          <w:sz w:val="16"/>
          <w:szCs w:val="16"/>
          <w:color w:val="auto"/>
        </w:rPr>
        <w:t>”</w:t>
      </w:r>
      <w:r>
        <w:rPr>
          <w:rFonts w:ascii="Arial" w:cs="Arial" w:eastAsia="Arial" w:hAnsi="Arial"/>
          <w:sz w:val="16"/>
          <w:szCs w:val="16"/>
          <w:i w:val="1"/>
          <w:iCs w:val="1"/>
          <w:color w:val="auto"/>
        </w:rPr>
        <w:t xml:space="preserve">), news releases, conferences, website postings or otherwise) that are not statements of historical fact constitute </w:t>
      </w:r>
      <w:r>
        <w:rPr>
          <w:rFonts w:ascii="Arial" w:cs="Arial" w:eastAsia="Arial" w:hAnsi="Arial"/>
          <w:sz w:val="16"/>
          <w:szCs w:val="16"/>
          <w:color w:val="auto"/>
        </w:rPr>
        <w:t>“</w:t>
      </w:r>
      <w:r>
        <w:rPr>
          <w:rFonts w:ascii="Arial" w:cs="Arial" w:eastAsia="Arial" w:hAnsi="Arial"/>
          <w:sz w:val="16"/>
          <w:szCs w:val="16"/>
          <w:i w:val="1"/>
          <w:iCs w:val="1"/>
          <w:color w:val="auto"/>
        </w:rPr>
        <w:t>forward-looking statements</w:t>
      </w:r>
      <w:r>
        <w:rPr>
          <w:rFonts w:ascii="Arial" w:cs="Arial" w:eastAsia="Arial" w:hAnsi="Arial"/>
          <w:sz w:val="16"/>
          <w:szCs w:val="16"/>
          <w:color w:val="auto"/>
        </w:rPr>
        <w:t>”</w:t>
      </w:r>
      <w:r>
        <w:rPr>
          <w:rFonts w:ascii="Arial" w:cs="Arial" w:eastAsia="Arial" w:hAnsi="Arial"/>
          <w:sz w:val="16"/>
          <w:szCs w:val="16"/>
          <w:i w:val="1"/>
          <w:iCs w:val="1"/>
          <w:color w:val="auto"/>
        </w:rPr>
        <w:t xml:space="preserve"> within the meaning of the Private Securities Litigation Reform Act of 1995, Section 27A of the Securities Act of 1933, as amended (the </w:t>
      </w:r>
      <w:r>
        <w:rPr>
          <w:rFonts w:ascii="Arial" w:cs="Arial" w:eastAsia="Arial" w:hAnsi="Arial"/>
          <w:sz w:val="16"/>
          <w:szCs w:val="16"/>
          <w:color w:val="auto"/>
        </w:rPr>
        <w:t>“</w:t>
      </w:r>
      <w:r>
        <w:rPr>
          <w:rFonts w:ascii="Arial" w:cs="Arial" w:eastAsia="Arial" w:hAnsi="Arial"/>
          <w:sz w:val="16"/>
          <w:szCs w:val="16"/>
          <w:i w:val="1"/>
          <w:iCs w:val="1"/>
          <w:color w:val="auto"/>
        </w:rPr>
        <w:t>Securities Act</w:t>
      </w:r>
      <w:r>
        <w:rPr>
          <w:rFonts w:ascii="Arial" w:cs="Arial" w:eastAsia="Arial" w:hAnsi="Arial"/>
          <w:sz w:val="16"/>
          <w:szCs w:val="16"/>
          <w:color w:val="auto"/>
        </w:rPr>
        <w:t>”</w:t>
      </w:r>
      <w:r>
        <w:rPr>
          <w:rFonts w:ascii="Arial" w:cs="Arial" w:eastAsia="Arial" w:hAnsi="Arial"/>
          <w:sz w:val="16"/>
          <w:szCs w:val="16"/>
          <w:i w:val="1"/>
          <w:iCs w:val="1"/>
          <w:color w:val="auto"/>
        </w:rPr>
        <w:t xml:space="preserve">), and Section 21E of the Exchange Act of 1934, as amended (the </w:t>
      </w: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w:t>
      </w:r>
      <w:r>
        <w:rPr>
          <w:rFonts w:ascii="Arial" w:cs="Arial" w:eastAsia="Arial" w:hAnsi="Arial"/>
          <w:sz w:val="16"/>
          <w:szCs w:val="16"/>
          <w:i w:val="1"/>
          <w:iCs w:val="1"/>
          <w:color w:val="auto"/>
        </w:rPr>
        <w:t>), notwithstanding that such statements are not specifically identified. Forward-looking statements include statements about the Company</w:t>
      </w:r>
      <w:r>
        <w:rPr>
          <w:rFonts w:ascii="Arial" w:cs="Arial" w:eastAsia="Arial" w:hAnsi="Arial"/>
          <w:sz w:val="16"/>
          <w:szCs w:val="16"/>
          <w:color w:val="auto"/>
        </w:rPr>
        <w:t>’</w:t>
      </w:r>
      <w:r>
        <w:rPr>
          <w:rFonts w:ascii="Arial" w:cs="Arial" w:eastAsia="Arial" w:hAnsi="Arial"/>
          <w:sz w:val="16"/>
          <w:szCs w:val="16"/>
          <w:i w:val="1"/>
          <w:iCs w:val="1"/>
          <w:color w:val="auto"/>
        </w:rPr>
        <w:t>s financial position, business strategy and plans and objectives of management of the Company for future operations. These forward-looking statements reflect the best judgments of the Company about the future events and trends based on the beliefs of the Company</w:t>
      </w:r>
      <w:r>
        <w:rPr>
          <w:rFonts w:ascii="Arial" w:cs="Arial" w:eastAsia="Arial" w:hAnsi="Arial"/>
          <w:sz w:val="16"/>
          <w:szCs w:val="16"/>
          <w:color w:val="auto"/>
        </w:rPr>
        <w:t>’</w:t>
      </w:r>
      <w:r>
        <w:rPr>
          <w:rFonts w:ascii="Arial" w:cs="Arial" w:eastAsia="Arial" w:hAnsi="Arial"/>
          <w:sz w:val="16"/>
          <w:szCs w:val="16"/>
          <w:i w:val="1"/>
          <w:iCs w:val="1"/>
          <w:color w:val="auto"/>
        </w:rPr>
        <w:t>s management as well as assumptions made by and information currently available to the Company</w:t>
      </w:r>
      <w:r>
        <w:rPr>
          <w:rFonts w:ascii="Arial" w:cs="Arial" w:eastAsia="Arial" w:hAnsi="Arial"/>
          <w:sz w:val="16"/>
          <w:szCs w:val="16"/>
          <w:color w:val="auto"/>
        </w:rPr>
        <w:t>’</w:t>
      </w:r>
      <w:r>
        <w:rPr>
          <w:rFonts w:ascii="Arial" w:cs="Arial" w:eastAsia="Arial" w:hAnsi="Arial"/>
          <w:sz w:val="16"/>
          <w:szCs w:val="16"/>
          <w:i w:val="1"/>
          <w:iCs w:val="1"/>
          <w:color w:val="auto"/>
        </w:rPr>
        <w:t xml:space="preserve">s management. Use of the words </w:t>
      </w:r>
      <w:r>
        <w:rPr>
          <w:rFonts w:ascii="Arial" w:cs="Arial" w:eastAsia="Arial" w:hAnsi="Arial"/>
          <w:sz w:val="16"/>
          <w:szCs w:val="16"/>
          <w:color w:val="auto"/>
        </w:rPr>
        <w:t>“</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w:t>
      </w:r>
      <w:r>
        <w:rPr>
          <w:rFonts w:ascii="Arial" w:cs="Arial" w:eastAsia="Arial" w:hAnsi="Arial"/>
          <w:sz w:val="16"/>
          <w:szCs w:val="16"/>
          <w:i w:val="1"/>
          <w:iCs w:val="1"/>
          <w:color w:val="auto"/>
        </w:rPr>
        <w:t xml:space="preserve"> and </w:t>
      </w:r>
      <w:r>
        <w:rPr>
          <w:rFonts w:ascii="Arial" w:cs="Arial" w:eastAsia="Arial" w:hAnsi="Arial"/>
          <w:sz w:val="16"/>
          <w:szCs w:val="16"/>
          <w:color w:val="auto"/>
        </w:rPr>
        <w:t>“</w:t>
      </w:r>
      <w:r>
        <w:rPr>
          <w:rFonts w:ascii="Arial" w:cs="Arial" w:eastAsia="Arial" w:hAnsi="Arial"/>
          <w:sz w:val="16"/>
          <w:szCs w:val="16"/>
          <w:i w:val="1"/>
          <w:iCs w:val="1"/>
          <w:color w:val="auto"/>
        </w:rPr>
        <w:t>intend</w:t>
      </w:r>
      <w:r>
        <w:rPr>
          <w:rFonts w:ascii="Arial" w:cs="Arial" w:eastAsia="Arial" w:hAnsi="Arial"/>
          <w:sz w:val="16"/>
          <w:szCs w:val="16"/>
          <w:color w:val="auto"/>
        </w:rPr>
        <w:t>”</w:t>
      </w:r>
      <w:r>
        <w:rPr>
          <w:rFonts w:ascii="Arial" w:cs="Arial" w:eastAsia="Arial" w:hAnsi="Arial"/>
          <w:sz w:val="16"/>
          <w:szCs w:val="16"/>
          <w:i w:val="1"/>
          <w:iCs w:val="1"/>
          <w:color w:val="auto"/>
        </w:rPr>
        <w:t xml:space="preserve"> 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w:t>
      </w:r>
      <w:r>
        <w:rPr>
          <w:rFonts w:ascii="Arial" w:cs="Arial" w:eastAsia="Arial" w:hAnsi="Arial"/>
          <w:sz w:val="16"/>
          <w:szCs w:val="16"/>
          <w:color w:val="auto"/>
        </w:rPr>
        <w:t>“</w:t>
      </w:r>
      <w:r>
        <w:rPr>
          <w:rFonts w:ascii="Arial" w:cs="Arial" w:eastAsia="Arial" w:hAnsi="Arial"/>
          <w:sz w:val="16"/>
          <w:szCs w:val="16"/>
          <w:i w:val="1"/>
          <w:iCs w:val="1"/>
          <w:color w:val="auto"/>
        </w:rPr>
        <w:t>Risk Factors</w:t>
      </w:r>
      <w:r>
        <w:rPr>
          <w:rFonts w:ascii="Arial" w:cs="Arial" w:eastAsia="Arial" w:hAnsi="Arial"/>
          <w:sz w:val="16"/>
          <w:szCs w:val="16"/>
          <w:color w:val="auto"/>
        </w:rPr>
        <w:t>”</w:t>
      </w:r>
      <w:r>
        <w:rPr>
          <w:rFonts w:ascii="Arial" w:cs="Arial" w:eastAsia="Arial" w:hAnsi="Arial"/>
          <w:sz w:val="16"/>
          <w:szCs w:val="16"/>
          <w:i w:val="1"/>
          <w:iCs w:val="1"/>
          <w:color w:val="auto"/>
        </w:rPr>
        <w:t xml:space="preserve"> in the Company</w:t>
      </w:r>
      <w:r>
        <w:rPr>
          <w:rFonts w:ascii="Arial" w:cs="Arial" w:eastAsia="Arial" w:hAnsi="Arial"/>
          <w:sz w:val="16"/>
          <w:szCs w:val="16"/>
          <w:color w:val="auto"/>
        </w:rPr>
        <w:t>’</w:t>
      </w:r>
      <w:r>
        <w:rPr>
          <w:rFonts w:ascii="Arial" w:cs="Arial" w:eastAsia="Arial" w:hAnsi="Arial"/>
          <w:sz w:val="16"/>
          <w:szCs w:val="16"/>
          <w:i w:val="1"/>
          <w:iCs w:val="1"/>
          <w:color w:val="auto"/>
        </w:rPr>
        <w:t>s Annual Report on Form 10-K for the year ended December 31, 2022,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Commonly Used in the Company</w:t>
      </w:r>
      <w:r>
        <w:rPr>
          <w:rFonts w:ascii="Arial" w:cs="Arial" w:eastAsia="Arial" w:hAnsi="Arial"/>
          <w:sz w:val="18"/>
          <w:szCs w:val="18"/>
          <w:color w:val="auto"/>
        </w:rPr>
        <w:t>’</w:t>
      </w:r>
      <w:r>
        <w:rPr>
          <w:rFonts w:ascii="Arial" w:cs="Arial" w:eastAsia="Arial" w:hAnsi="Arial"/>
          <w:sz w:val="18"/>
          <w:szCs w:val="18"/>
          <w:b w:val="1"/>
          <w:bCs w:val="1"/>
          <w:color w:val="auto"/>
        </w:rPr>
        <w:t>s Filings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Peterbilt</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Peterbilt Motors Company. PACCAR</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PACCAR, Inc. PacLease</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PACCAR Leasing Corporation. Navistar</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Navistar, Inc. International</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Navistar, Inc. Idealease is a registered trademark of Idealease, Inc. aka Idealease of North America, Inc. Blue Bird</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Blue Bird Investment Corporation. IC Bus</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IC Bus, LLC. Hino</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Hino Motors, Ltd. Isuzu</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Isuzu Motors Limited. Ford</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Ford Motor Company. Dennis Eagle</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Dennis Eagle Limited. Cummins</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Cummins, Inc. This report contains additional trade names or trademarks of other companies. Our use of such trade names or trademarks should not imply any endorsement or relationship with such companies.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and conducts business through its subsidiaries. Our principal offices are located at 555 IH 35 South, Suite 500, New Braunfels, Texas 78130.</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full-service, integrated retailer of commercial vehicles and related services. The Truck Segment includes our operation of a network of commercial vehicle dealerships under the name “Rush Truck Centers.” Rush Truck Centers primarily sell commercial vehicles manufactured by Peterbilt, International, Hino, Ford, Isuzu, Dennis Eagle, IC Bus and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Rush Truck Centers are principally located in high traffic areas throughout the United States and Ontario, Canada. Since commencing operations as a Peterbilt heavy-duty truck dealer in 1966, we have grown to operate over 125 franchised Rush Truck Centers in 23 states. In 2019, we purchased a 50% equity interest in an entity in Canada, Rush Truck Centres of Canada Limited (“RTC Canada”) and on May 2, 2022, we purchased an additional 30% equity interest in RTC Canada that increased our equity interest to 80%. RTC Canada currently owns and operates 15 International dealership locations in Ontario. Prior to acquiring the additional 30%, we accounted for the equity interest in RTC Canada using the equity method of accounting. Now, the operating results of RTC Canada are consolidated in the Consolidated Statements of Operations, the Statements of Comprehensive Income, the Consolidated Balance Sheets and commercial vehicle unit sales data as of May 2, 2022.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business strategy consists of providing solutions to the commercial vehicle industry through our network of commercial vehicle dealerships. We offer an integrated approach to meeting customer needs by providing service, parts and collision repairs in addition to new and used commercial vehicle sales and leasing, plus financial services, vehicle upfitting, CNG fuel systems through our joint venture with Cummins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in our existing areas of operation to enable us to better serve our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A.C.T. Research Co., LLC (“A. C.T. Research”), a commercial vehicle industry data and forecasting service provider, currently forecasts new U.S. Class 8 retail truck sales to be 272,600 units in 2023, which would represent a 5.2% increase compared to 2022. We expect our U.S. market share of new Class 8 truck sales to range between 6.1% and 6.6% in 2023. This market share percentage would result in the sale of approximately 16,500 to 18,000 new Class 8 trucks in 2023. Additionally, we expect to sell approximately 750 new Class 8 trucks in Canada in 2023.</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With respect to new U.S. Class 4 through 7 retail commercial vehicle sales, A.C.T. Research currently forecasts sales to be 248,150 units in 2023, which would represent a 6.2% increase compared to 2022. We expect our U.S. market share of new Class 4 through 7 commercial vehicle sales to range between 4.6% and 5.2% in 2023. This market share percentage would result in the sale of approximately 11,500 to 13,000 new Class 4 through 7 commercial vehicles in 2023. Additionally, we expect to sell approximately 250 new Class 5 through 7 commercial vehicles in Canada in 2023.</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expect to sell approximately 1,800 to 2,000 light-duty vehicles and approximately 6,700 to 7,300 used commercial vehicles in 2023.</w:t>
      </w:r>
    </w:p>
    <w:p>
      <w:pPr>
        <w:spacing w:after="0" w:line="23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expect lease and rental revenue to increase 10% to 15% during 2023, compared to 2022. This projected increase in lease and rental revenue is primarily related to strong demand for lease commercial vehicles and the consolidation of RTC Canada into our operating results.</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respect to Aftermarket Products and Services, we are beginning to see demand softening due to difficult operating conditions affecting certain customers, particularly our over-the-road customers, which is our largest customer segment. Despite a difficult operating environment, we believe that our ability to execute on certain of our strategic initiatives and our commitment to diversifying our customer base over the last couple of years will enable us to continue to achieve strong financial results going forward.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above projections for new commercial vehicle sales will depend on our ability to obtain commercial vehicles from the manufacturers we represent and such projections could be negatively impacted by manufacturer allocation decisions, supply chain issues affecting manufacturers’ production and delivery delays by truck body upfitters due to supply issues, which are primarily affecting medium-duty truck deliveries. In addition, we continue to monitor inflation, interest rates and freight rates, which may negatively impact consumer spending and capital expenditures across a variety of industries we support.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preparation of our interim unaudited consolidated financial statements in accordance with GAAP requires us to make estimates and assumptions that affect the reported amounts of assets and liabilities, revenues and expenses and the related disclosures of contingent assets and liabilities in our interim unaudited consolidated financial statements and accompanying notes. In accordance with GAAP, we base our estimates on historical experience and on various other assumptions that we believe are reasonable under the circumstances. We evaluate our estimates, judgments and assumptions on an ongoing basis, and while we believe that our estimates, judgments and assumptions are reasonable, they are based upon information available at the time. Actual results might differ from these estimates under different assumptions or conditions.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significant accounting policies are discussed in Item 7, "Management's Discussion and Analysis of Financial Condition and Results of Operations" under the heading "Critical Accounting Policies and Estimates" in our Form 10-K. There were no material changes to our significant accounting policies.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discussion and analysis includes our historical results of operations for the three months and six months periods ended June 30, 2023 and 2022.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financial data as a percentage of total revenues for the periods indicated:</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222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2"/>
              </w:rPr>
              <w:t>Three Months Ended</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4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4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0"/>
        </w:trPr>
        <w:tc>
          <w:tcPr>
            <w:tcW w:w="4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8"/>
                <w:szCs w:val="18"/>
                <w:color w:val="auto"/>
              </w:rPr>
            </w:pPr>
          </w:p>
        </w:tc>
      </w:tr>
      <w:tr>
        <w:trPr>
          <w:trHeight w:val="209"/>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New and used commercial vehicle sales</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c>
          <w:tcPr>
            <w:tcW w:w="7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61.6%</w:t>
            </w: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60.6%</w:t>
            </w: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Aftermarket products and services sales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40" w:type="dxa"/>
            <w:vAlign w:val="bottom"/>
            <w:shd w:val="clear" w:color="auto" w:fill="CCEEFF"/>
          </w:tcPr>
          <w:p>
            <w:pPr>
              <w:spacing w:after="0"/>
              <w:rPr>
                <w:sz w:val="18"/>
                <w:szCs w:val="18"/>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Lease and rental sales</w:t>
            </w: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2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Cost of products sold</w:t>
            </w:r>
          </w:p>
        </w:tc>
        <w:tc>
          <w:tcPr>
            <w:tcW w:w="420" w:type="dxa"/>
            <w:vAlign w:val="bottom"/>
          </w:tcPr>
          <w:p>
            <w:pPr>
              <w:jc w:val="right"/>
              <w:spacing w:after="0"/>
              <w:rPr>
                <w:sz w:val="20"/>
                <w:szCs w:val="20"/>
                <w:color w:val="auto"/>
              </w:rPr>
            </w:pPr>
            <w:r>
              <w:rPr>
                <w:rFonts w:ascii="Arial" w:cs="Arial" w:eastAsia="Arial" w:hAnsi="Arial"/>
                <w:sz w:val="18"/>
                <w:szCs w:val="18"/>
                <w:color w:val="auto"/>
              </w:rPr>
              <w:t>79.3</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79.1</w:t>
            </w:r>
          </w:p>
        </w:tc>
        <w:tc>
          <w:tcPr>
            <w:tcW w:w="1200" w:type="dxa"/>
            <w:vAlign w:val="bottom"/>
          </w:tcPr>
          <w:p>
            <w:pPr>
              <w:jc w:val="right"/>
              <w:spacing w:after="0"/>
              <w:rPr>
                <w:sz w:val="20"/>
                <w:szCs w:val="20"/>
                <w:color w:val="auto"/>
              </w:rPr>
            </w:pPr>
            <w:r>
              <w:rPr>
                <w:rFonts w:ascii="Arial" w:cs="Arial" w:eastAsia="Arial" w:hAnsi="Arial"/>
                <w:sz w:val="18"/>
                <w:szCs w:val="18"/>
                <w:color w:val="auto"/>
              </w:rPr>
              <w:t>79.2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78.5</w:t>
            </w:r>
          </w:p>
        </w:tc>
        <w:tc>
          <w:tcPr>
            <w:tcW w:w="140" w:type="dxa"/>
            <w:vAlign w:val="bottom"/>
          </w:tcPr>
          <w:p>
            <w:pPr>
              <w:spacing w:after="0"/>
              <w:rPr>
                <w:sz w:val="18"/>
                <w:szCs w:val="18"/>
                <w:color w:val="auto"/>
              </w:rPr>
            </w:pPr>
          </w:p>
        </w:tc>
      </w:tr>
      <w:tr>
        <w:trPr>
          <w:trHeight w:val="209"/>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18"/>
                <w:szCs w:val="18"/>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12.6</w:t>
            </w:r>
          </w:p>
        </w:tc>
        <w:tc>
          <w:tcPr>
            <w:tcW w:w="1200" w:type="dxa"/>
            <w:vAlign w:val="bottom"/>
          </w:tcPr>
          <w:p>
            <w:pPr>
              <w:jc w:val="right"/>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8"/>
                <w:szCs w:val="18"/>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Gain (loss) on sale of assets</w:t>
            </w: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1200" w:type="dxa"/>
            <w:vAlign w:val="bottom"/>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r>
      <w:tr>
        <w:trPr>
          <w:trHeight w:val="209"/>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1200" w:type="dxa"/>
            <w:vAlign w:val="bottom"/>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r>
      <w:tr>
        <w:trPr>
          <w:trHeight w:val="20"/>
        </w:trPr>
        <w:tc>
          <w:tcPr>
            <w:tcW w:w="44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44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7.8</w:t>
            </w: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r>
      <w:tr>
        <w:trPr>
          <w:trHeight w:val="20"/>
        </w:trPr>
        <w:tc>
          <w:tcPr>
            <w:tcW w:w="44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44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6.1</w:t>
            </w: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r>
      <w:tr>
        <w:trPr>
          <w:trHeight w:val="20"/>
        </w:trPr>
        <w:tc>
          <w:tcPr>
            <w:tcW w:w="44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4440" w:type="dxa"/>
            <w:vAlign w:val="bottom"/>
          </w:tcPr>
          <w:p>
            <w:pPr>
              <w:spacing w:after="0"/>
              <w:rPr>
                <w:sz w:val="20"/>
                <w:szCs w:val="20"/>
                <w:color w:val="auto"/>
              </w:rPr>
            </w:pPr>
            <w:r>
              <w:rPr>
                <w:rFonts w:ascii="Arial" w:cs="Arial" w:eastAsia="Arial" w:hAnsi="Arial"/>
                <w:sz w:val="18"/>
                <w:szCs w:val="18"/>
                <w:b w:val="1"/>
                <w:bCs w:val="1"/>
                <w:color w:val="auto"/>
              </w:rPr>
              <w:t>Net income attributable to Rush Enterprises, Inc.</w:t>
            </w:r>
          </w:p>
        </w:tc>
        <w:tc>
          <w:tcPr>
            <w:tcW w:w="7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7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4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the percent of gross profit by revenue source: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8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27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Six Months Ended</w:t>
            </w:r>
          </w:p>
        </w:tc>
        <w:tc>
          <w:tcPr>
            <w:tcW w:w="8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74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New and used commercial vehicle sales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8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Aftermarket products and services sales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4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Lease and rental sales</w:t>
            </w: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6.7</w:t>
            </w: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w:t>
            </w: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0" w:type="dxa"/>
            <w:vAlign w:val="bottom"/>
          </w:tcPr>
          <w:p>
            <w:pPr>
              <w:spacing w:after="0"/>
              <w:rPr>
                <w:sz w:val="18"/>
                <w:szCs w:val="18"/>
                <w:color w:val="auto"/>
              </w:rPr>
            </w:pPr>
          </w:p>
        </w:tc>
      </w:tr>
      <w:tr>
        <w:trPr>
          <w:trHeight w:val="425"/>
        </w:trPr>
        <w:tc>
          <w:tcPr>
            <w:tcW w:w="340" w:type="dxa"/>
            <w:vAlign w:val="bottom"/>
          </w:tcPr>
          <w:p>
            <w:pPr>
              <w:spacing w:after="0"/>
              <w:rPr>
                <w:sz w:val="24"/>
                <w:szCs w:val="24"/>
                <w:color w:val="auto"/>
              </w:rPr>
            </w:pPr>
          </w:p>
        </w:tc>
        <w:tc>
          <w:tcPr>
            <w:tcW w:w="444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17</w:t>
            </w: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44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sets forth the unit sales and revenues for new heavy-duty, new medium-duty, new light-duty and used commercial vehicles and the absorption ratio (revenues in millions):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92"/>
              </w:rPr>
              <w:t>Three Months Ended</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350"/>
              <w:spacing w:after="0" w:line="191"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350"/>
              <w:spacing w:after="0" w:line="191"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r>
      <w:tr>
        <w:trPr>
          <w:trHeight w:val="234"/>
        </w:trPr>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Change</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240" w:type="dxa"/>
            <w:vAlign w:val="bottom"/>
          </w:tcPr>
          <w:p>
            <w:pPr>
              <w:spacing w:after="0"/>
              <w:rPr>
                <w:sz w:val="20"/>
                <w:szCs w:val="20"/>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Change</w:t>
            </w:r>
          </w:p>
        </w:tc>
      </w:tr>
      <w:tr>
        <w:trPr>
          <w:trHeight w:val="210"/>
        </w:trPr>
        <w:tc>
          <w:tcPr>
            <w:tcW w:w="2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unit sales:</w:t>
            </w: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New heavy-duty vehicles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4,168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8,665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7,696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w w:val="98"/>
              </w:rPr>
              <w:t>New medium-duty vehicles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4,956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New light-duty vehicles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889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195"/>
        </w:trPr>
        <w:tc>
          <w:tcPr>
            <w:tcW w:w="2140" w:type="dxa"/>
            <w:vAlign w:val="bottom"/>
            <w:shd w:val="clear" w:color="auto" w:fill="CCEEFF"/>
          </w:tcPr>
          <w:p>
            <w:pPr>
              <w:ind w:left="160"/>
              <w:spacing w:after="0" w:line="195" w:lineRule="exact"/>
              <w:rPr>
                <w:sz w:val="20"/>
                <w:szCs w:val="20"/>
                <w:color w:val="auto"/>
              </w:rPr>
            </w:pPr>
            <w:r>
              <w:rPr>
                <w:rFonts w:ascii="Arial" w:cs="Arial" w:eastAsia="Arial" w:hAnsi="Arial"/>
                <w:sz w:val="18"/>
                <w:szCs w:val="18"/>
                <w:color w:val="auto"/>
              </w:rPr>
              <w:t>Total new vehicle unit</w:t>
            </w: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2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8,229</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7,391</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16,134</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13,541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Used vehicles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3,553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4,024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revenue: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New heavy-duty vehicles</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773.9</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691.2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1,510.6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1,237.4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22.1%</w:t>
            </w: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w w:val="98"/>
              </w:rPr>
              <w:t>New medium-duty vehicles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418.3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New light-duty vehicles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33.7%</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44.0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25.0%</w:t>
            </w: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1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Total new vehicle revenue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1,699.7</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Used vehicle revenue</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107.7</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-24.4%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210.4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328.1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-35.9%</w:t>
            </w:r>
          </w:p>
        </w:tc>
      </w:tr>
      <w:tr>
        <w:trPr>
          <w:trHeight w:val="216"/>
        </w:trPr>
        <w:tc>
          <w:tcPr>
            <w:tcW w:w="21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Other vehicle revenue</w:t>
            </w:r>
            <w:r>
              <w:rPr>
                <w:rFonts w:ascii="Arial" w:cs="Arial" w:eastAsia="Arial" w:hAnsi="Arial"/>
                <w:sz w:val="25"/>
                <w:szCs w:val="25"/>
                <w:color w:val="auto"/>
                <w:vertAlign w:val="superscript"/>
              </w:rPr>
              <w:t>(1)</w:t>
            </w: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173.4%</w:t>
            </w:r>
          </w:p>
        </w:tc>
      </w:tr>
      <w:tr>
        <w:trPr>
          <w:trHeight w:val="198"/>
        </w:trPr>
        <w:tc>
          <w:tcPr>
            <w:tcW w:w="2140" w:type="dxa"/>
            <w:vAlign w:val="bottom"/>
          </w:tcPr>
          <w:p>
            <w:pPr>
              <w:spacing w:after="0" w:line="198" w:lineRule="exact"/>
              <w:rPr>
                <w:sz w:val="20"/>
                <w:szCs w:val="20"/>
                <w:color w:val="auto"/>
              </w:rPr>
            </w:pPr>
            <w:r>
              <w:rPr>
                <w:rFonts w:ascii="Arial" w:cs="Arial" w:eastAsia="Arial" w:hAnsi="Arial"/>
                <w:sz w:val="18"/>
                <w:szCs w:val="18"/>
                <w:b w:val="1"/>
                <w:bCs w:val="1"/>
                <w:color w:val="auto"/>
              </w:rPr>
              <w:t>Dealership absorption</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2140" w:type="dxa"/>
            <w:vAlign w:val="bottom"/>
          </w:tcPr>
          <w:p>
            <w:pPr>
              <w:spacing w:after="0"/>
              <w:rPr>
                <w:sz w:val="20"/>
                <w:szCs w:val="20"/>
                <w:color w:val="auto"/>
              </w:rPr>
            </w:pPr>
            <w:r>
              <w:rPr>
                <w:rFonts w:ascii="Arial" w:cs="Arial" w:eastAsia="Arial" w:hAnsi="Arial"/>
                <w:sz w:val="18"/>
                <w:szCs w:val="18"/>
                <w:b w:val="1"/>
                <w:bCs w:val="1"/>
                <w:color w:val="auto"/>
              </w:rPr>
              <w:t>ratio:</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139.7%</w:t>
            </w:r>
          </w:p>
        </w:tc>
        <w:tc>
          <w:tcPr>
            <w:tcW w:w="16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136.4%</w:t>
            </w:r>
          </w:p>
        </w:tc>
        <w:tc>
          <w:tcPr>
            <w:tcW w:w="14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0"/>
                <w:szCs w:val="20"/>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138.6%</w:t>
            </w:r>
          </w:p>
        </w:tc>
        <w:tc>
          <w:tcPr>
            <w:tcW w:w="16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136.8%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w:t>
            </w:r>
          </w:p>
        </w:tc>
      </w:tr>
    </w:tbl>
    <w:p>
      <w:pPr>
        <w:ind w:left="660"/>
        <w:spacing w:after="0"/>
        <w:rPr>
          <w:sz w:val="20"/>
          <w:szCs w:val="20"/>
          <w:color w:val="auto"/>
        </w:rPr>
      </w:pPr>
      <w:r>
        <w:rPr>
          <w:rFonts w:ascii="Arial" w:cs="Arial" w:eastAsia="Arial" w:hAnsi="Arial"/>
          <w:sz w:val="18"/>
          <w:szCs w:val="18"/>
          <w:color w:val="auto"/>
        </w:rPr>
        <w:t>(1) Includes sales of truck bodies, trailers and other new equipment.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Absorption Ratio</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Management uses several performance metrics to evaluate the performance of our commercial vehicle dealerships and considers Rush Truck Centers’ “absorption ratio” to be of critical importance. Our absorption ratio is calculated by dividing the gross profit from our Aftermarket Products and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139.7% absorption ratio for the second quarter of 2023 and a 136.4% absorption ratio for the second quarter of 2022.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2023 Compared to Three Months Ended June 30, 2022</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Total revenues increased $211.8 million, or 11.8%, in the second quarter of 2023, compared to the second quarter of 2022. This increase was primarily the result of strong demand for new commercial vehicles, increased production of commercial vehicles from the manufacturers we represent and the consolidation of RTC Canada into our operating results as of May 2022.</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Aftermarket Products and Services revenues increased $52.8 million, or 8.8%, in the second quarter of 2023, compared to the second quarter of 2022. The increase in Aftermarket Parts and Services revenues was primarily a result of healthy demand, inflation and the consolidation of RTC Canada into our operating results.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Revenues from sales of new and used commercial vehicles increased $152.5 million, or 13.9%, in the second quarter of 2023, compared to the second quarter of 2022. The increase in new commercial vehicle revenues was primarily a result of strong demand, increased production of commercial vehicles from the manufacturers we represent and the consolidation of RTC Canada into our operating results.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sold 4,300 new Class 8 trucks in the second quarter of 2023, a 3.2% increase compared to 4,168 new Class 8 trucks in the second quarter of 2022. The increase in new Class 8 truck sales was primarily a result of strong demand, increased production of commercial vehicles from the manufacturers we represent and the consolidation of RTC Canada into our operating results.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sold 3,477 new Class 4 through 7 commercial vehicles, including 462 buses, in the second quarter of 2023, a 23.5% increase compared to 2,815 new medium-duty commercial vehicles, including 279 buses, in the second quarter of 2022. The increase in new Class 4 through 7 commercial vehicle sales was primarily a result of strong demand, increased production of commercial vehicles from the manufacturers we represent and the consolidation of RTC Canada into our operating results.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sold 452 light-duty vehicles in the second quarter of 2023, a 10.8% increase compared to 408 light-duty vehicles sold in the second quarter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sold 1,869 used commercial vehicles in the second quarter of 2023, a 14.7% increase compared to 1,629 used commercial vehicles sold in the second quarter of 2022. Although we experienced growth in used commercial vehicle sales year-over-year, we expect demand and values to remain low through 2023 due to new commercial vehicle production continuing to increase and anticipated low freight rates.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Commercial vehicle lease and rental revenues increased $8.0 million, or 9.9%, in the second quarter of 2023, compared to the second quarter of 2022. This increase in commercial vehicle lease and rental revenues was primarily a result of strong demand for lease commercial vehicles and the consolidation of RTC Canada into our operating results.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Finance and insurance revenues decreased $1.6 million, or 20.2%, in the second quarter of 2023, compared to the second quarter of 2022. This decrease is primarily due to the mix of purchasers of commercial vehicles. During the second quarter of 2023, most of our sales were to larger fleets, which usually arrange their own financing. We are more likely to provide financing to owner-operators and smaller fleets, which comprised a smaller percentage of commercial vehicle sales during the second quarter of 2023. Finance and insurance revenues have limited direct costs and, therefore, contribute a disproportionate share of our operating profits.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Gross profit increased $39.6 million, or 10.6%, in the second quarter of 2023, compared to the second quarter of 2022. Gross profit as a percentage of sales decreased to 20.7% in the second quarter of 2023, from 20.9% in the second quarter of 2022. This decrease in gross profit as a percentage of sales is a result of a change in our product sales mix. Commercial vehicle sales, a lower margin revenue item, increased as a percentage of total revenues to 62.4% in the second quarter of 2023, from 61.3% in the second quarter of 2022. Aftermarket Products and Services revenues, a higher margin revenue item, decreased as a percentage of total revenues to 32.5% in the second quarter of 2023, from 33.4% in the second quarter of 2022.</w:t>
      </w:r>
    </w:p>
    <w:p>
      <w:pPr>
        <w:spacing w:after="0" w:line="16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Gross margins from our Aftermarket Products and Services operations decreased to 38.1% in the second quarter of 2023, from 38.6% in the second quarter of 2022. Gross profit from our Aftermarket Products and Services operations increased to $247.8 million in the second quarter of 2023, from $231.0 million in the second quarter of 2022. This increase is primarily related to the consolidation of RTC Canada into our operating results and strong parts and service demand. Historically, gross margins on parts sales range from 28% to 30% and gross margins on service and collision center operations range from 66% to 68%. Gross profits from parts sales represented 60.5% of total gross profit from Aftermarket Products and Services operations in the second quarter of 2023 and 63.6% in the second quarter of 2022. Service and collision center operations represented 39.5% of total gross profit from Aftermarket Products and Services operations in the second quarter of 2023 and 36.4% in the second quarter of 2022. We expect blended gross margins on Aftermarket Products and Services operations to range from 37.5% to 38.5% in 2023.</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Gross margins on new Class 8 truck sales increased to 10.3% in the second quarter of 2023, from 9.9% in the second quarter of 2022. This increase was primarily due to strong demand for new Class 8 trucks and the mix of purchasers during the first quarter of 2023. In 2023, we expect overall gross margins from new heavy-duty truck sales of approximately 9.0% to 10.0%.</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Gross margins on new Class 4 through 7 commercial vehicle sales increased to 8.8% in the second quarter of 2023, from 7.3% in the second quarter of 2022. This increase was primarily due to the mix of purchasers during the second quarter of 2023. For 2023, we expect overall gross margins from new medium-duty commercial vehicle sales of approximately 7.5% to 8.8%, but this will largely depend upon the mix of purchasers and types of vehicles sold.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Gross margins on used commercial vehicle sales increased to 11.8% in the second quarter of 2023, from 10.6% in the second quarter of 2022. This increase was primarily due to strategic inventory management. We expect margins on used commercial vehicles to range between 8.0% and 10.0% in 2023.</w:t>
      </w:r>
    </w:p>
    <w:p>
      <w:pPr>
        <w:spacing w:after="0" w:line="12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Gross margins from truck lease and rental sales decreased to 30.5% in the second quarter of 2023, from 31.3% in the second quarter of 2022. This decrease is primarily related to increased maintenance expenses for the lease and rental fleet. In addition, lease revenue, a lower margin revenue item, increased more than rental revenue, a higher margin revenue item, in the second quarter of 2023 compared to the second quarter of 2022. We expect gross margins from lease and rental sales of approximately 29.0% to 31.0% during 2023. Our policy is to depreciate our lease and rental fleet using a straight-line method over each customer’s contractual lease term. The lease unit is depreciated to a residual value that approximates fair value at the expiration of the lease term. This policy results in us realizing reasonable gross margins while the unit is in service and a corresponding gain or loss on sale when the unit is sold at the end of the lease term.</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Finance and insurance revenues and other revenues,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Selling, General and Administrative (“SG&amp;A”) expenses increased $31.4 million, or 13.9%, in the second quarter of 2023, compared to the second quarter of 2022. This increase primarily resulted from increased personnel expense and increased selling expense, compared to the second quarter of 2022, and in addition, increased general and administrative expense associated with consolidation of RTC Canada into our operating results. SG&amp;A expenses as a percentage of total revenues increased to 12.8% in the second quarter of 2023, from 12.6% in the second quarter of 2022. Annual SG&amp;A expenses as a percentage of total revenues have ranged from approximately 12.4% to 14.4% over the last five years. In general, when new and used commercial vehicle revenues increase as a percentage of total revenues, SG&amp;A expenses as a percentage of total revenues will be at the lower end of this range. For 2023, we expect SG&amp;A expenses as a percentage of total revenues to range from 12.8% to 13.5%. For 2023, we expect the selling portion of SG&amp;A expenses to be approximately 25.0% to 30.0% of new and used commercial vehicle gross profit.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Net interest expense increased $9.1 million, or 286.3%, in the second quarter of 2023, compared to the second quarter of 2022. This increase in interest expense is a result of the increase in inventory levels and rising interest rates on our variable rate debt compared to 2022. We expect net interest expense in 2023, compared to 2022, to increase due to interest related to our working capital lines of credit and floor plan debt, but the amount of the increase will depend on inventory levels, interest rate fluctuations and the amount of cash available to make prepayments on our floor plan arrangements.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result of the factors described above, income before income taxes decreased $9.7 million, or 6.9%, in the second quarter of 2023, compared to the second quarter of 2022. This decrease is primarily due to the one-time gain of $9.8 million recognized in the second quarter of 2022 related to the acquisition of an additional 30% interest in Rush Truck Centres of Canada Limited.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taxes increased $2.5 million, or 8.4%, in the second quarter of 2023, compared to the second quarter of 2022. We provided for taxes at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24.5% effective rate in the second quarter of 2023 and 21.1% in the second quarter of 2022. We expect our effective tax rate to be approximately 24.0%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24.5% of pretax income in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2023, Compared to Six Months Ended June 30, 2022</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stated below, our variance explanations and future expectations with regards to the items discussed in this section are set forth in the discussion of the “Three Months Ended June 30, 2023, Compared to Three Months Ended June 30,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Total revenues increased $560.4 million, or 16.7%, in the first six months of 2023, compared to the first six months of 2022. Sales of new and used commercial vehicles increased $378.5 million, or 18.6%, in the first six months of 2023, compared to the first six months of 2022.</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Aftermarket Products and Services revenues increased $157.8 million, or 13.8%, in the first six months of 2023, compared to the first six months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2022.</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sold 8,665 new Class 8 heavy-duty trucks in the first six months of 2023, a 12.6% increase compared to 7,696 new Class 8 heavy-duty trucks in the first six months of 2022. According to A.C.T. Research, retail sales in the U.S. Class 8 truck market increased 19.9% in the first six months of 2023, compared to the first six months of 2022.</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sold 6,513 new Class 4 through 7 medium-duty commercial vehicles, including 805 buses, in the first six months of 2023. This represented a 31.4% increase compared to 4,956 new Class 4 through 7 medium-duty commercial vehicles, including 504 buses, in the first six months of 2022. A.C.T. Research estimates that unit sales of new Class 4 through 7 commercial vehicles in the U.S. increased approximately 9.2% in the first six months of 2023, compared to the first six months of 2022.</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sold 956 new light-duty vehicles in the first six months of 2023, a 7.5% increase compared to 889 new light-duty vehicles sold in the first six months of 2022.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sold 3,553 used commercial vehicles in the first six months of 2023, an 11.7% decrease compared to 4,024 used commercial vehicles in the first six months of 2022.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Truck lease and rental revenues increased $23.3 million, or 15.4%, in the first six months of 2023, compared to the first six months of 2022.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Finance and insurance revenues decreased $2.5 million, or 16.5%, in the first six months of 2023, compared to the first six months of 2022.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profit increased $93.0 million, or 12.9%, in the first six months of 2023, compared to the first six months of 2022. Gross profit as a percentage of sales was 20.8% in the first six months of 2023 and 21.5% in the first six months of 2022.</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Gross margins from Aftermarket Products and Services operations decreased to 38.0% in the first six months of 2023, from 38.5% in the first six months of 2022. Gross profit for Aftermarket Products and Services was $493.9 million in the first six months of 2023, compared to $440.1 million in the first six months of 2022. Gross profit from parts sales represented 61.0% of the total gross profit for Aftermarket Products and Services operations in the first six months of 2023 and 63.1% in the first six months of 2022. Service and collision center operations represented 39.0% of the total gross profit for Aftermarket Products and Services operations in the first six months of 2023 and 36.9% in the first six months of 2022.</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Gross margins on new Class 8 heavy-duty truck sales increased to 10.1% in the first six months of 2023, from 9.8% in the first six months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margins on new Class 4 through 7 medium-duty commercial vehicle sales increased to 8.8% in the first six months of 2023, from 7.8% in the first six months of 2022.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used commercial vehicle sales decreased to 10.5% in the first six months of 2023, from 13.6% in the first six months of 2022.</w:t>
      </w: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from truck lease and rental sales decreased to 30.4% in the first six months of 2023, from 31.6% in the first six months of 2022.</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SG&amp;A expenses increased $63.7 million, or 14.2%, in the first six months of 2023, compared to the first six months of 2022. SG&amp;A expenses equaled 13.1% of total revenue in the first six months of 2023, compared to 13.4% in the first six months of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Expense,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interest expense increased $18.8 million, or 429.3%, in the first six months of 2023, compared to the first six months of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Income before income taxes decreased $10.9 million, or 4.2%, in the first six months of 2023, compared to the first six months of 2022.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Income taxes increased $2.9 million, or 5.1%, in the first six months of 2023, compared to the first six months of 2022. We provided for taxes at a 24.2% rate in the first six months of 2023 and a 22.0% rate in the first six months of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June 30, 2023, we had working capital of approximately $467.0 million, including $191.9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various credit agreements. The resulting interest earned on the floor plan credit agreement with BMO Harris Bank N.A. (“BMO Harris”) (the “Floor Plan Credit Agreement”) is recognized as an offset to our interest expense.</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continually evaluate our liquidity and capital resources based upon: (i) our cash and cash equivalents on hand; (ii) the funds that we expect to generate through future operations; (iii) current and expected borrowing availability under our secured line of credit, working capital lines of credit available under certain of our credit agreements and our Floor Plan Credit Agreement; and (iv) the potential impact of our capital allocation strategy and any contemplated or pending future transactions, including, but not limited to, acquisitions, equity repurchases, dividends, or other capital expenditures. We believe we will have sufficient liquidity to meet our debt service and working capital requirements, commitments and contingencies, debt repayments, acquisitions, capital expenditures and any operating requirements for at least the next twelve months.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 secured line of credit that provides for a maximum borrowing of $20.0 million. There were no advances outstanding under this secured line of credit on June 30, 2023, however, $18.0 million was pledged to secure various letters of credit related to self-insurance products, leaving $2.0 million available for future borrowings as of June 30, 2023.</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long-term debt, floor plan financing agreements and the credit agreement with Wells Fargo Bank, National Association the (“WF Credit Agreement”) require us to satisfy various financial ratios such as the leverage ratio, the asset coverage ratio and the fixed charge coverage ratio. As of June 30, 2023, we were in compliance with all debt covenants related to debt secured by lease and rental units, our floor plan credit agreements and the WF Credit Agreement. We do not anticipate any breach of the covenants in the foreseeable future.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expect to purchase or lease commercial vehicles worth approximately $170.0 million to $180.0 million for our leasing operations during 2023, depending on customer demand. We also expect to make capital expenditures for the purchase of recurring items such as computers, shop tools and equipment and company vehicles of approximately $35.0 million to $40.0 million during 2023.</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currently under contract to construct a new facility in the St. Louis, Illinois area at an estimated cost of $13.9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the second quarter of 2023, we paid a cash dividend of $11.4 million. On July 25, 2023, the Company’s Board of Directors declared a three-for-two stock split with respect to both the Company’s Class A and Class B common stock. The stock split will be effected in the form of a stock dividend payable on August 28, 2023, to shareholders of record as of August 7, 2023. Holders of the Company’s common stock will receive an additional one-half share for each share of common stock held as of the record date. Additionally, on July 25, 2023, our Board of Directors declared a cash dividend of $0.17 per share of Class A and Class B common stock, to be paid on September 22, 2023, to all shareholders of record as of September 7, 2023, which on a post-stock split basis represents a 21.4% increase compared to the cash dividend we paid in the second quarter of 2023. The total dividend disbursement is estimated at approximately $13.7 million. We expect to continue paying cash dividends on a quarterly basis. However, there is no assurance as to future dividends because the declaration and payment of such dividends is subject to the business judgment of our Board of Directors and will depend on historic and projected earnings, capital requirements, covenant compliance and financial conditions and such other factors as our Board of Directors deem relevant.</w:t>
      </w:r>
    </w:p>
    <w:p>
      <w:pPr>
        <w:spacing w:after="0" w:line="19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December 2, 2022, we announced that our Board of Directors approved a new stock repurchase program authorizing management to repurchase, from time to time, up to an aggregate of $150.0 million of our shares of Class A common stock and/or Class B common stock. In connection with the adoption of the new stock repurchase plan, we terminated the prior stock repurchase plan, which was scheduled to expire on December 31, 2022.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stock repurchase program will be determined by management at its discretion and will depend on a number of factors, including market conditions, stock price and other factors, including those related to the ownership requirements of our dealership agreements with Peterbilt. As of June 30, 2023, we had repurchased $71.4 million of our shares of common stock under the current stock repurchase program. The current stock repurchase program expires on December 31, 2023, and may be suspended or discontinued at any time.</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no other material commitments for capital expenditures as of June 30, 2023. However, we will continue to purchase vehicles for our lease and rental operations and authorize capital expenditures for the improvement or expansion of our existing dealership facilities and construction or purchase of new facilities based on market opportunities.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and cash equivalents decreased by $9.2 million during the six months ended June 30, 2023 and increased by $68.5 million during the six months ended June 30, 2022. The major components of these changes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Cash flows from operating activities include net income adjusted for non-cash items and the effects of changes in working capital. During the first six months of 2023, operating activities resulted in net cash provided by operations of $114.0 million. Net cash provided by operating activities primarily consisted of $189.3 million in net income, as well as non-cash adjustments related to depreciation and amortization of $108.6 million, stock-based compensation of $19.0 million and the benefit for deferred income tax expense of $2.9 million. Cash provided by operating activities included an aggregate of $205.7 million net change in operating assets and liabilities. Included in the net change in operating assets and liabilities were cash inflows of $12.8 million from the increase in accounts payable, which was offset by cash outflows of $15.9 million from the increase in accounts receivable, $174.4 million from the increase in inventories, $5.7 million from the increase in other assets, $14.9 million from the decrease in customer deposits and $7.4 million from the decrease in accrued liabilities. The majority of our commercial vehicle inventory is financed through our floor plan credit agreements.</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first six months of 2022, operating activities resulted in net cash provided by operations of $58.2 million. Net cash provided by operating activities primarily consisted of $202.7 million in net income, as well as non-cash adjustments related to depreciation and amortization of $95.1 million, stock-based compensation of $18.0 million and the benefit for deferred income tax expense of $4.1 million. Cash provided by operating activities included an aggregate of $236.9 million net change in operating assets and liabilities. Included in the net change in operating assets and liabilities were cash inflows of $33.3 million from the increase in accounts payable and $18.6 million from the increase in accrued liabilities, which was offset by cash outflows of $85.1 million from the increase in accounts receivable, $193.0 million from the increase in inventories, $1.9 million from the increase in other assets, and $8.8 million from the decrease in customer deposits.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first six months of 2023, cash used in investing activities was $188.9 million. Cash flows used in investing activities consist primarily of cash used for the acquisition of property and equipment. Acquisition of property and equipment totaled $186.0 million during the first six months of 2023 and consisted primarily of purchases of machine and shop equipment, furniture and fixtures, real estate and facilities, improvements to our existing dealership facilities and $138.6 million for purchases of rental and lease vehicles for our rental and leasing operations.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first six months of 2022, cash used in investing activities was $94.2 million. Cash flows used in investing activities consisted primarily of cash used for capital expenditures and the purchase of the additional 30% equity interest in RTC Canada. Cash flows used in investing activities consist primarily of cash used for the acquisition of property and equipment. Acquisition of property and equipment totaled $107.2 million during the first six months of 2022 and consisted primarily of purchases of machine and shop equipment, furniture and fixtures, real estate and facilities, improvements to our existing dealership facilities and $71.4 million for purchases of rental and lease vehicles for our rental and leasing operations. Additionally, during the first six months of 2022, cash outflows consisted of $15.1 million related to the acquisition of the additional 30% equity interest in RTC Canada. The cash outflows were offset by the cash inflow of $27.5 million related to Cummins, Inc.’s acquisition of a 50% equity interest in Momentum Fuel Technologies in the first quarter of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Cash flows from financing activities include borrowings and repayments of long-term debt and net proceeds of floor plan notes payable, non-trade. During the first six months of 2023, financing activities resulted in net cash provided by financing activities of $65.7 million, primarily related to cash inflows of $9.7 million from the issuance of shares related to equity compensation plans, $191.0 million from net draws on floor plan notes payable, non-trade and borrowings of $653.4 million of long-term debt. These cash inflows were offset by $694.1 million used for principal repayments of long-term debt and capital lease obligations, $7.0 million for taxes related to net share settlement of equity awards, $63.9 million used for repurchases of common stock and $23.4 million used for payment of cash dividends. The borrowings of long-term debt were primarily related to purchasing units for the rental and leasing operations.</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first six months of 2022, financing activities resulted in net cash used in financing of $104.6 million, primarily related to cash inflows of $8.1 million from the issuance of shares related to equity compensation plans, $190.5 million from net draws on floor plan notes payable, non-trade and borrowings of $571.3 million of long-term debt. These cash inflows were offset by $582.3 million used for principal repayments of long-term debt and capital lease obligations, $8.6 million for taxes related to net share settlement of equity awards, $52.8 million used for repurchases of common stock and $21.6 million used for payment of cash dividends. The borrowings of long-term debt were primarily related to purchasing units for the rental and leasing operations.</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September 14, 2021, we entered into the WF Credit Agreement with the lenders signatory thereto (the “WF Lenders”) and Wells Fargo Bank, National Association (“WF”), as Administrative Agent (in such capacity, the “WF Agent”) which was amended effective November 30, 2022. Pursuant to the terms of the WF Credit Agreement (as amended), the WF Lenders have agreed to make up to $175.0 million of revolving credit loans for certain of our capital expenditures, including commercial vehicle purchases for our Idealease leasing and rental fleet, and general working capital needs. We expect to use the revolving credit loans available under the WF Credit Agreement primarily for the purpose of purchasing commercial vehicles for our Idealease lease and rental fleet. We may borrow, repay and reborrow amounts pursuant to the WF Credit Agreement from time to time until the maturity date. Borrowings under the WF Credit Agreement bear interest per annum, payable on each interest payment date, as defined in the WF Credit Agreement, at (A) the daily Simple, secured overnight financing rate (“SOFR”) plus (i) 1.25% or (ii) 1.5%, depending on our consolidated leverage ratio or (B) on or after the term SOFR transition date, the term SOFR plus (i) 1.25% or (ii) 1.5%, depending on our consolidated leverage ratio. The WF Credit Agreement expires on September 14, 2024, although, upon the occurrence and during the continuance of an event of default, the WF Agent has the right to, or upon the request of the required lenders must, terminate the commitments and declare all outstanding principal and interest due and payable. We may terminate the commitments at any time. On June 30, 2023, we had approximately $41.3 million outstanding under the WF Credit Agreement.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October 1, 2021, we entered into that certain Amended and Restated Inventory Financing and Purchase Money Security Agreement with PACCAR Leasing Company (“PLC”), a division of PACCAR Financial Corp. (the “PLC Agreement”). Pursuant to the terms of the PLC Agreement, PLC agreed to make up to $300.0 million of revolving credit loans to finance certain of our capital expenditures, including commercial vehicle purchases and other equipment to be leased or rented through our PacLease franchises. We may borrow, repay and reborrow amounts pursuant to the PLC Agreement from time to time until the maturity date, provided, however, that the outstanding principal amount on any date shall not exceed the borrowing base. Advances under the PLC Agreement bear interest per annum, payable on the fifth day of the following month, at our option, at either (A) the prime rate, minus 1.55%, provided that the floating rate of interest is subject to a floor of 0%, or (B) a fixed rate, to be determined between us and PLC in each instance of borrowing at a fixed rate. The PLC Agreement expires on October 1, 2025, although either party has the right to terminate the PLC Agreement at any time upon 180 days written notice. If we terminate the PLC Agreement prior to October 1, 2025, then all payments will be deemed to be voluntary prepayments subject to a potential prepayment premium. On June 30, 2023, we had approximately $150.0 million outstanding under the PLC Agreement.</w:t>
      </w:r>
    </w:p>
    <w:p>
      <w:pPr>
        <w:spacing w:after="0" w:line="16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Most of our commercial vehicle purchases are made on terms requiring payment to the manufacturer within 15 to 60 days or less from the date the commercial vehicles are invoiced from the factory. Navistar Financial Corporation and Peterbilt offer trade terms that provide an interest-free inventory stocking period for certain new commercial vehicles. This interest-free period is generally 15 to 60 days. If the commercial vehicle is not sold within the interest-free period, we then finance the commercial vehicle under the Floor Plan Credit Agreement. On September 14, 2021, we entered into Floor Plan Credit Agreement with BMO Harris and the lenders signatory thereto. The Floor Plan Credit Agreement includes an aggregate loan commitment of $1.0 billion. Prior to June 1, 2023, borrowings under the Floor Plan Credit Agreement bore interest at an annual rate equal to (A) the greater of (i) zero and (ii) one month London Interbank Offered Rate (“LIBOR”), determined on the last day of the prior month, plus (B) 1.10% and were payable monthly. On May 31, 2023 we entered into the First Amendment to the Floor Plan Credit Agreement that changed the benchmark interest rate to Term SOFR, as defined by the First Amendment. Effective June 1, 2023, borrowings under the Floor Plan Credit Agreement now bear interest per annum, payable monthly, at (A) the greater of (i) zero and (ii) Term SOFR, plus (B) 1.20%. Borrowings under the Floor Plan Credit Agreement for the purchase of used inventory are limited to $150.0 million and loans for working capital purposes are limited to $200.0 million. The Floor Plan Credit Agreement expires September 14, 2026, although BMO Harris has the right to terminate at any time upon 360 days written notice and we may terminate at any time, subject to specified limited exceptions. On June 30, 2023, we had approximately $940.4 million outstanding under the Floor Plan Credit Agreement. The average daily outstanding borrowings under the Floor Plan Credit Agreement were $824.2 million during the six months ended June 30, 2023.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May 31, 2022, RTC Canada entered into that certain BMO Revolving Lease and Rental Credit Agreement (the “RTC Canada Revolving Credit Agreement”) with BMO. Pursuant to the terms of the RTC Canada Revolving Credit Agreement, BMO agreed to make up to $120.0 million CAD of revolving credit loans to finance certain of RTC Canada’s capital expenditures, including commercial vehicle purchases and other equipment to be leased or rented through RTC Canada’s Idealease franchise, with an additional $20.0 million CAD available upon the request of RTC Canada and consent of BMO. Advances under the RTC Canada Revolving Credit Agreement bear interest per annum, payable on the first business day of each calendar month, at the Canadian Offered Dollar Rate (“CDOR”), plus 1.35%. The RTC Canada Revolving Credit Agreement expires September 14, 2026. On June 30, 2023, we had approximately $67.0 million CAD outstanding under the RTC Canada Revolving Credit Agreement.</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July 15, 2022, RTC Canada entered into that certain Amended and Restated BMO Wholesale Financing and Security Agreement (the “RTC Canada Floor Plan Agreement”) with Bank of Montreal (“BMO”). Pursuant to the terms of the Agreement, BMO agreed to make up to $116.7 million CAD of revolving credit loans to finance RTC Canada’s purchase of new and used vehicle inventory. Loans to purchase used vehicle inventory are limited to twenty percent (20%) of the credit limit available at such time. RTC Canada may borrow, repay and reborrow loans from time to time until the maturity date, provided, however, that the outstanding principal amount on any date shall not exceed the credit limits set forth above with respect to new and used vehicles. Prior to June 1, 2023, advances under the RTC Canada Floor Plan Agreement bore interest per annum, payable on the first business day of each calendar month, at CDOR, plus 0.90% and in the case of an advance required to be made in USD dollars, at LIBOR, plus 1.10%. On June 1, 2023, RTC Canada entered into the First Amendment to the RTC Canada Floor Plan Agreement that changed the interest rate in the case of an advance required to be made in USD dollars to Term SOFR, as defined by the First Amendment. Effective June 1, 2023, advances required to be made in USD dollars under the RTC Canada Floor Plan Agreement will now bear interest per annum, payable monthly, at Term SOFR, plus 1.20%. The RTC Canada Floor Plan Agreement expires September 14, 2026. On June 30, 2023, we had approximately $71.5 million CAD outstanding under the RTC Canada Floor Plan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June 30, 2023, our backlog of commercial vehicle orders was approximately $4,041.6 million, as compared to a backlog of commercial vehicle orders of approximately $3,682.9 million on June 30, 2022. This increase in our backlog is primarily due to strong demand for new commercial vehicles and production constraints experienced by the manufacturers we represent.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June 30, 2023, and we expect to fill the majority of our backlog orders during 2023 and the first half of 2024, assuming that the manufacturers we represent can meet their current production schedule. Our current backlog continues to be much higher than normal. Given the potential for industry headwinds in the coming months caused by lower spot rates and higher interest rates, which could negatively impact industry demand for new commercial vehicles moving forward, we believe that the longer it takes to fill our backlog, the greater the risk that a significant amount of commercial vehicle orders currently reflected in our backlog could be cancelled.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Aftermarket Products and Services operations historically have experienced higher sales volumes in the second and third quarters.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business is dependent on a number of factors including general economic conditions,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total U.S. retail sales of new Class 8 commercial vehicles have ranged from a low of approximately 187,600 in 2013, to a high of approximately 281,440 in 2019.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collision center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We may also have liability in connection with materials that were sent to third</w:t>
      </w:r>
      <w:r>
        <w:rPr>
          <w:rFonts w:ascii="MS PGothic" w:cs="MS PGothic" w:eastAsia="MS PGothic" w:hAnsi="MS PGothic"/>
          <w:sz w:val="17"/>
          <w:szCs w:val="17"/>
          <w:color w:val="auto"/>
        </w:rPr>
        <w:t>‑</w:t>
      </w:r>
      <w:r>
        <w:rPr>
          <w:rFonts w:ascii="Arial" w:cs="Arial" w:eastAsia="Arial" w:hAnsi="Arial"/>
          <w:sz w:val="17"/>
          <w:szCs w:val="17"/>
          <w:color w:val="auto"/>
        </w:rPr>
        <w:t>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8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Environmental Protection Agency (“EPA”) and the National Highway Traffic Safety Administration (“NHTSA”), on behalf of the U.S. Department of Transportation, issued rules associated with reducing greenhouse gas (“GHG”) emissions and improving the fuel efficiency of medium and heavy-duty trucks and buses for current model years through 2027. In addition, in August 2021, the President of the United States issued an executive order intended to increase fuel efficiency, further reduce GHG emissions and speed up the development of “zero-emission” vehicles. The executive order calls for the EPA and the Secretary of Transportation to adopt new rules and regulations for commercial vehicles starting as early as model year 2027. Similarly, in June 2020, the California Air Resources Board (“CARB”) adopted a final rule that is intended to phase out the sale of diesel-powered commercial vehicles over time by requiring a certain percentage of each manufacturer’s commercial vehicles sold within the state to be “zero-emission vehicles,” or “near-zero emission vehicles,” starting in model year 2024. In July 2023, CARB and various manufacturers of heavy-duty commercial vehicles and engines, including PACCAR, Navistar, Ford, Hino, Isuzu and Cummins, entered into the Clean Truck Partnership, whereby the manufacturers agreed to comply with CARB’s emission requirements where applicable, regardless of whether any entity challenges CARB’s rule-making authority, and CARB agreed to work with manufacturers to provide reasonable lead time to meet CARB’s requirements and before imposing new regulations. In addition, CARB agreed to align its nitrogen oxide emissions rules with the EPA’s, which go into effect starting in model year 2027, and modify certain of its 2024 nitrogen oxide emissions regulations for which manufacturers will provide offsets as needed to meet California’s emission targets. Since July 2020, a group of eighteen U.S. states and the District of Columbia have entered into a joint memorandum of understanding that adopts at least a portion of CARB’s emissions regulations and commits each of them to work together to advance and accelerate the market for electric Class 3 through 8 commercial vehicles. Six of the states are states where we operate new commercial vehicle dealerships: California, Colorado, Nevada, New Mexico, North Carolina and Virginia. The signatories to the memorandum all agreed on a goal of ensuring that 100% of new Class 3 through 8 commercial vehicles are zero emission by 2050, with an interim target of 30% zero emission vehicles by 2030. Attaining these goals would likely require the adoption of new laws and regulations and we cannot predict at this time whether such laws and regulations would have an adverse impact on our business. Additional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3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 In addition, such laws could affect demand for the products that we sell.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exposed to market risk through interest rates related to our floor plan financing agreements, the WF Credit Agreement, the PLC Agreement and discount rates related to finance sales. Our floor plan debt is based on SOFR and CDOR, the WF Credit Agreement is based on SOFR, the RTC Canada Revolving Agreement is based on CDOR and the PLC Agreement is based on the prime rate. As of June 30, 2023, we had floor plan borrowings and borrowings from WF, BMO and PLC in the amount of $1,370.7 million. Assuming an increase or decrease in SOFR, CDOR or the prime rate of 100 basis points, annual interest expense could correspondingly increase or decrease by approximately $13.7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March 31, 2023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the three months ended June 30, 2023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are involved in litigation arising out of our operations in the ordinary course of business. We maintain liability insurance, including product liability coverage, in amounts deemed adequate by management. However, an uninsured or partially insured claim, or claim for which indemnification is not available, could have a material adverse effect on our financial condition or results of operations. As of June 30, 2023, we believe that there are no pending claims or litigation, individually or in the aggregate, that are reasonably likely to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2022 Annual Report on Form 10-K (the “2022 Annual Report”) describes some of the risks and uncertainties associated with our business that have the potential to materially affect our business, financial condition or results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has been no material change in our risk factors disclosed in our 2022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make any unregistered sales of equity securities during the second quarter of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repurchase activity for the second quarter of 2023 is as follows:</w:t>
      </w:r>
    </w:p>
    <w:p>
      <w:pPr>
        <w:spacing w:after="0" w:line="200" w:lineRule="exact"/>
        <w:rPr>
          <w:sz w:val="20"/>
          <w:szCs w:val="20"/>
          <w:color w:val="auto"/>
        </w:rPr>
      </w:pP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3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w:t>
            </w:r>
          </w:p>
        </w:tc>
        <w:tc>
          <w:tcPr>
            <w:tcW w:w="22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Shares that May</w:t>
            </w:r>
          </w:p>
        </w:tc>
      </w:tr>
      <w:tr>
        <w:trPr>
          <w:trHeight w:val="216"/>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Price Paid</w:t>
            </w:r>
          </w:p>
        </w:tc>
        <w:tc>
          <w:tcPr>
            <w:tcW w:w="3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w:t>
            </w:r>
          </w:p>
        </w:tc>
        <w:tc>
          <w:tcPr>
            <w:tcW w:w="220" w:type="dxa"/>
            <w:vAlign w:val="bottom"/>
          </w:tcPr>
          <w:p>
            <w:pPr>
              <w:spacing w:after="0"/>
              <w:rPr>
                <w:sz w:val="18"/>
                <w:szCs w:val="18"/>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Per Share</w:t>
            </w:r>
          </w:p>
        </w:tc>
        <w:tc>
          <w:tcPr>
            <w:tcW w:w="3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Plans</w:t>
            </w:r>
          </w:p>
        </w:tc>
        <w:tc>
          <w:tcPr>
            <w:tcW w:w="220" w:type="dxa"/>
            <w:vAlign w:val="bottom"/>
          </w:tcPr>
          <w:p>
            <w:pPr>
              <w:spacing w:after="0"/>
              <w:rPr>
                <w:sz w:val="18"/>
                <w:szCs w:val="18"/>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Under the Plans</w:t>
            </w:r>
          </w:p>
        </w:tc>
      </w:tr>
      <w:tr>
        <w:trPr>
          <w:trHeight w:val="234"/>
        </w:trPr>
        <w:tc>
          <w:tcPr>
            <w:tcW w:w="410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3"/>
              </w:rPr>
              <w:t>(1)(2)(3)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(1)</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or Programs (2)</w:t>
            </w:r>
          </w:p>
        </w:tc>
        <w:tc>
          <w:tcPr>
            <w:tcW w:w="220" w:type="dxa"/>
            <w:vAlign w:val="bottom"/>
          </w:tcPr>
          <w:p>
            <w:pPr>
              <w:spacing w:after="0"/>
              <w:rPr>
                <w:sz w:val="20"/>
                <w:szCs w:val="20"/>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or Programs (3)</w:t>
            </w:r>
          </w:p>
        </w:tc>
      </w:tr>
      <w:tr>
        <w:trPr>
          <w:trHeight w:val="209"/>
        </w:trPr>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 April 30, 2023</w:t>
            </w:r>
          </w:p>
        </w:tc>
        <w:tc>
          <w:tcPr>
            <w:tcW w:w="10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196,525</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54.62</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196,525</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108,179,816</w:t>
            </w:r>
          </w:p>
        </w:tc>
        <w:tc>
          <w:tcPr>
            <w:tcW w:w="12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May 1 – May 31, 2023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306,752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53.00</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(5)</w:t>
            </w:r>
          </w:p>
        </w:tc>
        <w:tc>
          <w:tcPr>
            <w:tcW w:w="1380" w:type="dxa"/>
            <w:vAlign w:val="bottom"/>
          </w:tcPr>
          <w:p>
            <w:pPr>
              <w:jc w:val="right"/>
              <w:spacing w:after="0"/>
              <w:rPr>
                <w:sz w:val="20"/>
                <w:szCs w:val="20"/>
                <w:color w:val="auto"/>
              </w:rPr>
            </w:pPr>
            <w:r>
              <w:rPr>
                <w:rFonts w:ascii="Arial" w:cs="Arial" w:eastAsia="Arial" w:hAnsi="Arial"/>
                <w:sz w:val="18"/>
                <w:szCs w:val="18"/>
                <w:color w:val="auto"/>
              </w:rPr>
              <w:t>306,752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91,912,675</w:t>
            </w:r>
          </w:p>
        </w:tc>
      </w:tr>
      <w:tr>
        <w:trPr>
          <w:trHeight w:val="216"/>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1 – June 30, 2023</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218,704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60.77</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218,704</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78,614,929</w:t>
            </w:r>
          </w:p>
        </w:tc>
      </w:tr>
      <w:tr>
        <w:trPr>
          <w:trHeight w:val="210"/>
        </w:trPr>
        <w:tc>
          <w:tcPr>
            <w:tcW w:w="41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721,981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721,981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bl>
    <w:p>
      <w:pPr>
        <w:spacing w:after="0" w:line="202" w:lineRule="exact"/>
        <w:rPr>
          <w:sz w:val="20"/>
          <w:szCs w:val="20"/>
          <w:color w:val="auto"/>
        </w:rPr>
      </w:pPr>
    </w:p>
    <w:p>
      <w:pPr>
        <w:ind w:left="660" w:hanging="652"/>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calculation of the average price paid per share does not give effect to any fees, commissions or other costs associated with the repurchase of such shares.</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shares represent Class A Common Stock and Class B Common Stock repurchased by the Company.</w:t>
      </w:r>
    </w:p>
    <w:p>
      <w:pPr>
        <w:spacing w:after="0" w:line="9"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December 2, 2022, we announced the approval of a new stock repurchase program, effective December 2, 2022, authorizing management to repurchase, from time to time, up to an aggregate of $150.0 million of our shares of Class A common stock and/or Class B common stock.</w:t>
      </w:r>
    </w:p>
    <w:p>
      <w:pPr>
        <w:spacing w:after="0" w:line="1" w:lineRule="exact"/>
        <w:rPr>
          <w:rFonts w:ascii="Arial" w:cs="Arial" w:eastAsia="Arial" w:hAnsi="Arial"/>
          <w:sz w:val="16"/>
          <w:szCs w:val="16"/>
          <w:color w:val="auto"/>
        </w:rPr>
      </w:pPr>
    </w:p>
    <w:p>
      <w:pPr>
        <w:ind w:left="660" w:hanging="65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156,905 shares of Class A Common Stock at an average price paid per share of $53.43 and 39,620 shares of Class B Common Stock at an average price paid per share of $59.35.</w:t>
      </w:r>
    </w:p>
    <w:p>
      <w:pPr>
        <w:ind w:left="660" w:hanging="65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273,753 shares of Class A Common Stock at an average price paid per share of $52.43 and 32,999 shares of Class B Common Stock at an average price paid per share of $57.77.</w:t>
      </w:r>
    </w:p>
    <w:p>
      <w:pPr>
        <w:ind w:left="660" w:hanging="652"/>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162,696 shares of Class A Common Stock at an average price paid per share of $59.09 and 56,008 shares of Class B Common Stock at an average price paid per share of $65.67.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June 30, 2023, none of the Company's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ind w:left="180"/>
        <w:spacing w:after="0"/>
        <w:tabs>
          <w:tab w:leader="none" w:pos="10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i w:val="1"/>
          <w:iCs w:val="1"/>
          <w:u w:val="single" w:color="auto"/>
          <w:color w:val="auto"/>
        </w:rPr>
        <w:t>Exhibit Title</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b w:val="1"/>
          <w:bCs w:val="1"/>
          <w:u w:val="single" w:color="auto"/>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5715</wp:posOffset>
            </wp:positionV>
            <wp:extent cx="6489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89700" cy="8890"/>
                    </a:xfrm>
                    <a:prstGeom prst="rect">
                      <a:avLst/>
                    </a:prstGeom>
                    <a:noFill/>
                  </pic:spPr>
                </pic:pic>
              </a:graphicData>
            </a:graphic>
          </wp:anchor>
        </w:drawing>
      </w:r>
    </w:p>
    <w:p>
      <w:pPr>
        <w:ind w:left="1020" w:hanging="673"/>
        <w:spacing w:after="0" w:line="258"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33">
        <w:r>
          <w:rPr>
            <w:rFonts w:ascii="Arial" w:cs="Arial" w:eastAsia="Arial" w:hAnsi="Arial"/>
            <w:sz w:val="18"/>
            <w:szCs w:val="18"/>
            <w:u w:val="single" w:color="auto"/>
            <w:color w:val="0000EE"/>
          </w:rPr>
          <w:t>Restated Articles of Incorporation of Rush Enterprises, Inc. (incorporated herein by reference to Exhibit 3.1 of the Company’s Quarterly</w:t>
        </w:r>
      </w:hyperlink>
      <w:r>
        <w:rPr>
          <w:rFonts w:ascii="Arial" w:cs="Arial" w:eastAsia="Arial" w:hAnsi="Arial"/>
          <w:sz w:val="18"/>
          <w:szCs w:val="18"/>
          <w:u w:val="single" w:color="auto"/>
          <w:color w:val="0000EE"/>
        </w:rPr>
        <w:t xml:space="preserve"> </w:t>
      </w:r>
      <w:hyperlink r:id="rId33">
        <w:r>
          <w:rPr>
            <w:rFonts w:ascii="Arial" w:cs="Arial" w:eastAsia="Arial" w:hAnsi="Arial"/>
            <w:sz w:val="18"/>
            <w:szCs w:val="18"/>
            <w:u w:val="single" w:color="auto"/>
            <w:color w:val="0000EE"/>
          </w:rPr>
          <w:t>Report on Form 10-Q (File No. 000-20797) for the quarter ended June 30, 2008)</w:t>
        </w:r>
      </w:hyperlink>
    </w:p>
    <w:p>
      <w:pPr>
        <w:ind w:left="300"/>
        <w:spacing w:after="0"/>
        <w:tabs>
          <w:tab w:leader="none" w:pos="10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0000EE"/>
        </w:rPr>
        <w:t>Certificate of Amendment to the Restated Articles of Incorporation of Rush Enterprises, Inc.</w:t>
      </w:r>
    </w:p>
    <w:p>
      <w:pPr>
        <w:spacing w:after="0" w:line="9" w:lineRule="exact"/>
        <w:rPr>
          <w:sz w:val="20"/>
          <w:szCs w:val="20"/>
          <w:color w:val="auto"/>
        </w:rPr>
      </w:pPr>
    </w:p>
    <w:p>
      <w:pPr>
        <w:ind w:left="1020" w:hanging="673"/>
        <w:spacing w:after="0" w:line="250"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34">
        <w:r>
          <w:rPr>
            <w:rFonts w:ascii="Arial" w:cs="Arial" w:eastAsia="Arial" w:hAnsi="Arial"/>
            <w:sz w:val="18"/>
            <w:szCs w:val="18"/>
            <w:u w:val="single" w:color="auto"/>
            <w:color w:val="0000EE"/>
          </w:rPr>
          <w:t>Rush Enterprises, Inc. Amended and Restated Bylaws (incorporated herein by reference to Exhibit 3.1 of the Company’s Current Report on</w:t>
        </w:r>
      </w:hyperlink>
      <w:r>
        <w:rPr>
          <w:rFonts w:ascii="Arial" w:cs="Arial" w:eastAsia="Arial" w:hAnsi="Arial"/>
          <w:sz w:val="18"/>
          <w:szCs w:val="18"/>
          <w:u w:val="single" w:color="auto"/>
          <w:color w:val="0000EE"/>
        </w:rPr>
        <w:t xml:space="preserve"> </w:t>
      </w:r>
      <w:hyperlink r:id="rId34">
        <w:r>
          <w:rPr>
            <w:rFonts w:ascii="Arial" w:cs="Arial" w:eastAsia="Arial" w:hAnsi="Arial"/>
            <w:sz w:val="18"/>
            <w:szCs w:val="18"/>
            <w:u w:val="single" w:color="auto"/>
            <w:color w:val="0000EE"/>
          </w:rPr>
          <w:t>Form 8-K (File No. 000-20797) filed May 21, 2013)</w:t>
        </w:r>
      </w:hyperlink>
    </w:p>
    <w:p>
      <w:pPr>
        <w:spacing w:after="0" w:line="1" w:lineRule="exact"/>
        <w:rPr>
          <w:sz w:val="20"/>
          <w:szCs w:val="20"/>
          <w:color w:val="auto"/>
        </w:rPr>
      </w:pPr>
    </w:p>
    <w:p>
      <w:pPr>
        <w:ind w:left="1020" w:hanging="673"/>
        <w:spacing w:after="0" w:line="260"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3.4</w:t>
      </w:r>
      <w:r>
        <w:rPr>
          <w:sz w:val="20"/>
          <w:szCs w:val="20"/>
          <w:color w:val="auto"/>
        </w:rPr>
        <w:tab/>
      </w:r>
      <w:hyperlink r:id="rId35">
        <w:r>
          <w:rPr>
            <w:rFonts w:ascii="Arial" w:cs="Arial" w:eastAsia="Arial" w:hAnsi="Arial"/>
            <w:sz w:val="18"/>
            <w:szCs w:val="18"/>
            <w:u w:val="single" w:color="auto"/>
            <w:color w:val="0000EE"/>
          </w:rPr>
          <w:t>First Amendment to Amended and Restated Bylaws of Rush Enterprises, Inc. (incorporated herein by reference to Exhibit 3.1 of the</w:t>
        </w:r>
      </w:hyperlink>
      <w:r>
        <w:rPr>
          <w:rFonts w:ascii="Arial" w:cs="Arial" w:eastAsia="Arial" w:hAnsi="Arial"/>
          <w:sz w:val="18"/>
          <w:szCs w:val="18"/>
          <w:u w:val="single" w:color="auto"/>
          <w:color w:val="0000EE"/>
        </w:rPr>
        <w:t xml:space="preserve"> </w:t>
      </w:r>
      <w:hyperlink r:id="rId35">
        <w:r>
          <w:rPr>
            <w:rFonts w:ascii="Arial" w:cs="Arial" w:eastAsia="Arial" w:hAnsi="Arial"/>
            <w:sz w:val="18"/>
            <w:szCs w:val="18"/>
            <w:u w:val="single" w:color="auto"/>
            <w:color w:val="0000EE"/>
          </w:rPr>
          <w:t>Company’s Current Report on Form 8-K (File No. 000-20797) filed May 24, 2021)</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jc w:val="center"/>
              <w:ind w:right="10"/>
              <w:spacing w:after="0"/>
              <w:rPr>
                <w:sz w:val="20"/>
                <w:szCs w:val="20"/>
                <w:color w:val="auto"/>
              </w:rPr>
            </w:pPr>
            <w:r>
              <w:rPr>
                <w:rFonts w:ascii="Arial" w:cs="Arial" w:eastAsia="Arial" w:hAnsi="Arial"/>
                <w:sz w:val="18"/>
                <w:szCs w:val="18"/>
                <w:color w:val="auto"/>
                <w:w w:val="91"/>
              </w:rPr>
              <w:t>10.1</w:t>
            </w:r>
          </w:p>
        </w:tc>
        <w:tc>
          <w:tcPr>
            <w:tcW w:w="10220" w:type="dxa"/>
            <w:vAlign w:val="bottom"/>
            <w:tcBorders>
              <w:bottom w:val="single" w:sz="8" w:color="0000EE"/>
            </w:tcBorders>
            <w:gridSpan w:val="9"/>
          </w:tcPr>
          <w:p>
            <w:pPr>
              <w:spacing w:after="0"/>
              <w:rPr>
                <w:rFonts w:ascii="Arial" w:cs="Arial" w:eastAsia="Arial" w:hAnsi="Arial"/>
                <w:sz w:val="18"/>
                <w:szCs w:val="18"/>
                <w:color w:val="0000EE"/>
                <w:w w:val="90"/>
              </w:rPr>
            </w:pPr>
            <w:hyperlink r:id="rId37">
              <w:r>
                <w:rPr>
                  <w:rFonts w:ascii="Arial" w:cs="Arial" w:eastAsia="Arial" w:hAnsi="Arial"/>
                  <w:sz w:val="18"/>
                  <w:szCs w:val="18"/>
                  <w:color w:val="0000EE"/>
                  <w:w w:val="90"/>
                </w:rPr>
                <w:t>First Amendment to Fifth Amended and Restated Credit Agreement, dated as of May 31, 2023, by and among the Company and certain of its</w:t>
              </w:r>
            </w:hyperlink>
          </w:p>
        </w:tc>
      </w:tr>
      <w:tr>
        <w:trPr>
          <w:trHeight w:val="196"/>
        </w:trPr>
        <w:tc>
          <w:tcPr>
            <w:tcW w:w="1020" w:type="dxa"/>
            <w:vAlign w:val="bottom"/>
          </w:tcPr>
          <w:p>
            <w:pPr>
              <w:spacing w:after="0"/>
              <w:rPr>
                <w:sz w:val="17"/>
                <w:szCs w:val="17"/>
                <w:color w:val="auto"/>
              </w:rPr>
            </w:pPr>
          </w:p>
        </w:tc>
        <w:tc>
          <w:tcPr>
            <w:tcW w:w="1022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r:id="rId37">
              <w:r>
                <w:rPr>
                  <w:rFonts w:ascii="Arial" w:cs="Arial" w:eastAsia="Arial" w:hAnsi="Arial"/>
                  <w:sz w:val="18"/>
                  <w:szCs w:val="18"/>
                  <w:color w:val="0000EE"/>
                  <w:w w:val="97"/>
                </w:rPr>
                <w:t>subsidiaries, the Lenders signatory thereto and BMO Harris Bank N.A., as administrative agent and collateral agent for the Lenders</w:t>
              </w:r>
            </w:hyperlink>
          </w:p>
        </w:tc>
      </w:tr>
      <w:tr>
        <w:trPr>
          <w:trHeight w:val="196"/>
        </w:trPr>
        <w:tc>
          <w:tcPr>
            <w:tcW w:w="1020" w:type="dxa"/>
            <w:vAlign w:val="bottom"/>
          </w:tcPr>
          <w:p>
            <w:pPr>
              <w:spacing w:after="0"/>
              <w:rPr>
                <w:sz w:val="17"/>
                <w:szCs w:val="17"/>
                <w:color w:val="auto"/>
              </w:rPr>
            </w:pPr>
          </w:p>
        </w:tc>
        <w:tc>
          <w:tcPr>
            <w:tcW w:w="99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37">
              <w:r>
                <w:rPr>
                  <w:rFonts w:ascii="Arial" w:cs="Arial" w:eastAsia="Arial" w:hAnsi="Arial"/>
                  <w:sz w:val="18"/>
                  <w:szCs w:val="18"/>
                  <w:color w:val="0000EE"/>
                  <w:w w:val="91"/>
                </w:rPr>
                <w:t>(incorporated herein by reference to Exhibit 10.1 of the Company’s Current Report on Form 8-K (File No. 000-20797) filed June 6, 2023)</w:t>
              </w:r>
            </w:hyperlink>
          </w:p>
        </w:tc>
        <w:tc>
          <w:tcPr>
            <w:tcW w:w="280" w:type="dxa"/>
            <w:vAlign w:val="bottom"/>
          </w:tcPr>
          <w:p>
            <w:pPr>
              <w:spacing w:after="0"/>
              <w:rPr>
                <w:sz w:val="17"/>
                <w:szCs w:val="17"/>
                <w:color w:val="auto"/>
              </w:rPr>
            </w:pPr>
          </w:p>
        </w:tc>
      </w:tr>
      <w:tr>
        <w:trPr>
          <w:trHeight w:val="196"/>
        </w:trPr>
        <w:tc>
          <w:tcPr>
            <w:tcW w:w="102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1"/>
              </w:rPr>
              <w:t>10.2</w:t>
            </w:r>
          </w:p>
        </w:tc>
        <w:tc>
          <w:tcPr>
            <w:tcW w:w="1022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r:id="rId38">
              <w:r>
                <w:rPr>
                  <w:rFonts w:ascii="Arial" w:cs="Arial" w:eastAsia="Arial" w:hAnsi="Arial"/>
                  <w:sz w:val="18"/>
                  <w:szCs w:val="18"/>
                  <w:color w:val="0000EE"/>
                  <w:w w:val="94"/>
                </w:rPr>
                <w:t>First Amendment to First Amended and Restated BMO Wholesale Financing and Security Agreement, dated as of May 31, 2023, by and</w:t>
              </w:r>
            </w:hyperlink>
          </w:p>
        </w:tc>
      </w:tr>
      <w:tr>
        <w:trPr>
          <w:trHeight w:val="196"/>
        </w:trPr>
        <w:tc>
          <w:tcPr>
            <w:tcW w:w="1020" w:type="dxa"/>
            <w:vAlign w:val="bottom"/>
          </w:tcPr>
          <w:p>
            <w:pPr>
              <w:spacing w:after="0"/>
              <w:rPr>
                <w:sz w:val="17"/>
                <w:szCs w:val="17"/>
                <w:color w:val="auto"/>
              </w:rPr>
            </w:pPr>
          </w:p>
        </w:tc>
        <w:tc>
          <w:tcPr>
            <w:tcW w:w="1022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r:id="rId38">
              <w:r>
                <w:rPr>
                  <w:rFonts w:ascii="Arial" w:cs="Arial" w:eastAsia="Arial" w:hAnsi="Arial"/>
                  <w:sz w:val="18"/>
                  <w:szCs w:val="18"/>
                  <w:color w:val="0000EE"/>
                  <w:w w:val="94"/>
                </w:rPr>
                <w:t>among RTC-Canada and BMO (incorporated herein by reference to Exhibit 10.2 of the Company’s Current Report on Form 8-K (File No.</w:t>
              </w:r>
            </w:hyperlink>
          </w:p>
        </w:tc>
      </w:tr>
      <w:tr>
        <w:trPr>
          <w:trHeight w:val="196"/>
        </w:trPr>
        <w:tc>
          <w:tcPr>
            <w:tcW w:w="1020" w:type="dxa"/>
            <w:vAlign w:val="bottom"/>
          </w:tcPr>
          <w:p>
            <w:pPr>
              <w:spacing w:after="0"/>
              <w:rPr>
                <w:sz w:val="17"/>
                <w:szCs w:val="17"/>
                <w:color w:val="auto"/>
              </w:rPr>
            </w:pPr>
          </w:p>
        </w:tc>
        <w:tc>
          <w:tcPr>
            <w:tcW w:w="224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38">
              <w:r>
                <w:rPr>
                  <w:rFonts w:ascii="Arial" w:cs="Arial" w:eastAsia="Arial" w:hAnsi="Arial"/>
                  <w:sz w:val="18"/>
                  <w:szCs w:val="18"/>
                  <w:color w:val="0000EE"/>
                  <w:w w:val="90"/>
                </w:rPr>
                <w:t>000-20797) filed June 6, 2023)</w:t>
              </w:r>
            </w:hyperlink>
          </w:p>
        </w:tc>
        <w:tc>
          <w:tcPr>
            <w:tcW w:w="7980" w:type="dxa"/>
            <w:vAlign w:val="bottom"/>
            <w:gridSpan w:val="8"/>
          </w:tcPr>
          <w:p>
            <w:pPr>
              <w:spacing w:after="0"/>
              <w:rPr>
                <w:sz w:val="17"/>
                <w:szCs w:val="17"/>
                <w:color w:val="auto"/>
              </w:rPr>
            </w:pPr>
          </w:p>
        </w:tc>
      </w:tr>
      <w:tr>
        <w:trPr>
          <w:trHeight w:val="196"/>
        </w:trPr>
        <w:tc>
          <w:tcPr>
            <w:tcW w:w="1020" w:type="dxa"/>
            <w:vAlign w:val="bottom"/>
          </w:tcPr>
          <w:p>
            <w:pPr>
              <w:jc w:val="center"/>
              <w:ind w:right="30"/>
              <w:spacing w:after="0" w:line="196" w:lineRule="exact"/>
              <w:rPr>
                <w:sz w:val="20"/>
                <w:szCs w:val="20"/>
                <w:color w:val="auto"/>
              </w:rPr>
            </w:pPr>
            <w:r>
              <w:rPr>
                <w:rFonts w:ascii="Arial" w:cs="Arial" w:eastAsia="Arial" w:hAnsi="Arial"/>
                <w:sz w:val="18"/>
                <w:szCs w:val="18"/>
                <w:color w:val="auto"/>
                <w:w w:val="92"/>
              </w:rPr>
              <w:t>10.3+</w:t>
            </w:r>
          </w:p>
        </w:tc>
        <w:tc>
          <w:tcPr>
            <w:tcW w:w="10220" w:type="dxa"/>
            <w:vAlign w:val="bottom"/>
            <w:gridSpan w:val="9"/>
          </w:tcPr>
          <w:p>
            <w:pPr>
              <w:spacing w:after="0" w:line="196" w:lineRule="exact"/>
              <w:rPr>
                <w:rFonts w:ascii="Arial" w:cs="Arial" w:eastAsia="Arial" w:hAnsi="Arial"/>
                <w:sz w:val="18"/>
                <w:szCs w:val="18"/>
                <w:color w:val="0000EE"/>
                <w:w w:val="95"/>
              </w:rPr>
            </w:pPr>
            <w:hyperlink r:id="rId39">
              <w:r>
                <w:rPr>
                  <w:rFonts w:ascii="Arial" w:cs="Arial" w:eastAsia="Arial" w:hAnsi="Arial"/>
                  <w:sz w:val="18"/>
                  <w:szCs w:val="18"/>
                  <w:color w:val="0000EE"/>
                  <w:w w:val="95"/>
                </w:rPr>
                <w:t>Rush Enterprises, Inc. Amended and Restated 2007 Long-Term Incentive Plan (incorporated herein by reference to Exhibit 10.1 of the</w:t>
              </w:r>
            </w:hyperlink>
          </w:p>
        </w:tc>
      </w:tr>
      <w:tr>
        <w:trPr>
          <w:trHeight w:val="196"/>
        </w:trPr>
        <w:tc>
          <w:tcPr>
            <w:tcW w:w="1020" w:type="dxa"/>
            <w:vAlign w:val="bottom"/>
          </w:tcPr>
          <w:p>
            <w:pPr>
              <w:spacing w:after="0"/>
              <w:rPr>
                <w:sz w:val="17"/>
                <w:szCs w:val="17"/>
                <w:color w:val="auto"/>
              </w:rPr>
            </w:pPr>
          </w:p>
        </w:tc>
        <w:tc>
          <w:tcPr>
            <w:tcW w:w="6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39">
              <w:r>
                <w:rPr>
                  <w:rFonts w:ascii="Arial" w:cs="Arial" w:eastAsia="Arial" w:hAnsi="Arial"/>
                  <w:sz w:val="18"/>
                  <w:szCs w:val="18"/>
                  <w:color w:val="0000EE"/>
                  <w:w w:val="92"/>
                </w:rPr>
                <w:t>Company’s Current Report on Form 8-K (File No. 000-20797) filed May 22, 2023)</w:t>
              </w:r>
            </w:hyperlink>
          </w:p>
        </w:tc>
        <w:tc>
          <w:tcPr>
            <w:tcW w:w="3660" w:type="dxa"/>
            <w:vAlign w:val="bottom"/>
            <w:tcBorders>
              <w:top w:val="single" w:sz="8" w:color="0000EE"/>
            </w:tcBorders>
            <w:gridSpan w:val="5"/>
          </w:tcPr>
          <w:p>
            <w:pPr>
              <w:spacing w:after="0"/>
              <w:rPr>
                <w:sz w:val="17"/>
                <w:szCs w:val="17"/>
                <w:color w:val="auto"/>
              </w:rPr>
            </w:pPr>
          </w:p>
        </w:tc>
        <w:tc>
          <w:tcPr>
            <w:tcW w:w="560" w:type="dxa"/>
            <w:vAlign w:val="bottom"/>
            <w:gridSpan w:val="2"/>
          </w:tcPr>
          <w:p>
            <w:pPr>
              <w:spacing w:after="0"/>
              <w:rPr>
                <w:sz w:val="17"/>
                <w:szCs w:val="17"/>
                <w:color w:val="auto"/>
              </w:rPr>
            </w:pPr>
          </w:p>
        </w:tc>
      </w:tr>
      <w:tr>
        <w:trPr>
          <w:trHeight w:val="196"/>
        </w:trPr>
        <w:tc>
          <w:tcPr>
            <w:tcW w:w="1020" w:type="dxa"/>
            <w:vAlign w:val="bottom"/>
          </w:tcPr>
          <w:p>
            <w:pPr>
              <w:jc w:val="center"/>
              <w:ind w:right="30"/>
              <w:spacing w:after="0" w:line="196" w:lineRule="exact"/>
              <w:rPr>
                <w:sz w:val="20"/>
                <w:szCs w:val="20"/>
                <w:color w:val="auto"/>
              </w:rPr>
            </w:pPr>
            <w:r>
              <w:rPr>
                <w:rFonts w:ascii="Arial" w:cs="Arial" w:eastAsia="Arial" w:hAnsi="Arial"/>
                <w:sz w:val="18"/>
                <w:szCs w:val="18"/>
                <w:color w:val="auto"/>
                <w:w w:val="92"/>
              </w:rPr>
              <w:t>10.4+</w:t>
            </w:r>
          </w:p>
        </w:tc>
        <w:tc>
          <w:tcPr>
            <w:tcW w:w="102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40">
              <w:r>
                <w:rPr>
                  <w:rFonts w:ascii="Arial" w:cs="Arial" w:eastAsia="Arial" w:hAnsi="Arial"/>
                  <w:sz w:val="18"/>
                  <w:szCs w:val="18"/>
                  <w:color w:val="0000EE"/>
                  <w:w w:val="91"/>
                </w:rPr>
                <w:t>Rush Enterprises, Inc. Amended and Restated 2004 Employee Stock Purchase Plan (incorporated herein by reference to Exhibit 10.2 of the</w:t>
              </w:r>
            </w:hyperlink>
          </w:p>
        </w:tc>
      </w:tr>
      <w:tr>
        <w:trPr>
          <w:trHeight w:val="196"/>
        </w:trPr>
        <w:tc>
          <w:tcPr>
            <w:tcW w:w="1020" w:type="dxa"/>
            <w:vAlign w:val="bottom"/>
          </w:tcPr>
          <w:p>
            <w:pPr>
              <w:spacing w:after="0"/>
              <w:rPr>
                <w:sz w:val="17"/>
                <w:szCs w:val="17"/>
                <w:color w:val="auto"/>
              </w:rPr>
            </w:pPr>
          </w:p>
        </w:tc>
        <w:tc>
          <w:tcPr>
            <w:tcW w:w="600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40">
              <w:r>
                <w:rPr>
                  <w:rFonts w:ascii="Arial" w:cs="Arial" w:eastAsia="Arial" w:hAnsi="Arial"/>
                  <w:sz w:val="18"/>
                  <w:szCs w:val="18"/>
                  <w:color w:val="0000EE"/>
                  <w:w w:val="92"/>
                </w:rPr>
                <w:t>Company’s Current Report on Form 8-K (File No. 000-20797) filed May 22, 2023)</w:t>
              </w:r>
            </w:hyperlink>
          </w:p>
        </w:tc>
        <w:tc>
          <w:tcPr>
            <w:tcW w:w="4220" w:type="dxa"/>
            <w:vAlign w:val="bottom"/>
            <w:gridSpan w:val="7"/>
          </w:tcPr>
          <w:p>
            <w:pPr>
              <w:spacing w:after="0"/>
              <w:rPr>
                <w:sz w:val="17"/>
                <w:szCs w:val="17"/>
                <w:color w:val="auto"/>
              </w:rPr>
            </w:pPr>
          </w:p>
        </w:tc>
      </w:tr>
      <w:tr>
        <w:trPr>
          <w:trHeight w:val="196"/>
        </w:trPr>
        <w:tc>
          <w:tcPr>
            <w:tcW w:w="102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5"/>
              </w:rPr>
              <w:t>31.1*</w:t>
            </w:r>
          </w:p>
        </w:tc>
        <w:tc>
          <w:tcPr>
            <w:tcW w:w="95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Certification of CEO pursuant to Rules 13a-14(a) and 15d-14(a) adopted pursuant to Section 302 of the Sarbanes-Oxley Act of 2002.</w:t>
            </w:r>
          </w:p>
        </w:tc>
        <w:tc>
          <w:tcPr>
            <w:tcW w:w="640" w:type="dxa"/>
            <w:vAlign w:val="bottom"/>
            <w:gridSpan w:val="3"/>
          </w:tcPr>
          <w:p>
            <w:pPr>
              <w:spacing w:after="0"/>
              <w:rPr>
                <w:sz w:val="17"/>
                <w:szCs w:val="17"/>
                <w:color w:val="auto"/>
              </w:rPr>
            </w:pPr>
          </w:p>
        </w:tc>
      </w:tr>
      <w:tr>
        <w:trPr>
          <w:trHeight w:val="196"/>
        </w:trPr>
        <w:tc>
          <w:tcPr>
            <w:tcW w:w="102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5"/>
              </w:rPr>
              <w:t>31.2*</w:t>
            </w:r>
          </w:p>
        </w:tc>
        <w:tc>
          <w:tcPr>
            <w:tcW w:w="10220" w:type="dxa"/>
            <w:vAlign w:val="bottom"/>
            <w:gridSpan w:val="9"/>
          </w:tcPr>
          <w:p>
            <w:pPr>
              <w:spacing w:after="0" w:line="196" w:lineRule="exact"/>
              <w:rPr>
                <w:sz w:val="20"/>
                <w:szCs w:val="20"/>
                <w:color w:val="auto"/>
              </w:rPr>
            </w:pPr>
            <w:r>
              <w:rPr>
                <w:rFonts w:ascii="Arial" w:cs="Arial" w:eastAsia="Arial" w:hAnsi="Arial"/>
                <w:sz w:val="18"/>
                <w:szCs w:val="18"/>
                <w:color w:val="0000EE"/>
                <w:w w:val="96"/>
              </w:rPr>
              <w:t>Certification of CFO pursuant to Rules 13a-14(a) and 15d-14(a) adopted pursuant to Section 302 of the Sarbanes-Oxley Act of 2002.</w:t>
            </w:r>
          </w:p>
        </w:tc>
      </w:tr>
      <w:tr>
        <w:trPr>
          <w:trHeight w:val="196"/>
        </w:trPr>
        <w:tc>
          <w:tcPr>
            <w:tcW w:w="1020" w:type="dxa"/>
            <w:vAlign w:val="bottom"/>
          </w:tcPr>
          <w:p>
            <w:pPr>
              <w:ind w:left="240"/>
              <w:spacing w:after="0" w:line="196" w:lineRule="exact"/>
              <w:rPr>
                <w:sz w:val="20"/>
                <w:szCs w:val="20"/>
                <w:color w:val="auto"/>
              </w:rPr>
            </w:pPr>
            <w:r>
              <w:rPr>
                <w:rFonts w:ascii="Arial" w:cs="Arial" w:eastAsia="Arial" w:hAnsi="Arial"/>
                <w:sz w:val="18"/>
                <w:szCs w:val="18"/>
                <w:color w:val="auto"/>
              </w:rPr>
              <w:t>32.1**</w:t>
            </w:r>
          </w:p>
        </w:tc>
        <w:tc>
          <w:tcPr>
            <w:tcW w:w="926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Certification of CEO pursuant to 18 U.S.C. Section 1350 as adopted pursuant to Section 906 of the Sarbanes-Oxley Act of 2002.</w:t>
            </w:r>
          </w:p>
        </w:tc>
        <w:tc>
          <w:tcPr>
            <w:tcW w:w="300" w:type="dxa"/>
            <w:vAlign w:val="bottom"/>
            <w:tcBorders>
              <w:top w:val="single" w:sz="8" w:color="0000EE"/>
            </w:tcBorders>
          </w:tcPr>
          <w:p>
            <w:pPr>
              <w:spacing w:after="0"/>
              <w:rPr>
                <w:sz w:val="17"/>
                <w:szCs w:val="17"/>
                <w:color w:val="auto"/>
              </w:rPr>
            </w:pPr>
          </w:p>
        </w:tc>
        <w:tc>
          <w:tcPr>
            <w:tcW w:w="660" w:type="dxa"/>
            <w:vAlign w:val="bottom"/>
            <w:gridSpan w:val="4"/>
          </w:tcPr>
          <w:p>
            <w:pPr>
              <w:spacing w:after="0"/>
              <w:rPr>
                <w:sz w:val="17"/>
                <w:szCs w:val="17"/>
                <w:color w:val="auto"/>
              </w:rPr>
            </w:pPr>
          </w:p>
        </w:tc>
      </w:tr>
      <w:tr>
        <w:trPr>
          <w:trHeight w:val="196"/>
        </w:trPr>
        <w:tc>
          <w:tcPr>
            <w:tcW w:w="1020" w:type="dxa"/>
            <w:vAlign w:val="bottom"/>
          </w:tcPr>
          <w:p>
            <w:pPr>
              <w:ind w:left="240"/>
              <w:spacing w:after="0" w:line="196" w:lineRule="exact"/>
              <w:rPr>
                <w:sz w:val="20"/>
                <w:szCs w:val="20"/>
                <w:color w:val="auto"/>
              </w:rPr>
            </w:pPr>
            <w:r>
              <w:rPr>
                <w:rFonts w:ascii="Arial" w:cs="Arial" w:eastAsia="Arial" w:hAnsi="Arial"/>
                <w:sz w:val="18"/>
                <w:szCs w:val="18"/>
                <w:color w:val="auto"/>
              </w:rPr>
              <w:t>32.2**</w:t>
            </w:r>
          </w:p>
        </w:tc>
        <w:tc>
          <w:tcPr>
            <w:tcW w:w="10220" w:type="dxa"/>
            <w:vAlign w:val="bottom"/>
            <w:gridSpan w:val="9"/>
          </w:tcPr>
          <w:p>
            <w:pPr>
              <w:spacing w:after="0" w:line="196" w:lineRule="exact"/>
              <w:rPr>
                <w:sz w:val="20"/>
                <w:szCs w:val="20"/>
                <w:color w:val="auto"/>
              </w:rPr>
            </w:pPr>
            <w:r>
              <w:rPr>
                <w:rFonts w:ascii="Arial" w:cs="Arial" w:eastAsia="Arial" w:hAnsi="Arial"/>
                <w:sz w:val="18"/>
                <w:szCs w:val="18"/>
                <w:color w:val="0000EE"/>
                <w:w w:val="99"/>
              </w:rPr>
              <w:t>Certification of CFO pursuant to 18 U.S.C. Section 1350 as adopted pursuant to Section 906 of the Sarbanes-Oxley Act of 2002.</w:t>
            </w:r>
          </w:p>
        </w:tc>
      </w:tr>
      <w:tr>
        <w:trPr>
          <w:trHeight w:val="20"/>
        </w:trPr>
        <w:tc>
          <w:tcPr>
            <w:tcW w:w="1020" w:type="dxa"/>
            <w:vAlign w:val="bottom"/>
          </w:tcPr>
          <w:p>
            <w:pPr>
              <w:spacing w:after="0" w:line="20" w:lineRule="exact"/>
              <w:rPr>
                <w:sz w:val="1"/>
                <w:szCs w:val="1"/>
                <w:color w:val="auto"/>
              </w:rPr>
            </w:pPr>
          </w:p>
        </w:tc>
        <w:tc>
          <w:tcPr>
            <w:tcW w:w="9240" w:type="dxa"/>
            <w:vAlign w:val="bottom"/>
            <w:gridSpan w:val="3"/>
            <w:shd w:val="clear" w:color="auto" w:fill="0000EE"/>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220" w:type="dxa"/>
            <w:vAlign w:val="bottom"/>
            <w:gridSpan w:val="9"/>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r>
      <w:tr>
        <w:trPr>
          <w:trHeight w:val="216"/>
        </w:trPr>
        <w:tc>
          <w:tcPr>
            <w:tcW w:w="1020" w:type="dxa"/>
            <w:vAlign w:val="bottom"/>
          </w:tcPr>
          <w:p>
            <w:pPr>
              <w:spacing w:after="0"/>
              <w:rPr>
                <w:sz w:val="18"/>
                <w:szCs w:val="18"/>
                <w:color w:val="auto"/>
              </w:rPr>
            </w:pPr>
          </w:p>
        </w:tc>
        <w:tc>
          <w:tcPr>
            <w:tcW w:w="10220" w:type="dxa"/>
            <w:vAlign w:val="bottom"/>
            <w:gridSpan w:val="9"/>
          </w:tcPr>
          <w:p>
            <w:pPr>
              <w:spacing w:after="0"/>
              <w:rPr>
                <w:sz w:val="20"/>
                <w:szCs w:val="20"/>
                <w:color w:val="auto"/>
              </w:rPr>
            </w:pPr>
            <w:r>
              <w:rPr>
                <w:rFonts w:ascii="Arial" w:cs="Arial" w:eastAsia="Arial" w:hAnsi="Arial"/>
                <w:sz w:val="18"/>
                <w:szCs w:val="18"/>
                <w:color w:val="auto"/>
              </w:rPr>
              <w:t>the inline XBRL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22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22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22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22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22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0220" w:type="dxa"/>
            <w:vAlign w:val="bottom"/>
            <w:gridSpan w:val="9"/>
          </w:tcPr>
          <w:p>
            <w:pPr>
              <w:spacing w:after="0"/>
              <w:rPr>
                <w:sz w:val="20"/>
                <w:szCs w:val="20"/>
                <w:color w:val="auto"/>
              </w:rPr>
            </w:pPr>
            <w:r>
              <w:rPr>
                <w:rFonts w:ascii="Arial" w:cs="Arial" w:eastAsia="Arial" w:hAnsi="Arial"/>
                <w:sz w:val="18"/>
                <w:szCs w:val="18"/>
                <w:color w:val="auto"/>
              </w:rPr>
              <w:t>Cover Page Interactive Data File (embedded within the Inline XBRL and contained in Exhibit 101)</w:t>
            </w:r>
          </w:p>
        </w:tc>
      </w:tr>
    </w:tbl>
    <w:p>
      <w:pPr>
        <w:spacing w:after="0" w:line="202"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right="120" w:hanging="652"/>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1"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RUSH ENTERPRISES,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120" w:type="dxa"/>
            <w:vAlign w:val="bottom"/>
          </w:tcPr>
          <w:p>
            <w:pPr>
              <w:ind w:left="200"/>
              <w:spacing w:after="0"/>
              <w:rPr>
                <w:sz w:val="20"/>
                <w:szCs w:val="20"/>
                <w:color w:val="auto"/>
              </w:rPr>
            </w:pPr>
            <w:r>
              <w:rPr>
                <w:rFonts w:ascii="Arial" w:cs="Arial" w:eastAsia="Arial" w:hAnsi="Arial"/>
                <w:sz w:val="18"/>
                <w:szCs w:val="18"/>
                <w:color w:val="auto"/>
              </w:rPr>
              <w:t>August 9, 2023</w:t>
            </w:r>
          </w:p>
        </w:tc>
        <w:tc>
          <w:tcPr>
            <w:tcW w:w="5460" w:type="dxa"/>
            <w:vAlign w:val="bottom"/>
            <w:gridSpan w:val="4"/>
          </w:tcPr>
          <w:p>
            <w:pPr>
              <w:ind w:left="1900"/>
              <w:spacing w:after="0"/>
              <w:rPr>
                <w:sz w:val="20"/>
                <w:szCs w:val="20"/>
                <w:color w:val="auto"/>
              </w:rPr>
            </w:pPr>
            <w:r>
              <w:rPr>
                <w:rFonts w:ascii="Arial" w:cs="Arial" w:eastAsia="Arial" w:hAnsi="Arial"/>
                <w:sz w:val="18"/>
                <w:szCs w:val="18"/>
                <w:color w:val="auto"/>
              </w:rPr>
              <w:t>By: /s/ /S/ W.M. “RUSTY” RUSH</w:t>
            </w:r>
          </w:p>
        </w:tc>
      </w:tr>
      <w:tr>
        <w:trPr>
          <w:trHeight w:val="222"/>
        </w:trPr>
        <w:tc>
          <w:tcPr>
            <w:tcW w:w="6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W.M. “Rusty” Rush</w:t>
            </w:r>
          </w:p>
        </w:tc>
        <w:tc>
          <w:tcPr>
            <w:tcW w:w="1040" w:type="dxa"/>
            <w:vAlign w:val="bottom"/>
          </w:tcPr>
          <w:p>
            <w:pPr>
              <w:spacing w:after="0"/>
              <w:rPr>
                <w:sz w:val="19"/>
                <w:szCs w:val="19"/>
                <w:color w:val="auto"/>
              </w:rPr>
            </w:pPr>
          </w:p>
        </w:tc>
      </w:tr>
      <w:tr>
        <w:trPr>
          <w:trHeight w:val="216"/>
        </w:trPr>
        <w:tc>
          <w:tcPr>
            <w:tcW w:w="6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President, Chief Executive Officer and</w:t>
            </w:r>
          </w:p>
        </w:tc>
      </w:tr>
      <w:tr>
        <w:trPr>
          <w:trHeight w:val="216"/>
        </w:trPr>
        <w:tc>
          <w:tcPr>
            <w:tcW w:w="6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6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r>
      <w:tr>
        <w:trPr>
          <w:trHeight w:val="823"/>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120" w:type="dxa"/>
            <w:vAlign w:val="bottom"/>
          </w:tcPr>
          <w:p>
            <w:pPr>
              <w:ind w:left="200"/>
              <w:spacing w:after="0"/>
              <w:rPr>
                <w:sz w:val="20"/>
                <w:szCs w:val="20"/>
                <w:color w:val="auto"/>
              </w:rPr>
            </w:pPr>
            <w:r>
              <w:rPr>
                <w:rFonts w:ascii="Arial" w:cs="Arial" w:eastAsia="Arial" w:hAnsi="Arial"/>
                <w:sz w:val="18"/>
                <w:szCs w:val="18"/>
                <w:color w:val="auto"/>
              </w:rPr>
              <w:t>August 9, 2023</w:t>
            </w:r>
          </w:p>
        </w:tc>
        <w:tc>
          <w:tcPr>
            <w:tcW w:w="5460" w:type="dxa"/>
            <w:vAlign w:val="bottom"/>
            <w:gridSpan w:val="4"/>
          </w:tcPr>
          <w:p>
            <w:pPr>
              <w:ind w:left="1900"/>
              <w:spacing w:after="0"/>
              <w:rPr>
                <w:sz w:val="20"/>
                <w:szCs w:val="20"/>
                <w:color w:val="auto"/>
              </w:rPr>
            </w:pPr>
            <w:r>
              <w:rPr>
                <w:rFonts w:ascii="Arial" w:cs="Arial" w:eastAsia="Arial" w:hAnsi="Arial"/>
                <w:sz w:val="18"/>
                <w:szCs w:val="18"/>
                <w:color w:val="auto"/>
              </w:rPr>
              <w:t>By: /S/ STEVEN L. KELLER</w:t>
            </w:r>
          </w:p>
        </w:tc>
      </w:tr>
      <w:tr>
        <w:trPr>
          <w:trHeight w:val="222"/>
        </w:trPr>
        <w:tc>
          <w:tcPr>
            <w:tcW w:w="6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L. Keller</w:t>
            </w:r>
          </w:p>
        </w:tc>
        <w:tc>
          <w:tcPr>
            <w:tcW w:w="1340" w:type="dxa"/>
            <w:vAlign w:val="bottom"/>
            <w:gridSpan w:val="2"/>
          </w:tcPr>
          <w:p>
            <w:pPr>
              <w:spacing w:after="0"/>
              <w:rPr>
                <w:sz w:val="19"/>
                <w:szCs w:val="19"/>
                <w:color w:val="auto"/>
              </w:rPr>
            </w:pPr>
          </w:p>
        </w:tc>
      </w:tr>
      <w:tr>
        <w:trPr>
          <w:trHeight w:val="216"/>
        </w:trPr>
        <w:tc>
          <w:tcPr>
            <w:tcW w:w="6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6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w w:val="92"/>
              </w:rPr>
              <w:t>(Principal Financial and Accounting Officer)</w:t>
            </w:r>
          </w:p>
        </w:tc>
      </w:tr>
      <w:tr>
        <w:trPr>
          <w:trHeight w:val="432"/>
        </w:trPr>
        <w:tc>
          <w:tcPr>
            <w:tcW w:w="6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4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1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32" w:name="page33"/>
    <w:bookmarkEnd w:id="32"/>
    <w:p>
      <w:pPr>
        <w:ind w:left="10200"/>
        <w:spacing w:after="0"/>
        <w:rPr>
          <w:sz w:val="20"/>
          <w:szCs w:val="20"/>
          <w:color w:val="auto"/>
        </w:rPr>
      </w:pPr>
      <w:r>
        <w:rPr>
          <w:rFonts w:ascii="Arial" w:cs="Arial" w:eastAsia="Arial" w:hAnsi="Arial"/>
          <w:sz w:val="18"/>
          <w:szCs w:val="18"/>
          <w:b w:val="1"/>
          <w:bCs w:val="1"/>
          <w:u w:val="single" w:color="auto"/>
          <w:color w:val="auto"/>
        </w:rPr>
        <w:t>EXHIBIT 3.2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CERTIFICATE OF AMENDMENT TO THE RESTATED ARTICLES OF INCORPORATION OF RUSH ENTERPRISES, INC.</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accordance with Sections 3.053 and 21.364 of the Texas Business Organizations Code, Rush Enterprises, Inc., a Texas corporation, hereby adopts the following Certificate of Amendment to its Restated Articles of Incorporation.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Entity Information</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name of the corporation is Rush Enterprises, Inc., a for-profit corporation (the “Company”). The file number issued to the Company by the Secretary of State of the State of Texas is 0021125600. The date of formation of the Company was March 3, 1965.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ARTICLE IV of the Company’s Restated Articles of Incorporation is hereby amended by deleting the first paragraph in its entirety and replacing it with the following:</w:t>
      </w:r>
    </w:p>
    <w:p>
      <w:pPr>
        <w:spacing w:after="0" w:line="170" w:lineRule="exact"/>
        <w:rPr>
          <w:sz w:val="20"/>
          <w:szCs w:val="20"/>
          <w:color w:val="auto"/>
        </w:rPr>
      </w:pPr>
    </w:p>
    <w:p>
      <w:pPr>
        <w:jc w:val="both"/>
        <w:ind w:left="660" w:right="800"/>
        <w:spacing w:after="0" w:line="259" w:lineRule="auto"/>
        <w:rPr>
          <w:sz w:val="20"/>
          <w:szCs w:val="20"/>
          <w:color w:val="auto"/>
        </w:rPr>
      </w:pPr>
      <w:r>
        <w:rPr>
          <w:rFonts w:ascii="Arial" w:cs="Arial" w:eastAsia="Arial" w:hAnsi="Arial"/>
          <w:sz w:val="18"/>
          <w:szCs w:val="18"/>
          <w:color w:val="auto"/>
        </w:rPr>
        <w:t>The total number of shares of all classes of stock which the corporation shall be authorized to issue is 141,000,000 shares, divided into the following: (i) 1,000,000 shares of preferred stock, of the par value $.01 per share (“Preferred Stock”), (ii) 105,000,000 shares of Class A Common Stock, of the par value $.01 per share (“Class A Common Stock”) and (iii) 35,000,000 shares of Class B Common Stock, of the par value $.01 per share (“Class B Common Stock”).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Approval</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amendment to the Restated Articles of Incorporation of the Company has been approved in the manner required by the Texas Business Organizations Code and by the governing documents of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Effectiveness of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document becomes effective when the document is filed by the Secretary of State.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Execution</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undersigned signs this document subject to the penalties imposed by law for the submission of a materially false or fraudulent instrument and certifies under penalty of perjury that the undersigned is authorized under the provisions of law governing the entity to execute the filing instrument.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 May 19, 2023.</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RUSH ENTERPRISES, INC.</w:t>
      </w:r>
    </w:p>
    <w:p>
      <w:pPr>
        <w:spacing w:after="0" w:line="200" w:lineRule="exact"/>
        <w:rPr>
          <w:sz w:val="20"/>
          <w:szCs w:val="20"/>
          <w:color w:val="auto"/>
        </w:rPr>
      </w:pPr>
    </w:p>
    <w:p>
      <w:pPr>
        <w:spacing w:after="0" w:line="224" w:lineRule="exact"/>
        <w:rPr>
          <w:sz w:val="20"/>
          <w:szCs w:val="20"/>
          <w:color w:val="auto"/>
        </w:rPr>
      </w:pPr>
    </w:p>
    <w:tbl>
      <w:tblPr>
        <w:tblLayout w:type="fixed"/>
        <w:tblInd w:w="5580" w:type="dxa"/>
        <w:tblCellMar>
          <w:top w:w="0" w:type="dxa"/>
          <w:left w:w="0" w:type="dxa"/>
          <w:bottom w:w="0" w:type="dxa"/>
          <w:right w:w="0" w:type="dxa"/>
        </w:tblCellMar>
      </w:tblPr>
      <w:tr>
        <w:trPr>
          <w:trHeight w:val="207"/>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Michael L. Goldstone</w:t>
            </w:r>
          </w:p>
        </w:tc>
        <w:tc>
          <w:tcPr>
            <w:tcW w:w="1560" w:type="dxa"/>
            <w:vAlign w:val="bottom"/>
          </w:tcPr>
          <w:p>
            <w:pPr>
              <w:spacing w:after="0"/>
              <w:rPr>
                <w:sz w:val="18"/>
                <w:szCs w:val="18"/>
                <w:color w:val="auto"/>
              </w:rPr>
            </w:pPr>
          </w:p>
        </w:tc>
      </w:tr>
      <w:tr>
        <w:trPr>
          <w:trHeight w:val="222"/>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3360" w:type="dxa"/>
            <w:vAlign w:val="bottom"/>
            <w:gridSpan w:val="2"/>
          </w:tcPr>
          <w:p>
            <w:pPr>
              <w:ind w:left="220"/>
              <w:spacing w:after="0"/>
              <w:rPr>
                <w:sz w:val="20"/>
                <w:szCs w:val="20"/>
                <w:color w:val="auto"/>
              </w:rPr>
            </w:pPr>
            <w:r>
              <w:rPr>
                <w:rFonts w:ascii="Arial" w:cs="Arial" w:eastAsia="Arial" w:hAnsi="Arial"/>
                <w:sz w:val="18"/>
                <w:szCs w:val="18"/>
                <w:color w:val="auto"/>
              </w:rPr>
              <w:t>Michael L. Goldstone</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360" w:type="dxa"/>
            <w:vAlign w:val="bottom"/>
            <w:gridSpan w:val="2"/>
          </w:tcPr>
          <w:p>
            <w:pPr>
              <w:ind w:left="220"/>
              <w:spacing w:after="0"/>
              <w:rPr>
                <w:sz w:val="20"/>
                <w:szCs w:val="20"/>
                <w:color w:val="auto"/>
              </w:rPr>
            </w:pPr>
            <w:r>
              <w:rPr>
                <w:rFonts w:ascii="Arial" w:cs="Arial" w:eastAsia="Arial" w:hAnsi="Arial"/>
                <w:sz w:val="18"/>
                <w:szCs w:val="18"/>
                <w:color w:val="auto"/>
                <w:w w:val="88"/>
              </w:rPr>
              <w:t>Senior Vice President, General Counsel and</w:t>
            </w:r>
          </w:p>
        </w:tc>
      </w:tr>
      <w:tr>
        <w:trPr>
          <w:trHeight w:val="230"/>
        </w:trPr>
        <w:tc>
          <w:tcPr>
            <w:tcW w:w="520" w:type="dxa"/>
            <w:vAlign w:val="bottom"/>
          </w:tcPr>
          <w:p>
            <w:pPr>
              <w:spacing w:after="0"/>
              <w:rPr>
                <w:sz w:val="20"/>
                <w:szCs w:val="20"/>
                <w:color w:val="auto"/>
              </w:rPr>
            </w:pPr>
          </w:p>
        </w:tc>
        <w:tc>
          <w:tcPr>
            <w:tcW w:w="3360" w:type="dxa"/>
            <w:vAlign w:val="bottom"/>
            <w:gridSpan w:val="2"/>
          </w:tcPr>
          <w:p>
            <w:pPr>
              <w:ind w:left="220"/>
              <w:spacing w:after="0"/>
              <w:rPr>
                <w:sz w:val="20"/>
                <w:szCs w:val="20"/>
                <w:color w:val="auto"/>
              </w:rPr>
            </w:pPr>
            <w:r>
              <w:rPr>
                <w:rFonts w:ascii="Arial" w:cs="Arial" w:eastAsia="Arial" w:hAnsi="Arial"/>
                <w:sz w:val="18"/>
                <w:szCs w:val="18"/>
                <w:color w:val="auto"/>
              </w:rPr>
              <w:t>Corporate Secretary</w:t>
            </w:r>
          </w:p>
        </w:tc>
      </w:tr>
    </w:tbl>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5"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firstLine="8"/>
        <w:spacing w:after="0" w:line="342" w:lineRule="auto"/>
        <w:tabs>
          <w:tab w:leader="none" w:pos="598"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597"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65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556"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313"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656"/>
        <w:spacing w:after="0" w:line="308" w:lineRule="auto"/>
        <w:tabs>
          <w:tab w:leader="none" w:pos="1388"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1375"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57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firstLine="656"/>
        <w:spacing w:after="0" w:line="277" w:lineRule="auto"/>
        <w:tabs>
          <w:tab w:leader="none" w:pos="1459"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1357"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200"/>
              <w:spacing w:after="0"/>
              <w:rPr>
                <w:sz w:val="20"/>
                <w:szCs w:val="20"/>
                <w:color w:val="auto"/>
              </w:rPr>
            </w:pPr>
            <w:r>
              <w:rPr>
                <w:rFonts w:ascii="Arial" w:cs="Arial" w:eastAsia="Arial" w:hAnsi="Arial"/>
                <w:sz w:val="18"/>
                <w:szCs w:val="18"/>
                <w:color w:val="auto"/>
              </w:rPr>
              <w:t>August 9, 2023</w:t>
            </w:r>
          </w:p>
        </w:tc>
        <w:tc>
          <w:tcPr>
            <w:tcW w:w="5000" w:type="dxa"/>
            <w:vAlign w:val="bottom"/>
            <w:gridSpan w:val="3"/>
          </w:tcPr>
          <w:p>
            <w:pPr>
              <w:ind w:left="1860"/>
              <w:spacing w:after="0"/>
              <w:rPr>
                <w:sz w:val="20"/>
                <w:szCs w:val="20"/>
                <w:color w:val="auto"/>
              </w:rPr>
            </w:pPr>
            <w:r>
              <w:rPr>
                <w:rFonts w:ascii="Arial" w:cs="Arial" w:eastAsia="Arial" w:hAnsi="Arial"/>
                <w:sz w:val="18"/>
                <w:szCs w:val="18"/>
                <w:color w:val="auto"/>
              </w:rPr>
              <w:t>By: /S/ W.M. “RUSTY” RUSH</w:t>
            </w:r>
          </w:p>
        </w:tc>
      </w:tr>
      <w:tr>
        <w:trPr>
          <w:trHeight w:val="222"/>
        </w:trPr>
        <w:tc>
          <w:tcPr>
            <w:tcW w:w="6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W.M. “Rusty” Rush</w:t>
            </w:r>
          </w:p>
        </w:tc>
        <w:tc>
          <w:tcPr>
            <w:tcW w:w="840" w:type="dxa"/>
            <w:vAlign w:val="bottom"/>
          </w:tcPr>
          <w:p>
            <w:pPr>
              <w:spacing w:after="0"/>
              <w:rPr>
                <w:sz w:val="19"/>
                <w:szCs w:val="19"/>
                <w:color w:val="auto"/>
              </w:rPr>
            </w:pPr>
          </w:p>
        </w:tc>
      </w:tr>
      <w:tr>
        <w:trPr>
          <w:trHeight w:val="216"/>
        </w:trPr>
        <w:tc>
          <w:tcPr>
            <w:tcW w:w="6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w w:val="91"/>
              </w:rPr>
              <w:t>President, Chief Executive Officer and</w:t>
            </w:r>
          </w:p>
        </w:tc>
      </w:tr>
      <w:tr>
        <w:trPr>
          <w:trHeight w:val="216"/>
        </w:trPr>
        <w:tc>
          <w:tcPr>
            <w:tcW w:w="6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6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firstLine="8"/>
        <w:spacing w:after="0" w:line="342" w:lineRule="auto"/>
        <w:tabs>
          <w:tab w:leader="none" w:pos="598"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597"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65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556"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313"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656"/>
        <w:spacing w:after="0" w:line="308" w:lineRule="auto"/>
        <w:tabs>
          <w:tab w:leader="none" w:pos="1388"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1375"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57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firstLine="656"/>
        <w:spacing w:after="0" w:line="277" w:lineRule="auto"/>
        <w:tabs>
          <w:tab w:leader="none" w:pos="1459"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1357"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200"/>
              <w:spacing w:after="0"/>
              <w:rPr>
                <w:sz w:val="20"/>
                <w:szCs w:val="20"/>
                <w:color w:val="auto"/>
              </w:rPr>
            </w:pPr>
            <w:r>
              <w:rPr>
                <w:rFonts w:ascii="Arial" w:cs="Arial" w:eastAsia="Arial" w:hAnsi="Arial"/>
                <w:sz w:val="18"/>
                <w:szCs w:val="18"/>
                <w:color w:val="auto"/>
              </w:rPr>
              <w:t>August 9, 2023</w:t>
            </w:r>
          </w:p>
        </w:tc>
        <w:tc>
          <w:tcPr>
            <w:tcW w:w="5420" w:type="dxa"/>
            <w:vAlign w:val="bottom"/>
            <w:gridSpan w:val="3"/>
          </w:tcPr>
          <w:p>
            <w:pPr>
              <w:ind w:left="1860"/>
              <w:spacing w:after="0"/>
              <w:rPr>
                <w:sz w:val="20"/>
                <w:szCs w:val="20"/>
                <w:color w:val="auto"/>
              </w:rPr>
            </w:pPr>
            <w:r>
              <w:rPr>
                <w:rFonts w:ascii="Arial" w:cs="Arial" w:eastAsia="Arial" w:hAnsi="Arial"/>
                <w:sz w:val="18"/>
                <w:szCs w:val="18"/>
                <w:color w:val="auto"/>
              </w:rPr>
              <w:t>By: /S/ STEVEN L. KELLER</w:t>
            </w:r>
          </w:p>
        </w:tc>
      </w:tr>
      <w:tr>
        <w:trPr>
          <w:trHeight w:val="222"/>
        </w:trPr>
        <w:tc>
          <w:tcPr>
            <w:tcW w:w="6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L. Keller</w:t>
            </w:r>
          </w:p>
        </w:tc>
        <w:tc>
          <w:tcPr>
            <w:tcW w:w="1340" w:type="dxa"/>
            <w:vAlign w:val="bottom"/>
          </w:tcPr>
          <w:p>
            <w:pPr>
              <w:spacing w:after="0"/>
              <w:rPr>
                <w:sz w:val="19"/>
                <w:szCs w:val="19"/>
                <w:color w:val="auto"/>
              </w:rPr>
            </w:pPr>
          </w:p>
        </w:tc>
      </w:tr>
      <w:tr>
        <w:trPr>
          <w:trHeight w:val="216"/>
        </w:trPr>
        <w:tc>
          <w:tcPr>
            <w:tcW w:w="6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6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w w:val="92"/>
              </w:rPr>
              <w:t>(Principal Financial and Accounting Officer)</w:t>
            </w:r>
          </w:p>
        </w:tc>
      </w:tr>
    </w:tbl>
    <w:p>
      <w:pPr>
        <w:sectPr>
          <w:pgSz w:w="11900" w:h="16838" w:orient="portrait"/>
          <w:cols w:equalWidth="0" w:num="1">
            <w:col w:w="11240"/>
          </w:cols>
          <w:pgMar w:left="320" w:top="125" w:right="339" w:bottom="1440" w:gutter="0" w:footer="0" w:header="0"/>
        </w:sectPr>
      </w:pPr>
    </w:p>
    <w:bookmarkStart w:id="35" w:name="page36"/>
    <w:bookmarkEnd w:id="35"/>
    <w:p>
      <w:pPr>
        <w:ind w:left="10160"/>
        <w:spacing w:after="0"/>
        <w:rPr>
          <w:sz w:val="20"/>
          <w:szCs w:val="20"/>
          <w:color w:val="auto"/>
        </w:rPr>
      </w:pPr>
      <w:r>
        <w:rPr>
          <w:rFonts w:ascii="Arial" w:cs="Arial" w:eastAsia="Arial" w:hAnsi="Arial"/>
          <w:sz w:val="17"/>
          <w:szCs w:val="17"/>
          <w:u w:val="single" w:color="auto"/>
          <w:color w:val="auto"/>
        </w:rPr>
        <w:t>EXHIBIT 32.1</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June 30, 2023,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W.M. “Rusty” Rush, President, Chief Executive Officer and Chairman of the Board of the Company, certify, pursuant to 18 U.S.C. Section 1350, as adopted pursuant to Section 906 of the Sarbanes-Oxley Act of 2002, that:</w:t>
      </w:r>
    </w:p>
    <w:p>
      <w:pPr>
        <w:spacing w:after="0" w:line="165"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560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W.M. “RUSTY” RUSH</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Name:W.M. “Rusty” Rush</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President, Chief Executive Officer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Date: August 9, 2023</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34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June 30, 2023,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Steven L. Keller, Chief Financial Officer and Treasurer of the Company, certify, pursuant to 18 U.S.C. Section 1350, as adopted pursuant to Section 906 of the Sarbanes-Oxley Act of 2002, that:</w:t>
      </w:r>
    </w:p>
    <w:p>
      <w:pPr>
        <w:spacing w:after="0" w:line="184"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60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STEVEN L. KELLER</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Name:Steven L. Keller</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Chief Financial Officer and Treasurer</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Date: August 9, 2023</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6" Type="http://schemas.openxmlformats.org/officeDocument/2006/relationships/image" Target="media/image26.png"/><Relationship Id="rId41" Type="http://schemas.openxmlformats.org/officeDocument/2006/relationships/image" Target="media/image27.png"/><Relationship Id="rId33" Type="http://schemas.openxmlformats.org/officeDocument/2006/relationships/hyperlink" Target="http://www.sec.gov/Archives/edgar/data/1012019/000110465908051789/a08-18770_1ex3d1.htm" TargetMode="External"/><Relationship Id="rId34" Type="http://schemas.openxmlformats.org/officeDocument/2006/relationships/hyperlink" Target="http://www.sec.gov/Archives/edgar/data/1012019/000143774913006455/rusha20130517_8kex3-1.htm" TargetMode="External"/><Relationship Id="rId35" Type="http://schemas.openxmlformats.org/officeDocument/2006/relationships/hyperlink" Target="http://www.sec.gov/Archives/edgar/data/1012019/000143774921013172/ex_252719.htm" TargetMode="External"/><Relationship Id="rId37" Type="http://schemas.openxmlformats.org/officeDocument/2006/relationships/hyperlink" Target="http://www.sec.gov/Archives/edgar/data/1012019/000143774923016766/ex_530333.htm" TargetMode="External"/><Relationship Id="rId38" Type="http://schemas.openxmlformats.org/officeDocument/2006/relationships/hyperlink" Target="http://www.sec.gov/Archives/edgar/data/1012019/000143774923016766/ex_530334.htm" TargetMode="External"/><Relationship Id="rId39" Type="http://schemas.openxmlformats.org/officeDocument/2006/relationships/hyperlink" Target="http://www.sec.gov/Archives/edgar/data/1012019/000143774923015487/ex_524441.htm" TargetMode="External"/><Relationship Id="rId40" Type="http://schemas.openxmlformats.org/officeDocument/2006/relationships/hyperlink" Target="http://www.sec.gov/Archives/edgar/data/1012019/000143774923015487/ex_5244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2023-08-09T14:38:33Z</dcterms:created>
  <dcterms:modified xsi:type="dcterms:W3CDTF">2023-08-09T14:38:33Z</dcterms:modified>
</cp:coreProperties>
</file>