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2014</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60" w:firstLine="8"/>
        <w:spacing w:after="0" w:line="563"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499" w:right="199" w:bottom="870" w:gutter="0" w:footer="0" w:header="0"/>
        </w:sectPr>
      </w:pPr>
    </w:p>
    <w:p>
      <w:pPr>
        <w:spacing w:after="0" w:line="211"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6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20" w:space="720"/>
            <w:col w:w="4220"/>
          </w:cols>
          <w:pgMar w:left="240" w:top="499" w:right="199" w:bottom="870" w:gutter="0" w:footer="0" w:header="0"/>
          <w:type w:val="continuous"/>
        </w:sectPr>
      </w:pP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499" w:right="199" w:bottom="870" w:gutter="0" w:footer="0" w:header="0"/>
          <w:type w:val="continuous"/>
        </w:sect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(830) 626-5200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40"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499" w:right="199" w:bottom="870" w:gutter="0" w:footer="0" w:header="0"/>
          <w:type w:val="continuous"/>
        </w:sectPr>
      </w:pPr>
    </w:p>
    <w:p>
      <w:pPr>
        <w:spacing w:after="0" w:line="17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480" w:space="720"/>
            <w:col w:w="4260"/>
          </w:cols>
          <w:pgMar w:left="240" w:top="499" w:right="199" w:bottom="870" w:gutter="0" w:footer="0" w:header="0"/>
          <w:type w:val="continuous"/>
        </w:sectPr>
      </w:pPr>
    </w:p>
    <w:p>
      <w:pPr>
        <w:spacing w:after="0" w:line="4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480" w:space="720"/>
            <w:col w:w="4260"/>
          </w:cols>
          <w:pgMar w:left="240" w:top="499" w:right="199" w:bottom="87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60"/>
          </w:cols>
          <w:pgMar w:left="240" w:top="499" w:right="199" w:bottom="87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1, 2014.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18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Number of</w:t>
            </w:r>
          </w:p>
        </w:tc>
      </w:tr>
      <w:tr>
        <w:trPr>
          <w:trHeight w:val="216"/>
        </w:trPr>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180" w:type="dxa"/>
            <w:vAlign w:val="bottom"/>
            <w:gridSpan w:val="2"/>
          </w:tcPr>
          <w:p>
            <w:pPr>
              <w:jc w:val="center"/>
              <w:ind w:right="1300"/>
              <w:spacing w:after="0"/>
              <w:rPr>
                <w:sz w:val="20"/>
                <w:szCs w:val="20"/>
                <w:color w:val="auto"/>
              </w:rPr>
            </w:pPr>
            <w:r>
              <w:rPr>
                <w:rFonts w:ascii="Arial" w:cs="Arial" w:eastAsia="Arial" w:hAnsi="Arial"/>
                <w:sz w:val="18"/>
                <w:szCs w:val="18"/>
                <w:color w:val="auto"/>
                <w:w w:val="84"/>
              </w:rPr>
              <w:t>Shares</w:t>
            </w:r>
          </w:p>
        </w:tc>
      </w:tr>
      <w:tr>
        <w:trPr>
          <w:trHeight w:val="190"/>
        </w:trPr>
        <w:tc>
          <w:tcPr>
            <w:tcW w:w="180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Title of Class</w:t>
            </w:r>
          </w:p>
        </w:tc>
        <w:tc>
          <w:tcPr>
            <w:tcW w:w="652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1300" w:type="dxa"/>
            <w:vAlign w:val="bottom"/>
          </w:tcPr>
          <w:p>
            <w:pPr>
              <w:spacing w:after="0"/>
              <w:rPr>
                <w:sz w:val="16"/>
                <w:szCs w:val="16"/>
                <w:color w:val="auto"/>
              </w:rPr>
            </w:pPr>
          </w:p>
        </w:tc>
      </w:tr>
      <w:tr>
        <w:trPr>
          <w:trHeight w:val="222"/>
        </w:trPr>
        <w:tc>
          <w:tcPr>
            <w:tcW w:w="9280" w:type="dxa"/>
            <w:vAlign w:val="bottom"/>
            <w:gridSpan w:val="3"/>
          </w:tcPr>
          <w:p>
            <w:pPr>
              <w:jc w:val="center"/>
              <w:ind w:right="476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29,787,836</w:t>
            </w:r>
          </w:p>
        </w:tc>
        <w:tc>
          <w:tcPr>
            <w:tcW w:w="1300" w:type="dxa"/>
            <w:vAlign w:val="bottom"/>
          </w:tcPr>
          <w:p>
            <w:pPr>
              <w:spacing w:after="0"/>
              <w:rPr>
                <w:sz w:val="19"/>
                <w:szCs w:val="19"/>
                <w:color w:val="auto"/>
              </w:rPr>
            </w:pPr>
          </w:p>
        </w:tc>
      </w:tr>
      <w:tr>
        <w:trPr>
          <w:trHeight w:val="230"/>
        </w:trPr>
        <w:tc>
          <w:tcPr>
            <w:tcW w:w="9280" w:type="dxa"/>
            <w:vAlign w:val="bottom"/>
            <w:gridSpan w:val="3"/>
          </w:tcPr>
          <w:p>
            <w:pPr>
              <w:jc w:val="center"/>
              <w:ind w:right="4780"/>
              <w:spacing w:after="0"/>
              <w:rPr>
                <w:sz w:val="20"/>
                <w:szCs w:val="20"/>
                <w:color w:val="auto"/>
              </w:rPr>
            </w:pPr>
            <w:r>
              <w:rPr>
                <w:rFonts w:ascii="Arial" w:cs="Arial" w:eastAsia="Arial" w:hAnsi="Arial"/>
                <w:sz w:val="18"/>
                <w:szCs w:val="18"/>
                <w:color w:val="auto"/>
                <w:w w:val="89"/>
              </w:rPr>
              <w:t>Class B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10,087,458</w:t>
            </w:r>
          </w:p>
        </w:tc>
        <w:tc>
          <w:tcPr>
            <w:tcW w:w="1300" w:type="dxa"/>
            <w:vAlign w:val="bottom"/>
          </w:tcPr>
          <w:p>
            <w:pPr>
              <w:spacing w:after="0"/>
              <w:rPr>
                <w:sz w:val="20"/>
                <w:szCs w:val="20"/>
                <w:color w:val="auto"/>
              </w:rPr>
            </w:pPr>
          </w:p>
        </w:tc>
      </w:tr>
      <w:tr>
        <w:trPr>
          <w:trHeight w:val="780"/>
        </w:trPr>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1"/>
        </w:trPr>
        <w:tc>
          <w:tcPr>
            <w:tcW w:w="18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5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499" w:right="199" w:bottom="87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9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1.</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Balance Sheets - June 30, 2014 (unaudited) and December 31, 2013</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3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Consolidated Statements of Income and Comprehensive Income - For the Three and Six Months Ended June 30, 2014 and 2013</w:t>
            </w:r>
          </w:p>
        </w:tc>
        <w:tc>
          <w:tcPr>
            <w:tcW w:w="4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(unaudited)</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Cash Flows - For the Six Months Ended June 30, 2014 and 2013 (unaudited)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Consolidated Financial Statements (unaudited)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2.</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3.</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4.</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1.</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1A.</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2.</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3.</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Defaults Upon Senior Securities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4.</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5.</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Item 6.</w:t>
            </w:r>
          </w:p>
        </w:tc>
        <w:tc>
          <w:tcPr>
            <w:tcW w:w="9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9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340" w:type="dxa"/>
            <w:vAlign w:val="bottom"/>
          </w:tcPr>
          <w:p>
            <w:pPr>
              <w:ind w:left="4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93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0" w:type="dxa"/>
            <w:vAlign w:val="bottom"/>
            <w:gridSpan w:val="5"/>
          </w:tcPr>
          <w:p>
            <w:pPr>
              <w:jc w:val="center"/>
              <w:ind w:right="660"/>
              <w:spacing w:after="0" w:line="196" w:lineRule="exact"/>
              <w:rPr>
                <w:sz w:val="20"/>
                <w:szCs w:val="20"/>
                <w:color w:val="auto"/>
              </w:rPr>
            </w:pPr>
            <w:r>
              <w:rPr>
                <w:rFonts w:ascii="Arial" w:cs="Arial" w:eastAsia="Arial" w:hAnsi="Arial"/>
                <w:sz w:val="18"/>
                <w:szCs w:val="18"/>
                <w:b w:val="1"/>
                <w:bCs w:val="1"/>
                <w:color w:val="auto"/>
                <w:w w:val="95"/>
              </w:rPr>
              <w:t>JUNE 30, 2014 AND DECEMBER 31, 2013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6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130,963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166,168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1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1,189,277</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1,153,436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842,198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262,862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52,415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52,607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2,353,564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Floor plan notes payable</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686,897</w:t>
            </w: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32,550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1,046,333</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34,936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145,267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2014 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rPr>
              <w:t>2013</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w w:val="89"/>
              </w:rPr>
              <w:t>authorized; 29,711,786 class A shares and 10,117,979 class B shares outstanding in 2014; and 28,910,505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class A shares and 10,304,518 class B shares outstanding in 2013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264,614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Treasury stock, at cost: 2,441,723 class B shares in 2014; and 2,194,519 class B shares in 2013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485,688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16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711,604</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2,353,564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797,291</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508,194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1,398,191</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242,928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639,956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31,358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85,046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1,182,461</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789,674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truck sales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738,851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1,296,993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212,016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152,449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410,719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989,112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651,986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1,781,854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1,274,986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193,349</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137,688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118,628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283,705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34,932</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2,480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39,552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31,852</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Acquired 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(261,291)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(56,897)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(86,342)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130,963</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203,534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5,425</w:t>
            </w:r>
          </w:p>
        </w:tc>
        <w:tc>
          <w:tcPr>
            <w:tcW w:w="140" w:type="dxa"/>
            <w:vAlign w:val="bottom"/>
          </w:tcPr>
          <w:p>
            <w:pPr>
              <w:spacing w:after="0"/>
              <w:rPr>
                <w:sz w:val="17"/>
                <w:szCs w:val="17"/>
                <w:color w:val="auto"/>
              </w:rPr>
            </w:pPr>
          </w:p>
        </w:tc>
        <w:tc>
          <w:tcPr>
            <w:tcW w:w="400" w:type="dxa"/>
            <w:vAlign w:val="bottom"/>
            <w:gridSpan w:val="2"/>
          </w:tcPr>
          <w:p>
            <w:pPr>
              <w:jc w:val="right"/>
              <w:ind w:right="165"/>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Common stock issued related to business acquisition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Assets acquired under capital leases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2013.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capitalized costs, including capitalized interest, of the SAP enterprise software and SAP dealership management system of $39.5 million are recorded on the Consolidated Balance Sheet in Other Assets at June 30, 2014. These capitalized costs are net of accumulated amortization of $8.7 million. The SAP software is being amortized over a period of 15 years. The Company is currently operating 64 Rush Truck Centers and most of its leasing operations on the SAP enterprise software and SAP dealership management system, which represent approximately 68% of total revenue for the six months ended June 30, 2014. The Company plans to convert all of its locations to the SAP enterprise software and SAP dealership management system by the end of the second quarter of 2015.</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Amortization expense relating to the SAP software, which is recognized in depreciation and amortization expense in the Consolidated Statement of Income, was $0.8 million for the three months ended June 30, 2014, and $0.7 million for the three months ended June 30, 2013, and $1.6 million for the six months ended June 30, 2014, and $1.5 million for the six months ended June 30, 2013. The Company estimates that amortization expense relating to the SAP software will be approximately $3.3 million for each of the next five succeeding years.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$4.5 million at June 30, 2014, and December 31, 2013,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607" w:right="619" w:bottom="1440" w:gutter="0" w:footer="0" w:header="0"/>
        </w:sectPr>
      </w:pPr>
    </w:p>
    <w:bookmarkStart w:id="6" w:name="page7"/>
    <w:bookmarkEnd w:id="6"/>
    <w:p>
      <w:pPr>
        <w:jc w:val="both"/>
        <w:ind w:right="420" w:firstLine="648"/>
        <w:spacing w:after="0" w:line="277" w:lineRule="auto"/>
        <w:rPr>
          <w:sz w:val="20"/>
          <w:szCs w:val="20"/>
          <w:color w:val="auto"/>
        </w:rPr>
      </w:pPr>
      <w:r>
        <w:rPr>
          <w:rFonts w:ascii="Arial" w:cs="Arial" w:eastAsia="Arial" w:hAnsi="Arial"/>
          <w:sz w:val="18"/>
          <w:szCs w:val="18"/>
          <w:color w:val="auto"/>
        </w:rPr>
        <w:t>No impairment write down was required in the fourth quarter of 2013. However, the Company cannot predict the occurrence of certain events that might adversely affect the reported value of manufacturer franchise rights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42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7"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for the three months and six months ended June 30,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39,552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Employee and director stock options and restricted share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1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40,581</w:t>
            </w:r>
          </w:p>
        </w:tc>
        <w:tc>
          <w:tcPr>
            <w:tcW w:w="200" w:type="dxa"/>
            <w:vAlign w:val="bottom"/>
            <w:vMerge w:val="restart"/>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40,682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2014, and 2013,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jc w:val="right"/>
              <w:ind w:right="540"/>
              <w:spacing w:after="0"/>
              <w:rPr>
                <w:sz w:val="20"/>
                <w:szCs w:val="20"/>
                <w:color w:val="auto"/>
              </w:rPr>
            </w:pPr>
            <w:r>
              <w:rPr>
                <w:rFonts w:ascii="Arial" w:cs="Arial" w:eastAsia="Arial" w:hAnsi="Arial"/>
                <w:sz w:val="18"/>
                <w:szCs w:val="18"/>
                <w:color w:val="auto"/>
              </w:rPr>
              <w:t>Six Months Ended</w:t>
            </w:r>
          </w:p>
        </w:tc>
        <w:tc>
          <w:tcPr>
            <w:tcW w:w="10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5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2013</w:t>
            </w: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924</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anti-dilutive securities</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721</w:t>
            </w:r>
          </w:p>
        </w:tc>
        <w:tc>
          <w:tcPr>
            <w:tcW w:w="9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924</w:t>
            </w:r>
          </w:p>
        </w:tc>
        <w:tc>
          <w:tcPr>
            <w:tcW w:w="1220" w:type="dxa"/>
            <w:vAlign w:val="bottom"/>
          </w:tcPr>
          <w:p>
            <w:pPr>
              <w:jc w:val="right"/>
              <w:spacing w:after="0"/>
              <w:rPr>
                <w:sz w:val="20"/>
                <w:szCs w:val="20"/>
                <w:color w:val="auto"/>
              </w:rPr>
            </w:pPr>
            <w:r>
              <w:rPr>
                <w:rFonts w:ascii="Arial" w:cs="Arial" w:eastAsia="Arial" w:hAnsi="Arial"/>
                <w:sz w:val="18"/>
                <w:szCs w:val="18"/>
                <w:color w:val="auto"/>
              </w:rPr>
              <w:t>576</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924</w:t>
            </w:r>
          </w:p>
        </w:tc>
        <w:tc>
          <w:tcPr>
            <w:tcW w:w="10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w:t>
      </w:r>
    </w:p>
    <w:p>
      <w:pPr>
        <w:spacing w:after="0" w:line="4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Stock Compensation,” which requires the measurement and recognition of compensation expense for all share-based payment awards made to the Company’s employees and directors, including employee stock options, restricted share awards, restricted stock unit awards and employee stock purchases related to the Employee Stock Purchase Plan based on estimated fair values. Stock-based compensation expense, calculated using the Black-Scholes option-pricing model and included in selling, general and administrative expense, was $3.8 million for the three months ended June 30, 2014, and $2.3 million for the three months ended June 30, 2013. Stock-based compensation expense, included in selling, general and administrative expense, for the six months ended June 30, 2014, was $7.1 million and for the six months ended June 30, 2013, was $5.5 million. As of June 30, 2014, there was $20.0 million of total unrecognized compensation cost related to non-vested share-based compensation arrangements to be recognized over a weighted-average period of 3.0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2014, and 2013. The carrying value of current assets and current liabilities approximates the fair value due to the short maturity of these items.</w:t>
      </w:r>
    </w:p>
    <w:p>
      <w:pPr>
        <w:spacing w:after="0" w:line="18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2014, the Company held auction rate securities with underlying tax-exempt municipal bonds that mature in 2030 that have a fair value of $6.8 million and a cost basis of $7.4 million. The Company sold $150,000 of the auction rate securities during the second quarter of 2014. These bonds have credit wrap insurance and a credit rating of A2 by a major credit rating agency.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June 30, 2014,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580" w:right="619" w:bottom="1440" w:gutter="0" w:footer="0" w:header="0"/>
        </w:sectPr>
      </w:pPr>
    </w:p>
    <w:bookmarkStart w:id="8" w:name="page9"/>
    <w:bookmarkEnd w:id="8"/>
    <w:p>
      <w:pPr>
        <w:jc w:val="both"/>
        <w:ind w:right="48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investments in 2011 and a subsequent pre-tax increase in fair value of $184,000 in the second quarter of 2014. The Company believes that the impairment is temporary and has included the impairment in accumulated other comprehensive loss.</w:t>
      </w:r>
    </w:p>
    <w:p>
      <w:pPr>
        <w:spacing w:after="0" w:line="181"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520"/>
          </w:cols>
          <w:pgMar w:left="240" w:top="584" w:right="139" w:bottom="1440" w:gutter="0" w:footer="0" w:header="0"/>
        </w:sectPr>
      </w:pP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At June 30, 2014</w:t>
      </w:r>
    </w:p>
    <w:p>
      <w:pPr>
        <w:spacing w:after="0" w:line="27" w:lineRule="exact"/>
        <w:rPr>
          <w:sz w:val="20"/>
          <w:szCs w:val="20"/>
          <w:color w:val="auto"/>
        </w:rPr>
      </w:pPr>
    </w:p>
    <w:tbl>
      <w:tblPr>
        <w:tblLayout w:type="fixed"/>
        <w:tblInd w:w="316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30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Level 3</w:t>
            </w:r>
          </w:p>
        </w:tc>
      </w:tr>
      <w:tr>
        <w:trPr>
          <w:trHeight w:val="234"/>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At December 31,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30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1" w:lineRule="exact"/>
        <w:rPr>
          <w:sz w:val="20"/>
          <w:szCs w:val="20"/>
          <w:color w:val="auto"/>
        </w:rPr>
      </w:pPr>
    </w:p>
    <w:p>
      <w:pPr>
        <w:sectPr>
          <w:pgSz w:w="11900" w:h="16838" w:orient="portrait"/>
          <w:cols w:equalWidth="0" w:num="2">
            <w:col w:w="7160" w:space="220"/>
            <w:col w:w="4140"/>
          </w:cols>
          <w:pgMar w:left="240" w:top="584" w:right="139" w:bottom="1440" w:gutter="0" w:footer="0" w:header="0"/>
          <w:type w:val="continuous"/>
        </w:sectPr>
      </w:pPr>
    </w:p>
    <w:tbl>
      <w:tblPr>
        <w:tblLayout w:type="fixed"/>
        <w:tblInd w:w="34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23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Investment in auction rate</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6,812</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630"/>
        </w:trPr>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Gross Unrealized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(Gain) Loss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4"/>
          </w:tcPr>
          <w:p>
            <w:pPr>
              <w:ind w:left="14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b w:val="1"/>
                <w:bCs w:val="1"/>
                <w:color w:val="auto"/>
                <w:w w:val="91"/>
              </w:rPr>
              <w:t>Amount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OCI</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Fair Value</w:t>
            </w:r>
          </w:p>
        </w:tc>
        <w:tc>
          <w:tcPr>
            <w:tcW w:w="40" w:type="dxa"/>
            <w:vAlign w:val="bottom"/>
          </w:tcPr>
          <w:p>
            <w:pPr>
              <w:spacing w:after="0"/>
              <w:rPr>
                <w:sz w:val="20"/>
                <w:szCs w:val="20"/>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w w:val="93"/>
              </w:rPr>
              <w:t>Investment in auction rate securities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6,812</w:t>
            </w:r>
          </w:p>
        </w:tc>
        <w:tc>
          <w:tcPr>
            <w:tcW w:w="40" w:type="dxa"/>
            <w:vAlign w:val="bottom"/>
          </w:tcPr>
          <w:p>
            <w:pPr>
              <w:spacing w:after="0"/>
              <w:rPr>
                <w:sz w:val="18"/>
                <w:szCs w:val="18"/>
                <w:color w:val="auto"/>
              </w:rPr>
            </w:pPr>
          </w:p>
        </w:tc>
      </w:tr>
      <w:tr>
        <w:trPr>
          <w:trHeight w:val="210"/>
        </w:trPr>
        <w:tc>
          <w:tcPr>
            <w:tcW w:w="27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Investment in auction rate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6,628</w:t>
            </w:r>
          </w:p>
        </w:tc>
        <w:tc>
          <w:tcPr>
            <w:tcW w:w="40" w:type="dxa"/>
            <w:vAlign w:val="bottom"/>
            <w:shd w:val="clear" w:color="auto" w:fill="CCEEFF"/>
          </w:tcPr>
          <w:p>
            <w:pPr>
              <w:spacing w:after="0"/>
              <w:rPr>
                <w:sz w:val="18"/>
                <w:szCs w:val="18"/>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400"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right="480" w:firstLine="648"/>
        <w:spacing w:after="0" w:line="273" w:lineRule="auto"/>
        <w:rPr>
          <w:sz w:val="20"/>
          <w:szCs w:val="20"/>
          <w:color w:val="auto"/>
        </w:rPr>
      </w:pPr>
      <w:r>
        <w:rPr>
          <w:rFonts w:ascii="Arial" w:cs="Arial" w:eastAsia="Arial" w:hAnsi="Arial"/>
          <w:sz w:val="17"/>
          <w:szCs w:val="17"/>
          <w:color w:val="auto"/>
        </w:rPr>
        <w:t>At June 30, 2014, the Company had an aggregate $36.8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three months ended June 30, 2014, and 2013.</w:t>
      </w:r>
    </w:p>
    <w:p>
      <w:pPr>
        <w:spacing w:after="0" w:line="178"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a liability of $0.7 million as of June 30, 2014. The carrying value of these swaps is included in Other Long-Term Liabilities on the accompanying Consolidated Balance Sheet as of June 30, 2014.</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20"/>
          </w:cols>
          <w:pgMar w:left="240" w:top="584" w:right="1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color w:val="auto"/>
        </w:rPr>
        <w:t>As of June 30, 2014, the Company was party to derivative financial instruments, as described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Notional</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Fixed Interest</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Agreement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5.075%</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3,696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5.075%</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July 1, 2015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6,388</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4,974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29, 2015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6,805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2,358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3"/>
              </w:rPr>
              <w:t>Derivative Liabilities Designated as Hedging Instruments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Fair Value at</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June 30, 2014</w:t>
            </w:r>
          </w:p>
        </w:tc>
        <w:tc>
          <w:tcPr>
            <w:tcW w:w="2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December 31,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5"/>
              </w:rPr>
              <w:t>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Gain (Loss) Recognized in</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2"/>
              </w:rPr>
              <w:t>from 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3"/>
              </w:rPr>
              <w:t>OCI on Derivatives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(Effective Portion)</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3"/>
              </w:rPr>
              <w:t>during the</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6"/>
          </w:tcPr>
          <w:p>
            <w:pPr>
              <w:jc w:val="center"/>
              <w:ind w:right="920"/>
              <w:spacing w:after="0"/>
              <w:rPr>
                <w:sz w:val="20"/>
                <w:szCs w:val="20"/>
                <w:color w:val="auto"/>
              </w:rPr>
            </w:pPr>
            <w:r>
              <w:rPr>
                <w:rFonts w:ascii="Arial" w:cs="Arial" w:eastAsia="Arial" w:hAnsi="Arial"/>
                <w:sz w:val="18"/>
                <w:szCs w:val="18"/>
                <w:b w:val="1"/>
                <w:bCs w:val="1"/>
                <w:color w:val="auto"/>
                <w:w w:val="93"/>
              </w:rPr>
              <w:t>during the</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2320" w:type="dxa"/>
            <w:vAlign w:val="bottom"/>
          </w:tcPr>
          <w:p>
            <w:pPr>
              <w:jc w:val="center"/>
              <w:ind w:left="490"/>
              <w:spacing w:after="0"/>
              <w:rPr>
                <w:sz w:val="20"/>
                <w:szCs w:val="20"/>
                <w:color w:val="auto"/>
              </w:rPr>
            </w:pPr>
            <w:r>
              <w:rPr>
                <w:rFonts w:ascii="Arial" w:cs="Arial" w:eastAsia="Arial" w:hAnsi="Arial"/>
                <w:sz w:val="18"/>
                <w:szCs w:val="18"/>
                <w:b w:val="1"/>
                <w:bCs w:val="1"/>
                <w:color w:val="auto"/>
                <w:w w:val="87"/>
              </w:rPr>
              <w:t>Location of Loss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2320" w:type="dxa"/>
            <w:vAlign w:val="bottom"/>
          </w:tcPr>
          <w:p>
            <w:pPr>
              <w:jc w:val="center"/>
              <w:ind w:left="49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5"/>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20"/>
                <w:szCs w:val="20"/>
                <w:color w:val="auto"/>
              </w:rPr>
            </w:pPr>
          </w:p>
        </w:tc>
        <w:tc>
          <w:tcPr>
            <w:tcW w:w="13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Interest Expense</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5"/>
              </w:rPr>
              <w:t>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Gain (Loss) Recognized in</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2"/>
              </w:rPr>
              <w:t>from 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3"/>
              </w:rPr>
              <w:t>OCI on Derivatives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1"/>
              </w:rPr>
              <w:t>(Effective Portion)</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(Effective Portion)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3"/>
              </w:rPr>
              <w:t>during the</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6"/>
          </w:tcPr>
          <w:p>
            <w:pPr>
              <w:jc w:val="center"/>
              <w:ind w:right="920"/>
              <w:spacing w:after="0"/>
              <w:rPr>
                <w:sz w:val="20"/>
                <w:szCs w:val="20"/>
                <w:color w:val="auto"/>
              </w:rPr>
            </w:pPr>
            <w:r>
              <w:rPr>
                <w:rFonts w:ascii="Arial" w:cs="Arial" w:eastAsia="Arial" w:hAnsi="Arial"/>
                <w:sz w:val="18"/>
                <w:szCs w:val="18"/>
                <w:b w:val="1"/>
                <w:bCs w:val="1"/>
                <w:color w:val="auto"/>
                <w:w w:val="93"/>
              </w:rPr>
              <w:t>during the</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2320" w:type="dxa"/>
            <w:vAlign w:val="bottom"/>
          </w:tcPr>
          <w:p>
            <w:pPr>
              <w:jc w:val="center"/>
              <w:ind w:left="490"/>
              <w:spacing w:after="0"/>
              <w:rPr>
                <w:sz w:val="20"/>
                <w:szCs w:val="20"/>
                <w:color w:val="auto"/>
              </w:rPr>
            </w:pPr>
            <w:r>
              <w:rPr>
                <w:rFonts w:ascii="Arial" w:cs="Arial" w:eastAsia="Arial" w:hAnsi="Arial"/>
                <w:sz w:val="18"/>
                <w:szCs w:val="18"/>
                <w:b w:val="1"/>
                <w:bCs w:val="1"/>
                <w:color w:val="auto"/>
                <w:w w:val="87"/>
              </w:rPr>
              <w:t>Location of Loss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2320" w:type="dxa"/>
            <w:vAlign w:val="bottom"/>
          </w:tcPr>
          <w:p>
            <w:pPr>
              <w:jc w:val="center"/>
              <w:ind w:left="49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5"/>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2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20"/>
                <w:szCs w:val="20"/>
                <w:color w:val="auto"/>
              </w:rPr>
            </w:pPr>
          </w:p>
        </w:tc>
        <w:tc>
          <w:tcPr>
            <w:tcW w:w="13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Interest Expense</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1"/>
              </w:rPr>
              <w:t>(111)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380" w:firstLine="648"/>
        <w:spacing w:after="0" w:line="293" w:lineRule="auto"/>
        <w:rPr>
          <w:sz w:val="20"/>
          <w:szCs w:val="20"/>
          <w:color w:val="auto"/>
        </w:rPr>
      </w:pPr>
      <w:r>
        <w:rPr>
          <w:rFonts w:ascii="Arial" w:cs="Arial" w:eastAsia="Arial" w:hAnsi="Arial"/>
          <w:sz w:val="16"/>
          <w:szCs w:val="16"/>
          <w:color w:val="auto"/>
        </w:rPr>
        <w:t>The Company’s only reportable business segment is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Company’s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65"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ind w:right="44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June 30, 2014, and 2013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Truck Segment</w:t>
            </w:r>
          </w:p>
        </w:tc>
        <w:tc>
          <w:tcPr>
            <w:tcW w:w="2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2014</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31,925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the six months ended June 30, 2014</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52,093</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2013</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784,573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5,101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1,945,552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26,688</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As of the six months ended June 30, 2013</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1,536,803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9,659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31,091</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40" w:firstLine="648"/>
        <w:spacing w:after="0" w:line="297" w:lineRule="auto"/>
        <w:rPr>
          <w:sz w:val="20"/>
          <w:szCs w:val="20"/>
          <w:color w:val="auto"/>
        </w:rPr>
      </w:pPr>
      <w:r>
        <w:rPr>
          <w:rFonts w:ascii="Arial" w:cs="Arial" w:eastAsia="Arial" w:hAnsi="Arial"/>
          <w:sz w:val="16"/>
          <w:szCs w:val="16"/>
          <w:color w:val="auto"/>
        </w:rPr>
        <w:t>The Company included accruals for unrecognized income tax benefits totaling $1.5 million as a component of accrued liabilities as of June 30, 2014, and $1.4 million as of June 30, 2013. The unrecognized tax benefits, if recognized, would impact the Company’s effective tax rate. An unfavorable settlement would require a charge to income tax expense and a favorable resolution would be recognized as a reduction to income tax expense. The Company records interest and penalties related to unrecognized income tax benefits in income tax expense. The Company had accrued interest of $81,000 at June 30, 2014, and December 31, 2013, related to unrecognized tax benefits. No amounts were accrued for penalties.</w:t>
      </w:r>
    </w:p>
    <w:p>
      <w:pPr>
        <w:spacing w:after="0" w:line="15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2014, the tax years ended December 31, 2010 through 2013, remained subject to audit by federal tax authorities and the tax years ended December 31, 2009 through 2013,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color w:val="auto"/>
                <w:w w:val="89"/>
              </w:rPr>
              <w:t>Three Months Ended June 30, 2014</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3"/>
              </w:rPr>
              <w:t>Available</w:t>
            </w: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Cash Flow</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for Sale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Swaps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Securities</w:t>
            </w:r>
          </w:p>
        </w:tc>
        <w:tc>
          <w:tcPr>
            <w:tcW w:w="440" w:type="dxa"/>
            <w:vAlign w:val="bottom"/>
          </w:tcPr>
          <w:p>
            <w:pPr>
              <w:spacing w:after="0"/>
              <w:rPr>
                <w:sz w:val="20"/>
                <w:szCs w:val="20"/>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color w:val="auto"/>
              </w:rPr>
              <w:t>Total</w:t>
            </w:r>
          </w:p>
        </w:tc>
      </w:tr>
      <w:tr>
        <w:trPr>
          <w:trHeight w:val="210"/>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20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Change in fair value</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 of available for sale securities</w:t>
            </w:r>
          </w:p>
        </w:tc>
        <w:tc>
          <w:tcPr>
            <w:tcW w:w="2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tax deferred</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20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656"/>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80"/>
          </w:cols>
          <w:pgMar w:left="240" w:top="584" w:right="1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center"/>
              <w:ind w:left="630"/>
              <w:spacing w:after="0"/>
              <w:rPr>
                <w:sz w:val="20"/>
                <w:szCs w:val="20"/>
                <w:color w:val="auto"/>
              </w:rPr>
            </w:pPr>
            <w:r>
              <w:rPr>
                <w:rFonts w:ascii="Arial" w:cs="Arial" w:eastAsia="Arial" w:hAnsi="Arial"/>
                <w:sz w:val="18"/>
                <w:szCs w:val="18"/>
                <w:color w:val="auto"/>
                <w:w w:val="89"/>
              </w:rPr>
              <w:t>Three Months Ended June 30, 2013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Cash Flow</w:t>
            </w: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Swaps</w:t>
            </w:r>
          </w:p>
        </w:tc>
        <w:tc>
          <w:tcPr>
            <w:tcW w:w="10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4"/>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249</w:t>
            </w: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Balance at June 30, 2013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(578)</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(1,432)</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left="630"/>
              <w:spacing w:after="0"/>
              <w:rPr>
                <w:sz w:val="20"/>
                <w:szCs w:val="20"/>
                <w:color w:val="auto"/>
              </w:rPr>
            </w:pPr>
            <w:r>
              <w:rPr>
                <w:rFonts w:ascii="Arial" w:cs="Arial" w:eastAsia="Arial" w:hAnsi="Arial"/>
                <w:sz w:val="18"/>
                <w:szCs w:val="18"/>
                <w:color w:val="auto"/>
                <w:w w:val="89"/>
              </w:rPr>
              <w:t>Six Months Ended June 30, 2014</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Cash Flow</w:t>
            </w: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Swaps</w:t>
            </w:r>
          </w:p>
        </w:tc>
        <w:tc>
          <w:tcPr>
            <w:tcW w:w="10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4"/>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 of available for sale securities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(275)</w:t>
            </w: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left w:val="single" w:sz="8" w:color="CCEEFF"/>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left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left="630"/>
              <w:spacing w:after="0"/>
              <w:rPr>
                <w:sz w:val="20"/>
                <w:szCs w:val="20"/>
                <w:color w:val="auto"/>
              </w:rPr>
            </w:pPr>
            <w:r>
              <w:rPr>
                <w:rFonts w:ascii="Arial" w:cs="Arial" w:eastAsia="Arial" w:hAnsi="Arial"/>
                <w:sz w:val="18"/>
                <w:szCs w:val="18"/>
                <w:color w:val="auto"/>
                <w:w w:val="89"/>
              </w:rPr>
              <w:t>Six Months Ended June 30, 2013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Cash Flow</w:t>
            </w: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Swaps</w:t>
            </w:r>
          </w:p>
        </w:tc>
        <w:tc>
          <w:tcPr>
            <w:tcW w:w="10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4"/>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Balance at June 30, 2013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(578)</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(1,432)</w:t>
            </w:r>
          </w:p>
        </w:tc>
      </w:tr>
      <w:tr>
        <w:trPr>
          <w:trHeight w:val="20"/>
        </w:trPr>
        <w:tc>
          <w:tcPr>
            <w:tcW w:w="58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9520" w:type="dxa"/>
            <w:vAlign w:val="bottom"/>
            <w:gridSpan w:val="12"/>
          </w:tcPr>
          <w:p>
            <w:pPr>
              <w:jc w:val="right"/>
              <w:ind w:right="40"/>
              <w:spacing w:after="0"/>
              <w:rPr>
                <w:sz w:val="20"/>
                <w:szCs w:val="20"/>
                <w:color w:val="auto"/>
              </w:rPr>
            </w:pPr>
            <w:r>
              <w:rPr>
                <w:rFonts w:ascii="Arial" w:cs="Arial" w:eastAsia="Arial" w:hAnsi="Arial"/>
                <w:sz w:val="18"/>
                <w:szCs w:val="18"/>
                <w:color w:val="auto"/>
                <w:w w:val="90"/>
              </w:rPr>
              <w:t>The following table shows the amount of loss reclassified from accumulated other comprehensive loss into earnings (in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060" w:type="dxa"/>
            <w:vAlign w:val="bottom"/>
            <w:gridSpan w:val="6"/>
          </w:tcPr>
          <w:p>
            <w:pPr>
              <w:jc w:val="right"/>
              <w:ind w:right="110"/>
              <w:spacing w:after="0"/>
              <w:rPr>
                <w:sz w:val="20"/>
                <w:szCs w:val="20"/>
                <w:color w:val="auto"/>
              </w:rPr>
            </w:pPr>
            <w:r>
              <w:rPr>
                <w:rFonts w:ascii="Arial" w:cs="Arial" w:eastAsia="Arial" w:hAnsi="Arial"/>
                <w:sz w:val="18"/>
                <w:szCs w:val="18"/>
                <w:color w:val="auto"/>
              </w:rPr>
              <w:t>Six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87"/>
              </w:rPr>
              <w:t>June 30, 2014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June 30, 2013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5"/>
              </w:rPr>
              <w:t>June 30, 2014</w:t>
            </w:r>
          </w:p>
        </w:tc>
        <w:tc>
          <w:tcPr>
            <w:tcW w:w="122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color w:val="auto"/>
                <w:w w:val="94"/>
              </w:rPr>
              <w:t>June 30, 2013</w:t>
            </w:r>
          </w:p>
        </w:tc>
        <w:tc>
          <w:tcPr>
            <w:tcW w:w="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 and Business Transactions</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800" w:right="17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The purchase price for the assets, membership interests, goodwill and dealership properties was approximately $145.1 million, which was paid in cash and 83,091 shares of the Company’s Class B Common Stock with a total value of $2.0 million on the date of acquisition. The operations of CIT, Inc. are included in the accompanying consolidated financial statements from the date of the acquisition. The preliminary purchase price was allocated based on the fair values of the assets at the date of acquisition as follows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3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145,063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because the acquisition was not considered material.</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25, 2014, a joint venture was established to further expand the Company’s used commercial vehicle sales network. As a result, the Company owns 50% of Central California Truck and Trailer Sales, LLC (“CCTTS”), which has locations in Fresno and Stockton, California which sell used trucks. In connection with the formation of this joint venture, the Company contributed $2.2 million. CCTTS is accounted for using the equity method of accounting in accordance with ASC 323 and is recorded on the Consolidated Balance Sheet in Other Assets.</w:t>
      </w:r>
    </w:p>
    <w:p>
      <w:pPr>
        <w:spacing w:after="0" w:line="171"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In May, the Company announced an agreement with 3M to pursue the design, manufacture and installation of a portfolio of compressed natural gas (“CNG”) fuel systems for use in Class 6 through 8 vehicles. The Agreement allows the Company to engineer, assemble and install CNG fuel systems utilizing 3M’s CNG tanks, as well as provide market distribution and aftermarket support. In addition to the initial $2.0 million investment for research and development, which was recorded in selling, general and administrative expense, the Company will continue to incur expenses to bring its CNG fuel system to market. The transaction did not qualify as a business combination in accordance with ASC 805.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Financial Accounting Standards Board issued a new accounting pronouncement regarding revenue from contracts with customers. This new standard provides guidance on recognizing revenue, including a five step model to determine when revenue recognition is appropriate. The standard requires that an entity recognizes revenue to depict the transfer of promised goods or services to customers in an amount that reflects the consideration to which the entity expects to be entitled in exchange for those goods or services. Adoption of the new standard is effective for reporting periods beginning after December 15, 2016, with early adoption not permitted. The Company is currently evaluating the potential impact that the adoption of this standard will have on its financial position, results of operations, and related disclosures, and will adopt the provisions of this new standard in the first quarter of 2017.</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584"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2013,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of the date on which they are made and the Company undertakes no duty to update or revise any forward-looking statements.</w:t>
      </w:r>
    </w:p>
    <w:p>
      <w:pPr>
        <w:spacing w:after="0" w:line="3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81"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607" w:right="5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106 Rush Truck Centers in 20 states.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Goodwill is tested for impairment by reporting unit utilizing a two-step process at least annually, or more frequently when events or changes in circumstances indicate that the asset might be impaired. The first step requires the Company to compare the fair value of the reporting unit, which is the same as the segment, to the respective carrying value. The Company considers its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 to materialize, the resulting decline in its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15" w:name="page16"/>
    <w:bookmarkEnd w:id="15"/>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2013 and no impairment was required. The fair value of our reporting unit exceeded the carrying value of its net assets. As a result, we were not required to conduct the second step of the impairment test. The Company does not believe its reporting unit is at risk of failing step one of the impairment test.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requiring it to make estimates regarding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7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87" w:lineRule="exact"/>
        <w:rPr>
          <w:sz w:val="20"/>
          <w:szCs w:val="20"/>
          <w:color w:val="auto"/>
        </w:rPr>
      </w:pPr>
    </w:p>
    <w:p>
      <w:pPr>
        <w:jc w:val="both"/>
        <w:ind w:right="400" w:firstLine="648"/>
        <w:spacing w:after="0" w:line="257"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2014, and 2013.</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900" w:type="dxa"/>
            <w:vAlign w:val="bottom"/>
            <w:gridSpan w:val="4"/>
          </w:tcPr>
          <w:p>
            <w:pPr>
              <w:ind w:left="360"/>
              <w:spacing w:after="0"/>
              <w:rPr>
                <w:sz w:val="20"/>
                <w:szCs w:val="20"/>
                <w:color w:val="auto"/>
              </w:rPr>
            </w:pPr>
            <w:r>
              <w:rPr>
                <w:rFonts w:ascii="Arial" w:cs="Arial" w:eastAsia="Arial" w:hAnsi="Arial"/>
                <w:sz w:val="18"/>
                <w:szCs w:val="18"/>
                <w:color w:val="auto"/>
                <w:w w:val="96"/>
              </w:rPr>
              <w:t>The following table sets forth certain financial data as a percentage of total revenues: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16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New and used truck sales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 and rental</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16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83.2</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12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9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r>
      <w:tr>
        <w:trPr>
          <w:trHeight w:val="669"/>
        </w:trPr>
        <w:tc>
          <w:tcPr>
            <w:tcW w:w="300" w:type="dxa"/>
            <w:vAlign w:val="bottom"/>
          </w:tcPr>
          <w:p>
            <w:pPr>
              <w:spacing w:after="0"/>
              <w:rPr>
                <w:sz w:val="24"/>
                <w:szCs w:val="24"/>
                <w:color w:val="auto"/>
              </w:rPr>
            </w:pPr>
          </w:p>
        </w:tc>
        <w:tc>
          <w:tcPr>
            <w:tcW w:w="51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5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7" w:name="page18"/>
    <w:bookmarkEnd w:id="17"/>
    <w:p>
      <w:pPr>
        <w:ind w:right="16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Three Months Ended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2013</w:t>
            </w:r>
          </w:p>
        </w:tc>
        <w:tc>
          <w:tcPr>
            <w:tcW w:w="260" w:type="dxa"/>
            <w:vAlign w:val="bottom"/>
          </w:tcPr>
          <w:p>
            <w:pPr>
              <w:spacing w:after="0"/>
              <w:rPr>
                <w:sz w:val="18"/>
                <w:szCs w:val="18"/>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2013</w:t>
            </w:r>
          </w:p>
        </w:tc>
        <w:tc>
          <w:tcPr>
            <w:tcW w:w="260" w:type="dxa"/>
            <w:vAlign w:val="bottom"/>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3,642</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2,088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New light-duty vehicles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unit sales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292.7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579.9</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New light-duty vehicles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revenue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ratio:</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the Company’s commercial vehicle dealerships’ absorption ratio was approximately 80%. The Company has made a concerted effort to increase its absorption ratio since 1999. The Company’s commercial vehicle dealerships achieved a 120.0% absorption ratio for the second quarter of 2014, and 114.9% absorption ratio for the second quarter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to Three Months Ended June 30, 2013</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Moderate freight growth and a stable economy, combined with the Company’s ability to offer unique solutions and company-wide efforts to integrate newly acquired locations, resulted in exceptional performance this quarter. The Company significantly outpaced the U.S. market in both heavy-and medium-duty new commercial vehicle sales, achieving record market share in both segments.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Parts, service and body shop revenues continue to be driven by strong demand for maintenance and repair of aged vehicles. The Company expects strong aftermarket sales will continue through the remainder of 2014, fueled by the on-going need for vehicle maintenance and repair and growth in our portfolio of aftermarket solutions, including expanded mobile service, regional parts call centers, natural gas offerings and technology to improve customer communication and vehicle uptime.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believes that the positive impact of a steady economy and improvements in freight movement earlier in the year continued throughout the second quarter. In particular, sales of new Class 8 trucks from our inventory significantly increased as independent operators and smaller vocational fleets required equipment ready to put into service in order to take advantage of increased activity in the energy, construction and refuse segments. Some larger fleets also replaced aged vehicles to reduce maintenance expenses, but fleet expansion remains tempered by the driver shortage and high cost of equipment.</w:t>
      </w: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611" w:right="619" w:bottom="1440" w:gutter="0" w:footer="0" w:header="0"/>
        </w:sectPr>
      </w:pPr>
    </w:p>
    <w:bookmarkStart w:id="18" w:name="page19"/>
    <w:bookmarkEnd w:id="18"/>
    <w:p>
      <w:pPr>
        <w:jc w:val="both"/>
        <w:ind w:right="20" w:firstLine="648"/>
        <w:spacing w:after="0" w:line="257" w:lineRule="auto"/>
        <w:rPr>
          <w:sz w:val="20"/>
          <w:szCs w:val="20"/>
          <w:color w:val="auto"/>
        </w:rPr>
      </w:pPr>
      <w:r>
        <w:rPr>
          <w:rFonts w:ascii="Arial" w:cs="Arial" w:eastAsia="Arial" w:hAnsi="Arial"/>
          <w:sz w:val="18"/>
          <w:szCs w:val="18"/>
          <w:color w:val="auto"/>
        </w:rPr>
        <w:t>The Company’s Class 4 through 7 commercial vehicle sales also significantly outpaced the U.S. retail market. With continued improvement in housing and road construction, the Company’s large inventory of Class 4 through 7 commercial vehicles at locations across the country allowed it to provide prompt delivery of work-ready equipment to vocational end users, particularly important as lead times from commercial vehicle manufacturers continue to lengthen. Sales of IC Bus school buses in Ohio and Blue Bird school buses in Texas also significantly contributed to Class 4 through 7 commercial vehicle sales this quarter.</w:t>
      </w:r>
    </w:p>
    <w:p>
      <w:pPr>
        <w:spacing w:after="0" w:line="18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May, the Company announced an agreement with 3M to pursue the design, manufacture and installation of a portfolio of compressed natural gas (“CNG”) fuel systems for use in Class 6 through 8 vehicles. The Agreement allows the Company to engineer, assemble and install CNG fuel systems utilizing 3M’s CNG tanks, as well as provide market distribution and aftermarket support. In addition to the initial $2.0 million investment, which was charged to selling, general and administrative expense, the Company will continue to incur expenses to bring its CNG fuel system to market.</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 is continuing to expand its service network capabilities as planned, with capital investments allocated to new facility construction, renovations and expansions. Within the Company’s Peterbilt Division, facility projects are underway in seven states, including construction of two new dealership facilities in Colorado and Texas and renovations of existing properties to add more than 160 service bays and 60 natural gas service bays. Similar facility expansions are underway in our Navistar Division, including construction of new dealerships in Ohio and Idaho and renovations in Illinois, Ohio, Missouri and North Carolina.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$392.8 million, or 49.7%, in the second quarter of 2014 compared to the second quarter of 2013.</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Parts, service and body shop revenues increased $88.1 million, or 36.2%, in the second quarter of 2014 compared to the second quarter of 2013. This increase is due primarily to the effect of the acquisitions that occurred since the second quarter of 2013, but also driven by strong demand for maintenance and repair of aged vehicles. The Company expects parts, service and body shop sales to continue to remain strong through 2014 and remains focused on expanding aftermarket product and service offerings.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$289.1 million, or 56.9%, in the second quarter of 2014 compared to the second quarter of 2013.</w:t>
      </w:r>
    </w:p>
    <w:p>
      <w:pPr>
        <w:spacing w:after="0" w:line="170"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Company sold 3,642 heavy-duty trucks in the second quarter of 2014, a 74.4% increase compared to 2,088 heavy-duty trucks in the second quarter of 2013. This increase is due primarily to the effect of the acquisitions that occurred since the second quarter of 2013 and a stronger heavy-duty truck market. According to A.C.T. Research Co., LLC (“A.C.T. Research”), a truck industry data and forecasting service provider, the U.S. Class 8 truck market increased 18% in the second quarter of 2014 compared to the second quarter of 2013. A.C.T. Research currently predicts U.S. retail sales of Class 8 trucks of approximately 226,900 units in 2014, 235,000 units in 2015, and 220,000 units in 2016, compared to approximately 188,000 units in 2013. The Company’s share of the U.S. Class 8 truck sales market was approximately 5.1% in 2013, and 6.2% in the first half of 2014. The Company expects its market share to range between 5.8% and 6.2% of U.S. Class 8 truck sales in 2014. Based on A.C.T. Research’s estimate of U.S. retail sales of 226,900 units, this market share percentage would result in the sale of approximately 13,100 to 14,000 of Class 8 trucks in 2014.</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sold 2,976 medium-duty commercial vehicles, including 564 buses, in the second quarter of 2014, a 48.7% increase compared to 2,001 medium-duty commercial vehicles, including 276 buses, in 2013. A.C.T. Research estimates that unit sales of Class 4 through 7 commercial vehicles in the U.S. increased approximately 8% in the second quarter of 2014, compared to the second quarter of 2013. A.C.T. Research currently predicts U.S. retail sales of Class 4 through 7 medium-duty commercial vehicles of approximately 196,500 units in 2014, 204,500 units in 2015, and 212,500 in 2016. The Company’s share of the U.S. Class 4 through 7 commercial vehicle sales market in the U.S. in 2013 was 4.7%, and 5.2% in the first half of 2014. The Company expects its market share to range between 4.9% and 5.5% of U.S. Class 4 through 7 commercial vehicle sales in 2014. Based on A.C.T. Research’s current U.S. retail sales estimates of 196,500 units, this market share percentage would result in the sale of approximately 9,600 to 10,800 of Class 4 through 7 commercial vehicles in 2014.</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The Company sold 489 light-duty vehicles in the second quarter of 2014, an 8.4% decrease compared to 534 light-duty vehicles in the second quarter of 2013. The Company expects to sell approximately 2,000 light-duty vehicles in 2014.</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sold 2,021 used commercial vehicles in the second quarter of 2014, a 33.1% increase compared to 1,518 used commercial vehicles in the second quarter of 2013. This increase was primarily the result of acquisitions that occurred since the second quarter of 2013. The Company expects to sell 7,500 to 8,500 used commercial vehicles in 2014. The volume of used commercial vehicle sales will be largely dependent upon our ability to acquire quality used commercial vehicles and maintain an adequate used commercial vehicle inventory throughout 2014.</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Truck lease and rental revenues increased $12.7 million, or 40.5%, in the second quarter of 2014, compared to the second quarter of 2013. The increase in lease and rental revenue is primarily due to acquisitions that occurred in the second half of 2013 and the first quarter of 2014. The Company expects lease and rental revenue to increase 35% to 40% during 2014, compared to 2013.</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Finance and insurance revenues increased $1.4 million, or 36.9%, in the second quarter of 2014, compared to the second quarter of 2013. The Company expects finance and insurance revenue to fluctuate proportionately with the Company’s new and used commercial vehicle sales in 2014. Finance and insurance revenues have limited direct costs and, therefore, contribute a disproportionate share of the Company’s operating profits.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profit increased $55.7 million, or 40.4%, in the second quarter of 2014, compared to the second quarter of 2013. Gross profit as a percentage of sales decreased to 16.4% in the second quarter of 2014, from 17.4% in the second quarter of 2013. This decrease in gross profit as a percentage of sales is a result of a change in our product sales mix. Commercial vehicle sales, a lower margin revenue item, increased as a percentage of total revenue to 67.4% in 2014, from 64.4% in 2013. Parts and service revenue, a higher margin revenue item, decreased as a percentage of total revenue to 28.0% in 2014, from 30.8% in 2013.</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the Company’s parts, service and body shop operations decreased to 36.0% in the second quarter of 2014, from 37.2% in the second quarter of 2013. Gross profit for the parts, service and body shop departments increased to $118.7 million in the second quarter of 2014, from $90.5 million in the second quarter of 2013. Historically, parts operations gross margins range from 27% to 28% and service and body shop operations range from 67% to 68%. Gross profits from parts sales represented 54% of total gross profit for parts, service and body shop operations in the second quarter of 2014 and the second quarter of 2013. Service and body shop operations represented 46% of total gross profit for parts, service and body shop operations in the second quarter of 2014 and the second quarter of 2013. The Company expects blended gross margins on parts, service and body shop operations to range from 35.0% to 37.0% in 2014.</w:t>
      </w:r>
    </w:p>
    <w:p>
      <w:pPr>
        <w:spacing w:after="0" w:line="18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Class 8 truck sales increased to 7.6% in the second quarter of 2014, from 6.7% in the second quarter of 2013. In 2014, the Company expects overall gross margins from Class 8 truck sales of approximately 6.5% to 7.6%.</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Gross margins on medium-duty commercial vehicle sales increased to 5.6% in the second quarter of 2014, from 5.0% in the second quarter of 2013. It is difficult to accurately forecast gross margins on medium-duty commercial vehicles because gross margins vary significantly depending upon the mix of fleet and non-fleet purchasers and types of medium-duty commercial vehicles sold. For 2014, the Company expects overall gross margins from medium-duty commercial vehicle sales of approximately 5.1% to 5.6%, but this will largely depend upon the mix of purchasers and types of vehicles sold.</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10.7% in the second quarter of 2014, from 10.5% in the second quarter of 2013. The Company expects margins on used commercial vehicles to range between 9.0% and 10.5% during 2014, depending upon general economic conditions and the availability of quality used vehicles.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Gross margins from truck lease and rental sales decreased to 13.2% in the second quarter of 2014, from 15.9% in the second quarter of 2013. The decrease in gross margins is primarily due to the acquisitions in Illinois and Indiana. The Company expects gross margins from lease and rental sales of approximately 13.0% to 15.0% during 2014,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0" w:name="page21"/>
    <w:bookmarkEnd w:id="20"/>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Selling, General and Administrative (“SG&amp;A”) expenses increased $30.6 million, or 25.8%, in the second quarter of 2014, compared to the second quarter of 2013. During the second quarter of 2014, the Company incurred of $2.0 million of research and development costs in its selling, general and administrative expense related to its agreement with 3M. SG&amp;A expenses as a percentage of total revenue decreased to 12.6% in the second quarter of 2014, from 15.0% in the second quarter of 2013. SG&amp;A expenses as a percentage of total revenue have historically ranged from 10.0% to 15.0%. For 2014, the Company expects SG&amp;A expenses as a percentage of total revenue to range from 12.5% to 13.5% and the selling portion of SG&amp;A expenses to be approximately 25% to 30% of new and used commercial vehicle gross profit. In 2014, the Company expects the general and administrative portion of SG&amp;A expenses to increase by approximately 25% to 30% compared to 2013, due primarily to the full year effect of the acquisitions that occurred since the first quarter of 2013, the addition of personnel and technology to integrate the Company’s network of dealerships and the agreement with 3M.</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quarter of 2013, the Company recognized a pre-tax charge of $10.8 million in its selling, general and administrative expense related to the Retirement and Transition Agreement with W. Marvin Rush.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increased $1.9 million, or 26.4%, in the second quarter of 2014, compared to the second quarter of 2013. This increase is primarily due to acquisitions that occurred since the second quarter of 2013, the construction of new dealerships and dealership renovations and expansions.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interest expense remained flat at $2.5 million in the second quarter of 2014, and the second quarter of 2013. Net interest expense in 2014 will depend on inventory levels and the amount of cash available to make prepayments on the Company’s floor plan agreement with GE Capital Commercial, Inc. (“GE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$23.1 million, or 247.9%, in the second quarter of 2014, compared to the second quarter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increased $8.9 million, or 241.3%, in the second quarter of 2014, compared to the second quarter of 2013. The Company provided for taxes at a 38.75% effective rate in the second quarter of 2014, compared to an effective rate of 39.5% in the second quarter of 2013. The Company expects its effective tax rate to be approximately 38% to 39% of pretax income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Six Months Ended June 30, 2013</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Unless otherwise stated below, the Company’s variance explanations and future expectations with regard to the items discussed in this section are set forth in the discussion of the “Three Months Ended June 30, 2014, Compared to Three Months Ended June 30, 2013.”</w:t>
      </w:r>
    </w:p>
    <w:p>
      <w:pPr>
        <w:spacing w:after="0" w:line="14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Revenues increased $594.7 million, or 38.5%, in the first six months of 2014, compared to the first six months of 2013. Sales of new and used commercial vehicles increased $400.4 million, or 40.1%, in the first six months of 2014, compared to the first six months of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Parts and service sales increased $165.5 million, or 34.9%, in the first six months of 2014, compared to the first six months of 2013.</w:t>
      </w: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The Company sold 6,330 heavy-duty trucks in the first six months of 2014, a 52.4% increase compared to 4,153 heavy-duty trucks in the first six months of 2013. According to A.C.T. Research, retail sales in the U.S. Class 8 truck market increased 17% in the first six months of 2014, compared to the first six months of 2013.</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sold 4,942 medium-duty commercial vehicles, including 807 buses in the first six months of 2014. This represented a 25.0% increase compared to 3,955 medium-duty commercial vehicles, including 466 buses in the first six months of 2013. A.C.T. Research estimates that unit sales of Class 4 through 7 commercial vehicles in the U.S increased approximately 9.0% in the first six months of 2014, compared to the first six months of 2013.</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sold 3,724 used commercial vehicles in the first six months of 2014, a 27.0% increase compared to 2,932 used commercial vehicles in the first six months of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$23.5 million, or 38.3%, in the first six months of 2014, compared to the first six months of 2013.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$2.4 million, or 33.9%, in the first six months of 2014, compared to the first six months of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$87.8 million, or 32.3%, in the first six months of 2014, compared to the first six months of 2013. Gross profit as a percentage of sales decreased to 16.8% in the first six months of 2014, from 17.6% in the first six months of 2013.</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the Company’s parts, service and body shop operations decreased to 35.8% in the first six months of 2014, from 37.2% in the first six months of 2013. Gross profit for the parts, service and body shop departments was $229.3 million in the first six months of 2014, compared to $176.2 million in the first six months of 2013. Gross profits from parts sales represented 56% of total gross profit for parts, service and body shop operations in the first six months of 2014, compared to 55% in the first six months of 2013. Service and body shop operations represented 44% of total gross profit for parts, service and body shop operations in the first six months of 2014, compared to 45% in the first six months of 2013.</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to 7.5% in the first six months of 2014, from 7.0% in the first six months of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5.6% in the first six months of 2014, from 5.3%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10.1% in the first six months of 2014, from 10.3% in the first six months of 2013.</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12.8% in the first six months of 2014, from approximately 16.9% in the first six months of 2013.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SG&amp;A expenses increased $63.0 million, or 28.5%, in the first six months of 2014, compared to the first six months of 2013. SG&amp;A expenses as a percentage of sales was 13.3% in the first six months of 2014, and 14.3% in the first six months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$3.6 million, or 25.2%, in the first six months of 2014 compared to 2013.</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interest expense increased $0.7 million, or 13.6%, in the first six months of 2014, compared to the first six months of 2013. The increase in net interest expense is primarily due to the increased levels of commercial vehicle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$20.6 million, or 65.6%, in the first six months of 2014, compared to the first six months of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increased $7.9 million, or 64.8%, in the first six months of 2014, compared to the first six months of 2013. The Company provided for taxes at a 38.75% rate in the first six months of 2014, compared to a rate of 39.0% in the first six months of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2014, the Company had working capital of approximately $142.9 million, including $131.0 million in cash available to fund our operations. The Company believes that these funds are sufficient to meet its operating requirements for at least the next twelve months.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$15.0 million. There were no advances outstanding under this secured line of credit at June 30, 2014; however, $11.5 million was pledged to secure various letters of credit related to self-insurance products, leaving $3.5 million available for future borrowings as of June 30, 2014.</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long-term real estate debt agreements and floor plan financing arrangements require the Company to satisfy various financial ratios such as the debt to worth ratio, leverage ratio and the fixed charge coverage ratio and certain requirements for tangible net worth and GAAP net worth. As of June 30, 2014,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expects to purchase or lease trucks worth approximately $170.0 million for its leasing operations during 2014, depending on customer demand, all of which will be financed. The Company also expects to make capital expenditures for recurring items such as computers, shop tools and equipment and vehicles of approximately $16.0 million to $18.0 million during 2014.</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currently under contracts to construct dealership facilities in San Antonio, Texas, at an estimated cost of $12.0 million, Dallas, Texas at an estimated cost of $2.6 million, Abilene, Texas at an estimated cost of $1.8 million, Whittier, California at an estimated cost of $1.2 million, Cleveland, Ohio at an estimated cost of $8.4 million and Orlando, Florida at an estimated cost of $4.1 million. These construction projects are estimated to continue through the second quarter of 2015.</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anticipates funding its capital expenditures relating to the improvement and expansion of existing facilities and recurring expenses through its operating cash flow. The Company expects to fund the construction or purchase of new facilities through either its operating cash flow or by financing 70% to 80% of the appraised value of such facility.</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3" w:name="page24"/>
    <w:bookmarkEnd w:id="23"/>
    <w:p>
      <w:pPr>
        <w:jc w:val="both"/>
        <w:ind w:firstLine="648"/>
        <w:spacing w:after="0" w:line="270" w:lineRule="auto"/>
        <w:rPr>
          <w:sz w:val="20"/>
          <w:szCs w:val="20"/>
          <w:color w:val="auto"/>
        </w:rPr>
      </w:pPr>
      <w:r>
        <w:rPr>
          <w:rFonts w:ascii="Arial" w:cs="Arial" w:eastAsia="Arial" w:hAnsi="Arial"/>
          <w:sz w:val="17"/>
          <w:szCs w:val="17"/>
          <w:color w:val="auto"/>
        </w:rPr>
        <w:t>On February 4, 2014, the Company announced that its Board of Directors approved a new stock repurchase program authorizing the Company to repurchase, from time to time, up to an aggregate of $40.0 million shares of Class A Common Stock and/or Class B Common Stock. The new stock repurchase program replaces the previous $40 million stock repurchase program that was set to expire on February 11, 2014.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3, 2015, and may be suspended or discontinued at any time. While the stock repurchase program does not obligate the Company to acquire any particular amount or class of common stock, the Company anticipates that it will be repurchasing primarily shares of its Class B Common Stock. As of June 30, 2014, the Company had repurchased $8.1 million of its Class B Common Stock under the stock repurchase program announced on February 4, 2014.</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continue to purchase vehicles for its lease and rental division and authorize capital expenditures for improvement and expansion of its existing dealership facilities and construction or purchase of new facilities based on market opportunities. The Company has no other material commitments for capital expenditures as of June 30,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Cash and cash equivalents decreased by $86.3 million during the six months ended June 30, 2014, and increased by $4.8 million during the six months ended June 30, 2013.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2014, operating activities resulted in net cash provided by operations of $46.6 million. Cash provided by operating activities was primarily impacted by the increase in draws on floor plan notes payable and the increase in accrued expenses, which was offset by the decrease in customer deposits, the increase in inventory levels and the increase in accounts receivable.</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the first six months of 2013, operating activities resulted in net cash provided by operations of $36.7 million. Cash provided by operating activities was primarily impacted by the increase in accounts payable, which was offset by the decrease in accrued liabilities and the increase in inventories.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June 30, 2013, the interest rate on the wholesale financing agreement was 5.25% before considering the applicable incentives. As of June 30, 2014, the Company had an outstanding balance of $54.4 million under the Ford Motor Credit Company wholesale financing agreement.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used in investing activities consist primarily of cash used for capital expenditures and business acquisitions. During the first six months of 2014, cash used in investing activities was $261.3 million. Capital expenditures consisted of purchases of property and equipment and improvements to our existing dealership facilities of $116.2 million. Property and equipment purchases during the first six months of 2014 consisted of $81.5 million for additional units for rental and leasing operations, which will be directly offset by borrowings of long-term debt. The Company expects to purchase or lease trucks worth approximately $170.0 million for its leasing operations in 2014, depending on customer demand, all of which will be financed. Cash used in business acquisitions was $147.3 million during the first six months of 2014, which was partially offset by borrowings of long-term debt and floor plan notes payable. See Note 10 of the Notes to Consolidated Financial Statements for a detailed discussion of the business acquisitions. During 2014, the Company expects to make capital expenditures for recurring items such as computers, shop equipment and vehicles of $16.0 million to $18.0 million.</w:t>
      </w:r>
    </w:p>
    <w:p>
      <w:pPr>
        <w:spacing w:after="0" w:line="19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During the first six months of 2013, cash used in investing activities was $85.8 million. Capital expenditures consisted of purchases of property and equipment and improvements to our existing dealership facilities of $82.5 million. Property and equipment purchases during the first six months of 2013 consisted of $57.6 million for additional units for rental and leasing operations, which was directly offset by borrowings of long-term debt.</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Cash provided by financing activities was $128.3 million during the first six months of 2014. The Company had borrowings of long-term debt of $114.2 million and repayments of long-term debt and capital lease obligations of $64.1 million during the first six months of 2014. The Company had net draws on floor plan notes payable – non-trade of $73.3 million during the first six months of 2014. The borrowings of long-term debt were primarily related to units for the rental and leasing operations.</w:t>
      </w:r>
    </w:p>
    <w:p>
      <w:pPr>
        <w:spacing w:after="0" w:line="18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Cash provided by financing activities was $53.8 million during the first six months of 2013. The Company had borrowings of long-term debt of $65.7 million and repayments of long-term debt and capital lease obligations of $52.0 million during the first six months of 2013. The Company had net draws on floor plan notes payable – non-trade of $33.0 million during the first six months of 2013. The borrowings of long-term debt were primarily related to units for the rental and leasing operations.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the Company’s commercial vehicle purchases are made on terms requiring payment to the manufacturer within 15 days or less from the date the commercial vehicles are invoiced from the factory. On July 11, 2013, the Company entered into the third amendment to its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the Company is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On June 30, 2014, the Company had approximately $632.5 million outstanding under its credit agreement with GE Capital. The average daily outstanding borrowings under the credit agreement with GE Capital were $527.6 million during the six months ended June 30, 2014.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June 30, 2014, the Company’s backlog of commercial vehicle orders was approximately $1,279.9 million as compared to a backlog of commercial vehicle orders of approximately $703.5 million on June 30, 2013.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2014.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611" w:right="5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that it is in a better position to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The EPA and DOT have announced plans to extend these standards beyond model year 2018, but have not yet proposed regulations. We do not believe that the foregoing standards will negatively impact our business, however, future legislation or other new regulations that may be adopted to address greenhouse gas emissions may negatively impact our business.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June 30, 2014, the Company had floor plan borrowings and variable interest rate real estate debt of approximately $758.8 million. Assuming an increase or decrease in LIBOR of 100 basis points, annual interest expense could correspondingly increase or decrease by approximately $7.6 million.</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Company offers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7"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June 30, 2014, the Company had interest rate swaps with a total notional amount of $36.8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93"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$131.0 million on June 30, 2014.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$1.3 million.</w:t>
      </w:r>
    </w:p>
    <w:p>
      <w:pPr>
        <w:spacing w:after="0" w:line="193"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 As of June 30, 2014, the Company holds auction rate securities, with underlying tax-exempt municipal bonds that mature in 2030, that have a fair value of $6.8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584" w:right="5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380" w:firstLine="648"/>
        <w:spacing w:after="0" w:line="272"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2014,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78" w:lineRule="exact"/>
        <w:rPr>
          <w:sz w:val="20"/>
          <w:szCs w:val="20"/>
          <w:color w:val="auto"/>
        </w:rPr>
      </w:pPr>
    </w:p>
    <w:p>
      <w:pPr>
        <w:jc w:val="both"/>
        <w:ind w:right="40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June 30, 2014, that has materially affected, or is reasonably likely to materially affect, the Company’s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91"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2013 Annual Report on Form 10-K (the “2013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2013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repurchase activity for the Company’s second quarter of 2014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Part of Publicly</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Programs (2)</w:t>
            </w: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(3)</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2014</w:t>
            </w:r>
          </w:p>
        </w:tc>
        <w:tc>
          <w:tcPr>
            <w:tcW w:w="1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52,214</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185,388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35,344,495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May 1 – May 31, 2014</w:t>
            </w:r>
          </w:p>
        </w:tc>
        <w:tc>
          <w:tcPr>
            <w:tcW w:w="2080" w:type="dxa"/>
            <w:vAlign w:val="bottom"/>
            <w:gridSpan w:val="3"/>
          </w:tcPr>
          <w:p>
            <w:pPr>
              <w:jc w:val="right"/>
              <w:ind w:right="220"/>
              <w:spacing w:after="0"/>
              <w:rPr>
                <w:sz w:val="20"/>
                <w:szCs w:val="20"/>
                <w:color w:val="auto"/>
              </w:rPr>
            </w:pPr>
            <w:r>
              <w:rPr>
                <w:rFonts w:ascii="Arial" w:cs="Arial" w:eastAsia="Arial" w:hAnsi="Arial"/>
                <w:sz w:val="18"/>
                <w:szCs w:val="18"/>
                <w:color w:val="auto"/>
              </w:rPr>
              <w:t>96,736</w:t>
            </w: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28.38</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282,124</w:t>
            </w:r>
          </w:p>
        </w:tc>
        <w:tc>
          <w:tcPr>
            <w:tcW w:w="1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32,598,804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304,845</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31,918,006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171,671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304,845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31,918,006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40" w:hanging="432"/>
        <w:spacing w:after="0" w:line="25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440" w:right="40" w:hanging="432"/>
        <w:spacing w:after="0" w:line="255"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repurchased shares under a program announced on February 4, 2014, which authorized the repurchase of up to $40.0 million of its shares of Class A common stock, $.01 par value per share, and/or Class B common stock, $.01 par value per share. The stock repurchase program expires on February 3, 2015, and may be suspended or discontinued at any time.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Exhibit Title</w:t>
            </w:r>
          </w:p>
        </w:tc>
      </w:tr>
      <w:tr>
        <w:trPr>
          <w:trHeight w:val="195"/>
        </w:trPr>
        <w:tc>
          <w:tcPr>
            <w:tcW w:w="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Form 8-K (File No. 000-20797) filed May 21,2013)</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Rush Enterprises, Inc. Amended and Restated 2007 Long-Term Incentive Plan (incorporated herein by reference to Exhibit 10.1 of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 No. 000-20797) filed July 24, 2014)</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CEO pursuant to Rules 13a-14(a) and 15d-14(a) adopted pursuant to Section 302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RUSH ENTERPRISES, INC.</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8, 2014</w:t>
            </w:r>
          </w:p>
        </w:tc>
        <w:tc>
          <w:tcPr>
            <w:tcW w:w="7780" w:type="dxa"/>
            <w:vAlign w:val="bottom"/>
            <w:gridSpan w:val="4"/>
          </w:tcPr>
          <w:p>
            <w:pPr>
              <w:ind w:left="2000"/>
              <w:spacing w:after="0"/>
              <w:rPr>
                <w:sz w:val="20"/>
                <w:szCs w:val="20"/>
                <w:color w:val="auto"/>
              </w:rPr>
            </w:pPr>
            <w:r>
              <w:rPr>
                <w:rFonts w:ascii="Arial" w:cs="Arial" w:eastAsia="Arial" w:hAnsi="Arial"/>
                <w:sz w:val="18"/>
                <w:szCs w:val="18"/>
                <w:color w:val="auto"/>
              </w:rPr>
              <w:t>By:/S/ W.M. “RUSTY” RUSH</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354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8, 2014</w:t>
            </w:r>
          </w:p>
        </w:tc>
        <w:tc>
          <w:tcPr>
            <w:tcW w:w="7780" w:type="dxa"/>
            <w:vAlign w:val="bottom"/>
            <w:gridSpan w:val="4"/>
          </w:tcPr>
          <w:p>
            <w:pPr>
              <w:ind w:left="2000"/>
              <w:spacing w:after="0"/>
              <w:rPr>
                <w:sz w:val="20"/>
                <w:szCs w:val="20"/>
                <w:color w:val="auto"/>
              </w:rPr>
            </w:pPr>
            <w:r>
              <w:rPr>
                <w:rFonts w:ascii="Arial" w:cs="Arial" w:eastAsia="Arial" w:hAnsi="Arial"/>
                <w:sz w:val="18"/>
                <w:szCs w:val="18"/>
                <w:color w:val="auto"/>
              </w:rPr>
              <w:t>By:/S/ STEVEN L. KELLER</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3640" w:type="dxa"/>
            <w:vAlign w:val="bottom"/>
            <w:gridSpan w:val="2"/>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29"/>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4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846"/>
        </w:trPr>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 Quarterly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Form 8-K (File No. 000-20797) filed May 21,2013)</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Rush Enterprises, Inc. Amended and Restated 2007 Long-Term Incentive Plan (incorporated herein by reference to Exhibit 10.1 of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 No. 000-20797) filed July 24, 2014)</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CEO pursuant to Rules 13a-14(a) and 15d-14(a) adopted pursuant to Section 302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 Sarbanes-Oxley Act of 2002.</w:t>
            </w: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color w:val="auto"/>
              </w:rPr>
              <w:t>Date:   August 8, 2014</w:t>
            </w:r>
          </w:p>
        </w:tc>
        <w:tc>
          <w:tcPr>
            <w:tcW w:w="5860" w:type="dxa"/>
            <w:vAlign w:val="bottom"/>
            <w:gridSpan w:val="3"/>
          </w:tcPr>
          <w:p>
            <w:pPr>
              <w:ind w:left="1980"/>
              <w:spacing w:after="0"/>
              <w:rPr>
                <w:sz w:val="20"/>
                <w:szCs w:val="20"/>
                <w:color w:val="auto"/>
              </w:rPr>
            </w:pPr>
            <w:r>
              <w:rPr>
                <w:rFonts w:ascii="Arial" w:cs="Arial" w:eastAsia="Arial" w:hAnsi="Arial"/>
                <w:sz w:val="18"/>
                <w:szCs w:val="18"/>
                <w:color w:val="auto"/>
              </w:rPr>
              <w:t>By: /S/ W.M. “RUSTY” RUSH</w:t>
            </w:r>
          </w:p>
        </w:tc>
      </w:tr>
      <w:tr>
        <w:trPr>
          <w:trHeight w:val="222"/>
        </w:trPr>
        <w:tc>
          <w:tcPr>
            <w:tcW w:w="36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156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0"/>
              </w:rPr>
              <w:t>Chairman, President and Chief Executive Officer</w:t>
            </w:r>
          </w:p>
        </w:tc>
      </w:tr>
      <w:tr>
        <w:trPr>
          <w:trHeight w:val="230"/>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t>EXHIBIT 31.2</w:t>
      </w:r>
    </w:p>
    <w:p>
      <w:pPr>
        <w:spacing w:after="0" w:line="200" w:lineRule="exact"/>
        <w:rPr>
          <w:sz w:val="20"/>
          <w:szCs w:val="20"/>
          <w:color w:val="auto"/>
        </w:rPr>
      </w:pPr>
    </w:p>
    <w:p>
      <w:pPr>
        <w:spacing w:after="0" w:line="226"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400" w:firstLine="8"/>
        <w:spacing w:after="0" w:line="26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1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8"/>
        <w:spacing w:after="0" w:line="308" w:lineRule="auto"/>
        <w:tabs>
          <w:tab w:leader="none" w:pos="3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656"/>
        <w:spacing w:after="0" w:line="277" w:lineRule="auto"/>
        <w:tabs>
          <w:tab w:leader="none" w:pos="12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0" w:firstLine="656"/>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20"/>
                <w:szCs w:val="20"/>
                <w:color w:val="auto"/>
              </w:rPr>
            </w:pPr>
            <w:r>
              <w:rPr>
                <w:rFonts w:ascii="Arial" w:cs="Arial" w:eastAsia="Arial" w:hAnsi="Arial"/>
                <w:sz w:val="18"/>
                <w:szCs w:val="18"/>
                <w:color w:val="auto"/>
              </w:rPr>
              <w:t>Date:   August 8, 2014</w:t>
            </w:r>
          </w:p>
        </w:tc>
        <w:tc>
          <w:tcPr>
            <w:tcW w:w="5860" w:type="dxa"/>
            <w:vAlign w:val="bottom"/>
            <w:gridSpan w:val="3"/>
          </w:tcPr>
          <w:p>
            <w:pPr>
              <w:ind w:left="1960"/>
              <w:spacing w:after="0"/>
              <w:rPr>
                <w:sz w:val="20"/>
                <w:szCs w:val="20"/>
                <w:color w:val="auto"/>
              </w:rPr>
            </w:pPr>
            <w:r>
              <w:rPr>
                <w:rFonts w:ascii="Arial" w:cs="Arial" w:eastAsia="Arial" w:hAnsi="Arial"/>
                <w:sz w:val="18"/>
                <w:szCs w:val="18"/>
                <w:color w:val="auto"/>
              </w:rPr>
              <w:t>By: /S/ STEVEN L. KELLER</w:t>
            </w:r>
          </w:p>
        </w:tc>
      </w:tr>
      <w:tr>
        <w:trPr>
          <w:trHeight w:val="222"/>
        </w:trPr>
        <w:tc>
          <w:tcPr>
            <w:tcW w:w="3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720" w:type="dxa"/>
            <w:vAlign w:val="bottom"/>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2014,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Chairman,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2014</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2014,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STEVEN L. KELLER</w:t>
            </w:r>
          </w:p>
        </w:tc>
        <w:tc>
          <w:tcPr>
            <w:tcW w:w="1660" w:type="dxa"/>
            <w:vAlign w:val="bottom"/>
          </w:tcPr>
          <w:p>
            <w:pPr>
              <w:spacing w:after="0"/>
              <w:rPr>
                <w:sz w:val="17"/>
                <w:szCs w:val="17"/>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gridSpan w:val="2"/>
          </w:tcPr>
          <w:p>
            <w:pPr>
              <w:spacing w:after="0"/>
              <w:rPr>
                <w:sz w:val="20"/>
                <w:szCs w:val="20"/>
                <w:color w:val="auto"/>
              </w:rPr>
            </w:pPr>
            <w:r>
              <w:rPr>
                <w:rFonts w:ascii="Arial" w:cs="Arial" w:eastAsia="Arial" w:hAnsi="Arial"/>
                <w:sz w:val="18"/>
                <w:szCs w:val="18"/>
                <w:color w:val="auto"/>
              </w:rPr>
              <w:t>Steven L. Keller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gridSpan w:val="2"/>
          </w:tcPr>
          <w:p>
            <w:pPr>
              <w:spacing w:after="0"/>
              <w:rPr>
                <w:sz w:val="20"/>
                <w:szCs w:val="20"/>
                <w:color w:val="auto"/>
              </w:rPr>
            </w:pPr>
            <w:r>
              <w:rPr>
                <w:rFonts w:ascii="Arial" w:cs="Arial" w:eastAsia="Arial" w:hAnsi="Arial"/>
                <w:sz w:val="18"/>
                <w:szCs w:val="18"/>
                <w:color w:val="auto"/>
              </w:rPr>
              <w:t>August 8, 2014</w:t>
            </w:r>
          </w:p>
        </w:tc>
      </w:tr>
    </w:tbl>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endash "/>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2019-12-06T14:34:06Z</dcterms:created>
  <dcterms:modified xsi:type="dcterms:W3CDTF">2019-12-06T14:34:06Z</dcterms:modified>
</cp:coreProperties>
</file>