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19" w:lineRule="exact"/>
        <w:rPr>
          <w:rFonts w:ascii="MS PGothic" w:cs="MS PGothic" w:eastAsia="MS PGothic" w:hAnsi="MS PGothic"/>
          <w:sz w:val="17"/>
          <w:szCs w:val="17"/>
          <w:color w:val="auto"/>
        </w:rPr>
      </w:pPr>
    </w:p>
    <w:p>
      <w:pPr>
        <w:ind w:left="388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 w:lineRule="exact"/>
        <w:rPr>
          <w:sz w:val="24"/>
          <w:szCs w:val="24"/>
          <w:color w:val="auto"/>
        </w:rPr>
      </w:pPr>
    </w:p>
    <w:p>
      <w:pPr>
        <w:ind w:left="2440" w:right="2060" w:hanging="2432"/>
        <w:spacing w:after="0" w:line="522" w:lineRule="auto"/>
        <w:tabs>
          <w:tab w:leader="none" w:pos="496"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 For the transition period from _____________________ to _______________________</w:t>
      </w:r>
    </w:p>
    <w:p>
      <w:pPr>
        <w:jc w:val="center"/>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72" w:right="339" w:bottom="433" w:gutter="0" w:footer="0" w:header="0"/>
        </w:sectPr>
      </w:pPr>
    </w:p>
    <w:p>
      <w:pPr>
        <w:spacing w:after="0" w:line="20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04" w:lineRule="exact"/>
        <w:rPr>
          <w:sz w:val="24"/>
          <w:szCs w:val="24"/>
          <w:color w:val="auto"/>
        </w:rPr>
      </w:pPr>
    </w:p>
    <w:p>
      <w:pPr>
        <w:sectPr>
          <w:pgSz w:w="11900" w:h="16838" w:orient="portrait"/>
          <w:cols w:equalWidth="0" w:num="2">
            <w:col w:w="6400" w:space="720"/>
            <w:col w:w="4120"/>
          </w:cols>
          <w:pgMar w:left="320" w:top="472" w:right="339" w:bottom="433"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240"/>
          </w:cols>
          <w:pgMar w:left="320" w:top="472" w:right="339" w:bottom="433"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(830) 302-5200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433" w:gutter="0" w:footer="0" w:header="0"/>
          <w:type w:val="continuous"/>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both"/>
        <w:ind w:right="580"/>
        <w:spacing w:after="0" w:line="25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8" w:lineRule="exact"/>
        <w:rPr>
          <w:sz w:val="24"/>
          <w:szCs w:val="24"/>
          <w:color w:val="auto"/>
        </w:rPr>
      </w:pPr>
    </w:p>
    <w:p>
      <w:pPr>
        <w:sectPr>
          <w:pgSz w:w="11900" w:h="16838" w:orient="portrait"/>
          <w:cols w:equalWidth="0" w:num="4">
            <w:col w:w="2100" w:space="720"/>
            <w:col w:w="2080" w:space="720"/>
            <w:col w:w="2100" w:space="720"/>
            <w:col w:w="2800"/>
          </w:cols>
          <w:pgMar w:left="320" w:top="472" w:right="339" w:bottom="433" w:gutter="0" w:footer="0" w:header="0"/>
          <w:type w:val="continuous"/>
        </w:sect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July 29, 2022.</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40" w:type="dxa"/>
            <w:vAlign w:val="bottom"/>
          </w:tcPr>
          <w:p>
            <w:pPr>
              <w:spacing w:after="0"/>
              <w:rPr>
                <w:sz w:val="18"/>
                <w:szCs w:val="18"/>
                <w:color w:val="auto"/>
              </w:rPr>
            </w:pPr>
          </w:p>
        </w:tc>
      </w:tr>
      <w:tr>
        <w:trPr>
          <w:trHeight w:val="194"/>
        </w:trPr>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6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Title of Class</w:t>
            </w:r>
          </w:p>
        </w:tc>
        <w:tc>
          <w:tcPr>
            <w:tcW w:w="1600" w:type="dxa"/>
            <w:vAlign w:val="bottom"/>
            <w:gridSpan w:val="2"/>
          </w:tcPr>
          <w:p>
            <w:pPr>
              <w:spacing w:after="0"/>
              <w:rPr>
                <w:sz w:val="16"/>
                <w:szCs w:val="16"/>
                <w:color w:val="auto"/>
              </w:rPr>
            </w:pPr>
          </w:p>
        </w:tc>
        <w:tc>
          <w:tcPr>
            <w:tcW w:w="2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Outstanding</w:t>
            </w: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8"/>
        </w:trPr>
        <w:tc>
          <w:tcPr>
            <w:tcW w:w="100" w:type="dxa"/>
            <w:vAlign w:val="bottom"/>
          </w:tcPr>
          <w:p>
            <w:pPr>
              <w:spacing w:after="0"/>
              <w:rPr>
                <w:sz w:val="18"/>
                <w:szCs w:val="18"/>
                <w:color w:val="auto"/>
              </w:rPr>
            </w:pPr>
          </w:p>
        </w:tc>
        <w:tc>
          <w:tcPr>
            <w:tcW w:w="480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9"/>
              </w:rPr>
              <w:t>Class A Common Stock, $.01 Par Value</w:t>
            </w:r>
          </w:p>
        </w:tc>
        <w:tc>
          <w:tcPr>
            <w:tcW w:w="2440" w:type="dxa"/>
            <w:vAlign w:val="bottom"/>
          </w:tcPr>
          <w:p>
            <w:pPr>
              <w:spacing w:after="0"/>
              <w:rPr>
                <w:sz w:val="18"/>
                <w:szCs w:val="18"/>
                <w:color w:val="auto"/>
              </w:rPr>
            </w:pPr>
          </w:p>
        </w:tc>
        <w:tc>
          <w:tcPr>
            <w:tcW w:w="15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42,880,529</w:t>
            </w: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480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9"/>
              </w:rPr>
              <w:t>Class B Common Stock, $.01 Par Value</w:t>
            </w:r>
          </w:p>
        </w:tc>
        <w:tc>
          <w:tcPr>
            <w:tcW w:w="2440" w:type="dxa"/>
            <w:vAlign w:val="bottom"/>
          </w:tcPr>
          <w:p>
            <w:pPr>
              <w:spacing w:after="0"/>
              <w:rPr>
                <w:sz w:val="20"/>
                <w:szCs w:val="20"/>
                <w:color w:val="auto"/>
              </w:rPr>
            </w:pPr>
          </w:p>
        </w:tc>
        <w:tc>
          <w:tcPr>
            <w:tcW w:w="15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12,109,484</w:t>
            </w: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48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3"/>
        </w:trPr>
        <w:tc>
          <w:tcPr>
            <w:tcW w:w="100" w:type="dxa"/>
            <w:vAlign w:val="bottom"/>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189"/>
        </w:trPr>
        <w:tc>
          <w:tcPr>
            <w:tcW w:w="100" w:type="dxa"/>
            <w:vAlign w:val="bottom"/>
            <w:tcBorders>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gridSpan w:val="3"/>
          </w:tcPr>
          <w:p>
            <w:pPr>
              <w:ind w:left="1320"/>
              <w:spacing w:after="0" w:line="170" w:lineRule="exact"/>
              <w:rPr>
                <w:sz w:val="20"/>
                <w:szCs w:val="20"/>
                <w:color w:val="auto"/>
              </w:rPr>
            </w:pPr>
            <w:r>
              <w:rPr>
                <w:rFonts w:ascii="Times New Roman" w:cs="Times New Roman" w:eastAsia="Times New Roman" w:hAnsi="Times New Roman"/>
                <w:sz w:val="18"/>
                <w:szCs w:val="18"/>
                <w:color w:val="auto"/>
              </w:rPr>
              <w:t>Title of each class</w:t>
            </w:r>
          </w:p>
        </w:tc>
        <w:tc>
          <w:tcPr>
            <w:tcW w:w="780" w:type="dxa"/>
            <w:vAlign w:val="bottom"/>
            <w:tcBorders>
              <w:bottom w:val="single" w:sz="8" w:color="auto"/>
            </w:tcBorders>
          </w:tcPr>
          <w:p>
            <w:pPr>
              <w:spacing w:after="0"/>
              <w:rPr>
                <w:sz w:val="16"/>
                <w:szCs w:val="16"/>
                <w:color w:val="auto"/>
              </w:rPr>
            </w:pPr>
          </w:p>
        </w:tc>
        <w:tc>
          <w:tcPr>
            <w:tcW w:w="2440" w:type="dxa"/>
            <w:vAlign w:val="bottom"/>
            <w:tcBorders>
              <w:bottom w:val="single" w:sz="8" w:color="auto"/>
              <w:right w:val="single" w:sz="8" w:color="auto"/>
            </w:tcBorders>
          </w:tcPr>
          <w:p>
            <w:pPr>
              <w:jc w:val="center"/>
              <w:ind w:right="790"/>
              <w:spacing w:after="0" w:line="170" w:lineRule="exact"/>
              <w:rPr>
                <w:sz w:val="20"/>
                <w:szCs w:val="20"/>
                <w:color w:val="auto"/>
              </w:rPr>
            </w:pPr>
            <w:r>
              <w:rPr>
                <w:rFonts w:ascii="Times New Roman" w:cs="Times New Roman" w:eastAsia="Times New Roman" w:hAnsi="Times New Roman"/>
                <w:sz w:val="18"/>
                <w:szCs w:val="18"/>
                <w:color w:val="auto"/>
                <w:w w:val="99"/>
              </w:rPr>
              <w:t>Trading Symbol(s)</w:t>
            </w:r>
          </w:p>
        </w:tc>
        <w:tc>
          <w:tcPr>
            <w:tcW w:w="3860" w:type="dxa"/>
            <w:vAlign w:val="bottom"/>
            <w:tcBorders>
              <w:bottom w:val="single" w:sz="8" w:color="auto"/>
              <w:right w:val="single" w:sz="8" w:color="auto"/>
            </w:tcBorders>
            <w:gridSpan w:val="3"/>
          </w:tcPr>
          <w:p>
            <w:pPr>
              <w:jc w:val="center"/>
              <w:ind w:right="60"/>
              <w:spacing w:after="0" w:line="170" w:lineRule="exact"/>
              <w:rPr>
                <w:sz w:val="20"/>
                <w:szCs w:val="20"/>
                <w:color w:val="auto"/>
              </w:rPr>
            </w:pPr>
            <w:r>
              <w:rPr>
                <w:rFonts w:ascii="Times New Roman" w:cs="Times New Roman" w:eastAsia="Times New Roman" w:hAnsi="Times New Roman"/>
                <w:sz w:val="18"/>
                <w:szCs w:val="18"/>
                <w:color w:val="auto"/>
              </w:rPr>
              <w:t>Name of each exchange on which registered</w:t>
            </w:r>
          </w:p>
        </w:tc>
        <w:tc>
          <w:tcPr>
            <w:tcW w:w="40" w:type="dxa"/>
            <w:vAlign w:val="bottom"/>
          </w:tcPr>
          <w:p>
            <w:pPr>
              <w:spacing w:after="0"/>
              <w:rPr>
                <w:sz w:val="16"/>
                <w:szCs w:val="16"/>
                <w:color w:val="auto"/>
              </w:rPr>
            </w:pPr>
          </w:p>
        </w:tc>
      </w:tr>
      <w:tr>
        <w:trPr>
          <w:trHeight w:val="174"/>
        </w:trPr>
        <w:tc>
          <w:tcPr>
            <w:tcW w:w="1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gridSpan w:val="3"/>
          </w:tcPr>
          <w:p>
            <w:pPr>
              <w:ind w:left="540"/>
              <w:spacing w:after="0" w:line="175" w:lineRule="exact"/>
              <w:rPr>
                <w:sz w:val="20"/>
                <w:szCs w:val="20"/>
                <w:color w:val="auto"/>
              </w:rPr>
            </w:pPr>
            <w:r>
              <w:rPr>
                <w:rFonts w:ascii="Times New Roman" w:cs="Times New Roman" w:eastAsia="Times New Roman" w:hAnsi="Times New Roman"/>
                <w:sz w:val="18"/>
                <w:szCs w:val="18"/>
                <w:color w:val="auto"/>
              </w:rPr>
              <w:t>Class A Common Stock, $0.01 par value</w:t>
            </w:r>
          </w:p>
        </w:tc>
        <w:tc>
          <w:tcPr>
            <w:tcW w:w="780" w:type="dxa"/>
            <w:vAlign w:val="bottom"/>
          </w:tcPr>
          <w:p>
            <w:pPr>
              <w:spacing w:after="0"/>
              <w:rPr>
                <w:sz w:val="15"/>
                <w:szCs w:val="15"/>
                <w:color w:val="auto"/>
              </w:rPr>
            </w:pPr>
          </w:p>
        </w:tc>
        <w:tc>
          <w:tcPr>
            <w:tcW w:w="2440" w:type="dxa"/>
            <w:vAlign w:val="bottom"/>
            <w:tcBorders>
              <w:right w:val="single" w:sz="8" w:color="auto"/>
            </w:tcBorders>
          </w:tcPr>
          <w:p>
            <w:pPr>
              <w:jc w:val="center"/>
              <w:ind w:right="770"/>
              <w:spacing w:after="0" w:line="175" w:lineRule="exact"/>
              <w:rPr>
                <w:sz w:val="20"/>
                <w:szCs w:val="20"/>
                <w:color w:val="auto"/>
              </w:rPr>
            </w:pPr>
            <w:r>
              <w:rPr>
                <w:rFonts w:ascii="Times New Roman" w:cs="Times New Roman" w:eastAsia="Times New Roman" w:hAnsi="Times New Roman"/>
                <w:sz w:val="18"/>
                <w:szCs w:val="18"/>
                <w:color w:val="auto"/>
              </w:rPr>
              <w:t>RUSHA</w:t>
            </w:r>
          </w:p>
        </w:tc>
        <w:tc>
          <w:tcPr>
            <w:tcW w:w="660" w:type="dxa"/>
            <w:vAlign w:val="bottom"/>
          </w:tcPr>
          <w:p>
            <w:pPr>
              <w:spacing w:after="0"/>
              <w:rPr>
                <w:sz w:val="15"/>
                <w:szCs w:val="15"/>
                <w:color w:val="auto"/>
              </w:rPr>
            </w:pPr>
          </w:p>
        </w:tc>
        <w:tc>
          <w:tcPr>
            <w:tcW w:w="3200" w:type="dxa"/>
            <w:vAlign w:val="bottom"/>
            <w:tcBorders>
              <w:right w:val="single" w:sz="8" w:color="auto"/>
            </w:tcBorders>
            <w:gridSpan w:val="2"/>
          </w:tcPr>
          <w:p>
            <w:pPr>
              <w:jc w:val="center"/>
              <w:ind w:right="720"/>
              <w:spacing w:after="0" w:line="175" w:lineRule="exact"/>
              <w:rPr>
                <w:sz w:val="20"/>
                <w:szCs w:val="20"/>
                <w:color w:val="auto"/>
              </w:rPr>
            </w:pPr>
            <w:r>
              <w:rPr>
                <w:rFonts w:ascii="Times New Roman" w:cs="Times New Roman" w:eastAsia="Times New Roman" w:hAnsi="Times New Roman"/>
                <w:sz w:val="18"/>
                <w:szCs w:val="18"/>
                <w:color w:val="auto"/>
                <w:w w:val="99"/>
              </w:rPr>
              <w:t>NASDAQ Global Select Market</w:t>
            </w:r>
          </w:p>
        </w:tc>
        <w:tc>
          <w:tcPr>
            <w:tcW w:w="40" w:type="dxa"/>
            <w:vAlign w:val="bottom"/>
          </w:tcPr>
          <w:p>
            <w:pPr>
              <w:spacing w:after="0"/>
              <w:rPr>
                <w:sz w:val="15"/>
                <w:szCs w:val="15"/>
                <w:color w:val="auto"/>
              </w:rPr>
            </w:pPr>
          </w:p>
        </w:tc>
      </w:tr>
      <w:tr>
        <w:trPr>
          <w:trHeight w:val="234"/>
        </w:trPr>
        <w:tc>
          <w:tcPr>
            <w:tcW w:w="100" w:type="dxa"/>
            <w:vAlign w:val="bottom"/>
            <w:tcBorders>
              <w:right w:val="single" w:sz="8" w:color="auto"/>
            </w:tcBorders>
          </w:tcPr>
          <w:p>
            <w:pPr>
              <w:spacing w:after="0"/>
              <w:rPr>
                <w:sz w:val="20"/>
                <w:szCs w:val="20"/>
                <w:color w:val="auto"/>
              </w:rPr>
            </w:pPr>
          </w:p>
        </w:tc>
        <w:tc>
          <w:tcPr>
            <w:tcW w:w="4020" w:type="dxa"/>
            <w:vAlign w:val="bottom"/>
            <w:tcBorders>
              <w:bottom w:val="single" w:sz="8" w:color="auto"/>
              <w:right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780" w:type="dxa"/>
            <w:vAlign w:val="bottom"/>
            <w:tcBorders>
              <w:bottom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RUSHB</w:t>
            </w:r>
          </w:p>
        </w:tc>
        <w:tc>
          <w:tcPr>
            <w:tcW w:w="660" w:type="dxa"/>
            <w:vAlign w:val="bottom"/>
            <w:tcBorders>
              <w:bottom w:val="single" w:sz="8" w:color="auto"/>
            </w:tcBorders>
          </w:tcPr>
          <w:p>
            <w:pPr>
              <w:spacing w:after="0"/>
              <w:rPr>
                <w:sz w:val="20"/>
                <w:szCs w:val="20"/>
                <w:color w:val="auto"/>
              </w:rPr>
            </w:pPr>
          </w:p>
        </w:tc>
        <w:tc>
          <w:tcPr>
            <w:tcW w:w="3200" w:type="dxa"/>
            <w:vAlign w:val="bottom"/>
            <w:tcBorders>
              <w:bottom w:val="single" w:sz="8" w:color="auto"/>
              <w:right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40" w:type="dxa"/>
            <w:vAlign w:val="bottom"/>
          </w:tcPr>
          <w:p>
            <w:pPr>
              <w:spacing w:after="0"/>
              <w:rPr>
                <w:sz w:val="20"/>
                <w:szCs w:val="20"/>
                <w:color w:val="auto"/>
              </w:rPr>
            </w:pPr>
          </w:p>
        </w:tc>
      </w:tr>
      <w:tr>
        <w:trPr>
          <w:trHeight w:val="595"/>
        </w:trPr>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433"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8"/>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20" w:type="dxa"/>
            <w:vAlign w:val="bottom"/>
            <w:gridSpan w:val="9"/>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0" w:type="dxa"/>
            <w:vAlign w:val="bottom"/>
            <w:gridSpan w:val="7"/>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104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12"/>
        </w:trPr>
        <w:tc>
          <w:tcPr>
            <w:tcW w:w="1046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EE"/>
              </w:rPr>
              <w:t>Financial Statements</w:t>
            </w:r>
          </w:p>
        </w:tc>
        <w:tc>
          <w:tcPr>
            <w:tcW w:w="3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58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Consolidated Balance Sheets - June 30, 2022 (unaudited) and December 31, 2021</w:t>
            </w:r>
          </w:p>
        </w:tc>
        <w:tc>
          <w:tcPr>
            <w:tcW w:w="3660" w:type="dxa"/>
            <w:vAlign w:val="bottom"/>
            <w:gridSpan w:val="6"/>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Income - For the Three and Six Months Ended June 30, 2022 and 2021 (unaudited)</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 For the Three and Six Months Ended June 30, 2022 and 2021 (unaudited)</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918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 For the Three and Six Months Ended June 30, 2022 and 2021 (unaudited)</w:t>
            </w:r>
          </w:p>
        </w:tc>
        <w:tc>
          <w:tcPr>
            <w:tcW w:w="36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902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Cash Flows - For the Six Months Ended June 30, 2022 and 2021 (unaudited)</w:t>
            </w:r>
          </w:p>
        </w:tc>
        <w:tc>
          <w:tcPr>
            <w:tcW w:w="520" w:type="dxa"/>
            <w:vAlign w:val="bottom"/>
            <w:gridSpan w:val="2"/>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520" w:type="dxa"/>
            <w:vAlign w:val="bottom"/>
            <w:tcBorders>
              <w:top w:val="single" w:sz="8" w:color="0000EE"/>
            </w:tcBorders>
            <w:gridSpan w:val="4"/>
          </w:tcPr>
          <w:p>
            <w:pPr>
              <w:spacing w:after="0"/>
              <w:rPr>
                <w:sz w:val="24"/>
                <w:szCs w:val="24"/>
                <w:color w:val="auto"/>
              </w:rPr>
            </w:pPr>
          </w:p>
        </w:tc>
        <w:tc>
          <w:tcPr>
            <w:tcW w:w="2000" w:type="dxa"/>
            <w:vAlign w:val="bottom"/>
            <w:gridSpan w:val="4"/>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1046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6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0" w:type="dxa"/>
            <w:vAlign w:val="bottom"/>
            <w:tcBorders>
              <w:left w:val="single" w:sz="8" w:color="0000EE"/>
            </w:tcBorders>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6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46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EE"/>
              </w:rPr>
              <w:t>Legal Proceedings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34"/>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w:t>
            </w:r>
          </w:p>
        </w:tc>
        <w:tc>
          <w:tcPr>
            <w:tcW w:w="1320" w:type="dxa"/>
            <w:vAlign w:val="bottom"/>
            <w:tcBorders>
              <w:top w:val="single" w:sz="8" w:color="0000EE"/>
            </w:tcBorders>
            <w:gridSpan w:val="6"/>
            <w:vMerge w:val="restart"/>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220" w:type="dxa"/>
            <w:vAlign w:val="bottom"/>
            <w:gridSpan w:val="12"/>
            <w:vMerge w:val="restart"/>
          </w:tcPr>
          <w:p>
            <w:pPr>
              <w:spacing w:after="0"/>
              <w:rPr>
                <w:sz w:val="24"/>
                <w:szCs w:val="24"/>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86"/>
        </w:trPr>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1A.</w:t>
            </w:r>
          </w:p>
        </w:tc>
        <w:tc>
          <w:tcPr>
            <w:tcW w:w="1320" w:type="dxa"/>
            <w:vAlign w:val="bottom"/>
            <w:gridSpan w:val="6"/>
            <w:vMerge w:val="continue"/>
          </w:tcPr>
          <w:p>
            <w:pPr>
              <w:spacing w:after="0"/>
              <w:rPr>
                <w:sz w:val="7"/>
                <w:szCs w:val="7"/>
                <w:color w:val="auto"/>
              </w:rPr>
            </w:pPr>
          </w:p>
        </w:tc>
        <w:tc>
          <w:tcPr>
            <w:tcW w:w="8220" w:type="dxa"/>
            <w:vAlign w:val="bottom"/>
            <w:gridSpan w:val="1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1"/>
        </w:trPr>
        <w:tc>
          <w:tcPr>
            <w:tcW w:w="1046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6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7220" w:type="dxa"/>
            <w:vAlign w:val="bottom"/>
            <w:gridSpan w:val="9"/>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6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6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EE"/>
              </w:rPr>
              <w:t>Other Information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6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EE"/>
              </w:rPr>
              <w:t>Exhibits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940" w:type="dxa"/>
            <w:vAlign w:val="bottom"/>
            <w:gridSpan w:val="15"/>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53"/>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40" w:type="dxa"/>
            <w:vAlign w:val="bottom"/>
            <w:gridSpan w:val="11"/>
          </w:tcPr>
          <w:p>
            <w:pPr>
              <w:jc w:val="center"/>
              <w:ind w:left="3190"/>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16"/>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3"/>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auto"/>
                <w:w w:val="98"/>
              </w:rPr>
              <w:t>CONSOLIDATED BALANCE SHEETS</w:t>
            </w:r>
          </w:p>
        </w:tc>
        <w:tc>
          <w:tcPr>
            <w:tcW w:w="4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gridSpan w:val="6"/>
          </w:tcPr>
          <w:p>
            <w:pPr>
              <w:jc w:val="center"/>
              <w:ind w:right="760"/>
              <w:spacing w:after="0" w:line="196" w:lineRule="exact"/>
              <w:rPr>
                <w:sz w:val="20"/>
                <w:szCs w:val="20"/>
                <w:color w:val="auto"/>
              </w:rPr>
            </w:pPr>
            <w:r>
              <w:rPr>
                <w:rFonts w:ascii="Times New Roman" w:cs="Times New Roman" w:eastAsia="Times New Roman" w:hAnsi="Times New Roman"/>
                <w:sz w:val="18"/>
                <w:szCs w:val="18"/>
                <w:color w:val="auto"/>
                <w:w w:val="99"/>
              </w:rPr>
              <w:t>JUNE 30, 2022 AND DECEMBER 31, 2021</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10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 Thousands, Except Shares)</w:t>
            </w:r>
          </w:p>
        </w:tc>
        <w:tc>
          <w:tcPr>
            <w:tcW w:w="76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216,694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148,146</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232,129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140,186</w:t>
            </w: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1,273,969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1,020,136</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100" w:type="dxa"/>
            <w:vAlign w:val="bottom"/>
          </w:tcPr>
          <w:p>
            <w:pPr>
              <w:spacing w:after="0"/>
              <w:rPr>
                <w:sz w:val="18"/>
                <w:szCs w:val="18"/>
                <w:color w:val="auto"/>
              </w:rPr>
            </w:pPr>
          </w:p>
        </w:tc>
      </w:tr>
      <w:tr>
        <w:trPr>
          <w:trHeight w:val="210"/>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1,742,751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1,324,454</w:t>
            </w:r>
          </w:p>
        </w:tc>
      </w:tr>
      <w:tr>
        <w:trPr>
          <w:trHeight w:val="216"/>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1,347,748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1,278,207</w:t>
            </w:r>
          </w:p>
        </w:tc>
      </w:tr>
      <w:tr>
        <w:trPr>
          <w:trHeight w:val="216"/>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106,301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69,008</w:t>
            </w:r>
          </w:p>
        </w:tc>
      </w:tr>
      <w:tr>
        <w:trPr>
          <w:trHeight w:val="216"/>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418,270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370,331</w:t>
            </w:r>
          </w:p>
        </w:tc>
      </w:tr>
      <w:tr>
        <w:trPr>
          <w:trHeight w:val="216"/>
        </w:trPr>
        <w:tc>
          <w:tcPr>
            <w:tcW w:w="80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3,669,369</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3,119,977</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Floor plan notes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851,715</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630,731</w:t>
            </w: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26,695</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12,096</w:t>
            </w: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122,291</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73,768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80,561</w:t>
            </w:r>
          </w:p>
        </w:tc>
      </w:tr>
      <w:tr>
        <w:trPr>
          <w:trHeight w:val="216"/>
        </w:trPr>
        <w:tc>
          <w:tcPr>
            <w:tcW w:w="8000" w:type="dxa"/>
            <w:vAlign w:val="bottom"/>
            <w:tcBorders>
              <w:bottom w:val="single" w:sz="8" w:color="CCEEFF"/>
            </w:tcBorders>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156,713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1,299,553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1,003,504</w:t>
            </w:r>
          </w:p>
        </w:tc>
      </w:tr>
      <w:tr>
        <w:trPr>
          <w:trHeight w:val="216"/>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401,760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334,926</w:t>
            </w:r>
          </w:p>
        </w:tc>
      </w:tr>
      <w:tr>
        <w:trPr>
          <w:trHeight w:val="216"/>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82,204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89,835</w:t>
            </w:r>
          </w:p>
        </w:tc>
      </w:tr>
      <w:tr>
        <w:trPr>
          <w:trHeight w:val="216"/>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57,976</w:t>
            </w:r>
          </w:p>
        </w:tc>
      </w:tr>
      <w:tr>
        <w:trPr>
          <w:trHeight w:val="216"/>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26,514</w:t>
            </w:r>
          </w:p>
        </w:tc>
      </w:tr>
      <w:tr>
        <w:trPr>
          <w:trHeight w:val="216"/>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144,589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140,473</w:t>
            </w:r>
          </w:p>
        </w:tc>
      </w:tr>
      <w:tr>
        <w:trPr>
          <w:trHeight w:val="216"/>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9"/>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2022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2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9"/>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authorized; 42,808,333 Class A shares and 12,266,309 Class B shares outstanding in 2022; and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43,107,867 Class A shares and 12,398,606 Class B shares outstanding in 2021</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488,170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470,750</w:t>
            </w:r>
          </w:p>
        </w:tc>
      </w:tr>
      <w:tr>
        <w:trPr>
          <w:trHeight w:val="198"/>
        </w:trPr>
        <w:tc>
          <w:tcPr>
            <w:tcW w:w="8000" w:type="dxa"/>
            <w:vAlign w:val="bottom"/>
            <w:gridSpan w:val="9"/>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979,978 Class A shares and 927,330 Class B shares in 2022; and 339,786 Class A</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shares and 492,052 Class B shares in 2021</w:t>
            </w:r>
          </w:p>
        </w:tc>
        <w:tc>
          <w:tcPr>
            <w:tcW w:w="200" w:type="dxa"/>
            <w:vAlign w:val="bottom"/>
          </w:tcPr>
          <w:p>
            <w:pPr>
              <w:spacing w:after="0"/>
              <w:rPr>
                <w:sz w:val="20"/>
                <w:szCs w:val="20"/>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(90,686)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(36,933)</w:t>
            </w: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1,212,919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1,031,582</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r>
      <w:tr>
        <w:trPr>
          <w:trHeight w:val="210"/>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Rush Enterprises, Inc. shareholders’ equity</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1,611,037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1,466,749</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1,629,311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3,669,369</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3,119,977</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396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Borders>
              <w:top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INCOME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(Unaudited)</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23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1,098,255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797,269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2,033,974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1,544,988</w:t>
            </w: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598,298</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445,526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1,141,561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861,263</w:t>
            </w: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80,538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151,873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119,623</w:t>
            </w: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and insurance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7,755</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15,280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13,872</w:t>
            </w: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8,075</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1,791,241</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1,316,015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3,354,443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2,547,821</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994,406</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719,768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1,829,399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1,396,860</w:t>
            </w: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367,284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277,078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701,492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538,920</w:t>
            </w: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55,335</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96,445</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1,417,025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1,045,233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2,634,787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2,032,225</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374,216</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270,782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719,656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515,596</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225,327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184,734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449,774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359,689</w:t>
            </w: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13,910</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27,147</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135,023</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242,522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129,016</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22,397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2,665</w:t>
            </w: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3,168</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140,188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260,532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131,386</w:t>
            </w: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29,515</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57,406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28,009</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110,673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58,044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203,126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103,377</w:t>
            </w: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110,227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202,680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103,377</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62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Rush Enterprises, Inc. per share of common</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Borders>
              <w:lef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Diluted</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55,640</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55,788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55,819</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Diluted</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57,310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57,956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57,610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57,846</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0 .19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0 .18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r>
      <w:tr>
        <w:trPr>
          <w:trHeight w:val="410"/>
        </w:trPr>
        <w:tc>
          <w:tcPr>
            <w:tcW w:w="1280" w:type="dxa"/>
            <w:vAlign w:val="bottom"/>
          </w:tcPr>
          <w:p>
            <w:pPr>
              <w:spacing w:after="0"/>
              <w:rPr>
                <w:sz w:val="24"/>
                <w:szCs w:val="24"/>
                <w:color w:val="auto"/>
              </w:rPr>
            </w:pPr>
          </w:p>
        </w:tc>
        <w:tc>
          <w:tcPr>
            <w:tcW w:w="7660" w:type="dxa"/>
            <w:vAlign w:val="bottom"/>
            <w:gridSpan w:val="12"/>
          </w:tcPr>
          <w:p>
            <w:pPr>
              <w:jc w:val="center"/>
              <w:ind w:left="9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640" w:type="dxa"/>
            <w:vAlign w:val="bottom"/>
            <w:gridSpan w:val="10"/>
          </w:tcPr>
          <w:p>
            <w:pPr>
              <w:jc w:val="center"/>
              <w:ind w:right="500"/>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COMPREHENSIVE INCOME</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(In Thousands)</w:t>
            </w: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(Unaudited)</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spacing w:after="0"/>
              <w:rPr>
                <w:sz w:val="18"/>
                <w:szCs w:val="18"/>
                <w:color w:val="auto"/>
              </w:rPr>
            </w:pPr>
          </w:p>
        </w:tc>
        <w:tc>
          <w:tcPr>
            <w:tcW w:w="50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1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2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110,673</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58,044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103,377</w:t>
            </w:r>
          </w:p>
        </w:tc>
        <w:tc>
          <w:tcPr>
            <w:tcW w:w="0" w:type="dxa"/>
            <w:vAlign w:val="bottom"/>
          </w:tcPr>
          <w:p>
            <w:pPr>
              <w:spacing w:after="0"/>
              <w:rPr>
                <w:sz w:val="1"/>
                <w:szCs w:val="1"/>
                <w:color w:val="auto"/>
              </w:rPr>
            </w:pPr>
          </w:p>
        </w:tc>
      </w:tr>
      <w:tr>
        <w:trPr>
          <w:trHeight w:val="216"/>
        </w:trPr>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59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Reclassification of currency translation related to equity method accounting</w:t>
            </w:r>
          </w:p>
        </w:tc>
        <w:tc>
          <w:tcPr>
            <w:tcW w:w="3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Rush Enterprises, Inc.</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(1,168)</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109,505</w:t>
            </w:r>
          </w:p>
        </w:tc>
        <w:tc>
          <w:tcPr>
            <w:tcW w:w="260" w:type="dxa"/>
            <w:vAlign w:val="bottom"/>
          </w:tcPr>
          <w:p>
            <w:pPr>
              <w:spacing w:after="0"/>
              <w:rPr>
                <w:sz w:val="18"/>
                <w:szCs w:val="18"/>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58,356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202,403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103,944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Comprehensive income attributable to Rush Enterprises, Inc.</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58,356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201,957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103,944</w:t>
            </w: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109,505</w:t>
            </w:r>
          </w:p>
        </w:tc>
        <w:tc>
          <w:tcPr>
            <w:tcW w:w="260" w:type="dxa"/>
            <w:vAlign w:val="bottom"/>
          </w:tcPr>
          <w:p>
            <w:pPr>
              <w:spacing w:after="0"/>
              <w:rPr>
                <w:sz w:val="18"/>
                <w:szCs w:val="18"/>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58,356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202,403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103,944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RUSH ENTERPRISES, INC. AND SUBSIDIARIES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40" w:type="dxa"/>
            <w:vAlign w:val="bottom"/>
            <w:gridSpan w:val="6"/>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CONSOLIDATED STATEMENTS OF SHAREHOLDERS’ EQUITY</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7"/>
              </w:rPr>
              <w:t>Rush</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gridSpan w:val="3"/>
          </w:tcPr>
          <w:p>
            <w:pPr>
              <w:jc w:val="center"/>
              <w:ind w:right="60"/>
              <w:spacing w:after="0" w:line="202" w:lineRule="exact"/>
              <w:rPr>
                <w:sz w:val="20"/>
                <w:szCs w:val="20"/>
                <w:color w:val="auto"/>
              </w:rPr>
            </w:pPr>
            <w:r>
              <w:rPr>
                <w:rFonts w:ascii="Times New Roman" w:cs="Times New Roman" w:eastAsia="Times New Roman" w:hAnsi="Times New Roman"/>
                <w:sz w:val="18"/>
                <w:szCs w:val="18"/>
                <w:color w:val="auto"/>
                <w:w w:val="99"/>
              </w:rPr>
              <w:t>Accumulated</w:t>
            </w:r>
          </w:p>
        </w:tc>
        <w:tc>
          <w:tcPr>
            <w:tcW w:w="116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auto"/>
              </w:rPr>
              <w:t>Enterprises,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$0.01</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Additional</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9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rPr>
              <w:t>Inc.</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Par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Paid -In</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Treasury</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Retained</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Comprehensive</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Shareholders’</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Noncontrolling</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Class A</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Capital</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Income (Loss)</w:t>
            </w:r>
          </w:p>
        </w:tc>
        <w:tc>
          <w:tcPr>
            <w:tcW w:w="220" w:type="dxa"/>
            <w:vAlign w:val="bottom"/>
          </w:tcPr>
          <w:p>
            <w:pPr>
              <w:spacing w:after="0"/>
              <w:rPr>
                <w:sz w:val="18"/>
                <w:szCs w:val="18"/>
                <w:color w:val="auto"/>
              </w:rPr>
            </w:pPr>
          </w:p>
        </w:tc>
        <w:tc>
          <w:tcPr>
            <w:tcW w:w="9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Equity</w:t>
            </w:r>
          </w:p>
        </w:tc>
        <w:tc>
          <w:tcPr>
            <w:tcW w:w="22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December</w:t>
            </w: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31, 2021</w:t>
            </w: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43,108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12,399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470,750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(36,933)</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$ 1,031,582</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1,466,749</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1,466,749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 and</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awards</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2,384</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restricted</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and</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13,793</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13,793</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awards</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(7,212)</w:t>
            </w:r>
          </w:p>
        </w:tc>
        <w:tc>
          <w:tcPr>
            <w:tcW w:w="0" w:type="dxa"/>
            <w:vAlign w:val="bottom"/>
          </w:tcPr>
          <w:p>
            <w:pPr>
              <w:spacing w:after="0"/>
              <w:rPr>
                <w:sz w:val="1"/>
                <w:szCs w:val="1"/>
                <w:color w:val="auto"/>
              </w:rPr>
            </w:pPr>
          </w:p>
        </w:tc>
      </w:tr>
      <w:tr>
        <w:trPr>
          <w:trHeight w:val="198"/>
        </w:trPr>
        <w:tc>
          <w:tcPr>
            <w:tcW w:w="1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under</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2,434</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repurchases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(15,315)</w:t>
            </w:r>
          </w:p>
        </w:tc>
        <w:tc>
          <w:tcPr>
            <w:tcW w:w="0" w:type="dxa"/>
            <w:vAlign w:val="bottom"/>
          </w:tcPr>
          <w:p>
            <w:pPr>
              <w:spacing w:after="0"/>
              <w:rPr>
                <w:sz w:val="1"/>
                <w:szCs w:val="1"/>
                <w:color w:val="auto"/>
              </w:rPr>
            </w:pPr>
          </w:p>
        </w:tc>
      </w:tr>
      <w:tr>
        <w:trPr>
          <w:trHeight w:val="198"/>
        </w:trPr>
        <w:tc>
          <w:tcPr>
            <w:tcW w:w="1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Class A</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(8,189)</w:t>
            </w:r>
          </w:p>
        </w:tc>
        <w:tc>
          <w:tcPr>
            <w:tcW w:w="0" w:type="dxa"/>
            <w:vAlign w:val="bottom"/>
          </w:tcPr>
          <w:p>
            <w:pPr>
              <w:spacing w:after="0"/>
              <w:rPr>
                <w:sz w:val="1"/>
                <w:szCs w:val="1"/>
                <w:color w:val="auto"/>
              </w:rPr>
            </w:pPr>
          </w:p>
        </w:tc>
      </w:tr>
      <w:tr>
        <w:trPr>
          <w:trHeight w:val="198"/>
        </w:trPr>
        <w:tc>
          <w:tcPr>
            <w:tcW w:w="1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Dividend Class B</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198"/>
        </w:trPr>
        <w:tc>
          <w:tcPr>
            <w:tcW w:w="1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92,453</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92,453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March 31,</w:t>
            </w: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43,094</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12,597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482,146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(52,248)</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$ 1,113,341</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1,545,039</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1,545,039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 and</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awards</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3,244</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3,246</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restricted</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and</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4,203</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4,203</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awards</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198"/>
        </w:trPr>
        <w:tc>
          <w:tcPr>
            <w:tcW w:w="1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(38,438)</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(38,438)</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(38,438)</w:t>
            </w:r>
          </w:p>
        </w:tc>
        <w:tc>
          <w:tcPr>
            <w:tcW w:w="0" w:type="dxa"/>
            <w:vAlign w:val="bottom"/>
          </w:tcPr>
          <w:p>
            <w:pPr>
              <w:spacing w:after="0"/>
              <w:rPr>
                <w:sz w:val="1"/>
                <w:szCs w:val="1"/>
                <w:color w:val="auto"/>
              </w:rPr>
            </w:pPr>
          </w:p>
        </w:tc>
      </w:tr>
      <w:tr>
        <w:trPr>
          <w:trHeight w:val="198"/>
        </w:trPr>
        <w:tc>
          <w:tcPr>
            <w:tcW w:w="1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Dividend Class A</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(8,128)</w:t>
            </w:r>
          </w:p>
        </w:tc>
        <w:tc>
          <w:tcPr>
            <w:tcW w:w="0" w:type="dxa"/>
            <w:vAlign w:val="bottom"/>
          </w:tcPr>
          <w:p>
            <w:pPr>
              <w:spacing w:after="0"/>
              <w:rPr>
                <w:sz w:val="1"/>
                <w:szCs w:val="1"/>
                <w:color w:val="auto"/>
              </w:rPr>
            </w:pPr>
          </w:p>
        </w:tc>
      </w:tr>
      <w:tr>
        <w:trPr>
          <w:trHeight w:val="198"/>
        </w:trPr>
        <w:tc>
          <w:tcPr>
            <w:tcW w:w="1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Class B</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198"/>
        </w:trPr>
        <w:tc>
          <w:tcPr>
            <w:tcW w:w="1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198"/>
        </w:trPr>
        <w:tc>
          <w:tcPr>
            <w:tcW w:w="1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related</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equity method</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198"/>
        </w:trPr>
        <w:tc>
          <w:tcPr>
            <w:tcW w:w="1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Noncontrolling</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equity</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110,227</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110,227</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June 30,</w:t>
            </w: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42,808</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12,266</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488,170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(90,686)</w:t>
            </w: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$ 1,212,919</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1,611,037</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18,274</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1,629,311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gridSpan w:val="2"/>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8" w:right="339" w:bottom="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4"/>
              </w:rPr>
              <w:t>Total</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Rush</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Accumulated</w:t>
            </w:r>
          </w:p>
        </w:tc>
        <w:tc>
          <w:tcPr>
            <w:tcW w:w="12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color w:val="auto"/>
              </w:rPr>
              <w:t>Enterprises,</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Inc.</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80" w:type="dxa"/>
            <w:vAlign w:val="bottom"/>
          </w:tcPr>
          <w:p>
            <w:pPr>
              <w:spacing w:after="0"/>
              <w:rPr>
                <w:sz w:val="20"/>
                <w:szCs w:val="20"/>
                <w:color w:val="auto"/>
              </w:rPr>
            </w:pPr>
          </w:p>
        </w:tc>
        <w:tc>
          <w:tcPr>
            <w:tcW w:w="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Par</w:t>
            </w:r>
          </w:p>
        </w:tc>
        <w:tc>
          <w:tcPr>
            <w:tcW w:w="16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Paid -In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Treasury</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Retained</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Comprehensive</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Shareholders’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Noncontrolling</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Class 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2"/>
              </w:rPr>
              <w:t>Value</w:t>
            </w:r>
          </w:p>
        </w:tc>
        <w:tc>
          <w:tcPr>
            <w:tcW w:w="16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Pr>
          <w:p>
            <w:pPr>
              <w:spacing w:after="0"/>
              <w:rPr>
                <w:sz w:val="18"/>
                <w:szCs w:val="18"/>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Earnings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260" w:type="dxa"/>
            <w:vAlign w:val="bottom"/>
          </w:tcPr>
          <w:p>
            <w:pPr>
              <w:spacing w:after="0"/>
              <w:rPr>
                <w:sz w:val="18"/>
                <w:szCs w:val="18"/>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Equity</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5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December</w:t>
            </w: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42,504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437,646</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(2,879)</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$ 831,850</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1,268,037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1,268,037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 and</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awards</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5,416</w:t>
            </w:r>
          </w:p>
        </w:tc>
        <w:tc>
          <w:tcPr>
            <w:tcW w:w="1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restricted</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and</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11,520</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awards</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(6,777)</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under</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1,988</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repurchases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(6,483)</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Class A</w:t>
            </w: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(7,684)</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Dividend Class B</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45,333</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45,333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March 31,</w:t>
            </w: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42,885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449,790</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(9,362)</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$ 867,119</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1,309,229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1,309,229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 and</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awards</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3,926</w:t>
            </w:r>
          </w:p>
        </w:tc>
        <w:tc>
          <w:tcPr>
            <w:tcW w:w="1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restricted</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and</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3,683</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awards</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Dividend Class A</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(7,735)</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Class B</w:t>
            </w: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comprehensive</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58,044</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58,044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June 30,</w:t>
            </w: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43,104</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12,561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456,785</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(13,585)</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$ 915,003</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1,436</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1,360,199</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1,360,199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380" w:type="dxa"/>
            <w:vAlign w:val="bottom"/>
            <w:gridSpan w:val="4"/>
          </w:tcPr>
          <w:p>
            <w:pPr>
              <w:jc w:val="center"/>
              <w:ind w:right="380"/>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CASH FLOWS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92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202,680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103,377</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95,122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84,891</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sale of property and equipment,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Gain on joint venture transaction</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business acquisition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 related to employee equity awards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15,203</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(14,602)</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accounts and notes receivable,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(85,110)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12,046</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(193,046)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76,772</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(1,255)</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12,376</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(23,725)</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(26,243)</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w:t>
            </w:r>
          </w:p>
        </w:tc>
      </w:tr>
      <w:tr>
        <w:trPr>
          <w:trHeight w:val="210"/>
        </w:trPr>
        <w:tc>
          <w:tcPr>
            <w:tcW w:w="8000" w:type="dxa"/>
            <w:vAlign w:val="bottom"/>
            <w:tcBorders>
              <w:bottom w:val="single" w:sz="8" w:color="CCEEFF"/>
            </w:tcBorders>
            <w:gridSpan w:val="6"/>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(107,226)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(84,352)</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disposition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Business acquisition, net of cash acquired</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(15,051)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(94,194)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(82,879)</w:t>
            </w:r>
          </w:p>
        </w:tc>
      </w:tr>
      <w:tr>
        <w:trPr>
          <w:trHeight w:val="20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Draws (payments) on floor plan notes payable – non-trade,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190,483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(40,909)</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571,302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52,325</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(574,165)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(129,221)</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(6,361)</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relating to equity awards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11,339</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(7,394)</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(19,922)</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(10,818)</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(150,961)</w:t>
            </w:r>
          </w:p>
        </w:tc>
      </w:tr>
      <w:tr>
        <w:trPr>
          <w:trHeight w:val="21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312,048</w:t>
            </w:r>
          </w:p>
        </w:tc>
        <w:tc>
          <w:tcPr>
            <w:tcW w:w="100" w:type="dxa"/>
            <w:vAlign w:val="bottom"/>
          </w:tcPr>
          <w:p>
            <w:pPr>
              <w:spacing w:after="0"/>
              <w:rPr>
                <w:sz w:val="18"/>
                <w:szCs w:val="18"/>
                <w:color w:val="auto"/>
              </w:rPr>
            </w:pPr>
          </w:p>
        </w:tc>
      </w:tr>
      <w:tr>
        <w:trPr>
          <w:trHeight w:val="25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216,694</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315,911</w:t>
            </w:r>
          </w:p>
        </w:tc>
      </w:tr>
      <w:tr>
        <w:trPr>
          <w:trHeight w:val="196"/>
        </w:trPr>
        <w:tc>
          <w:tcPr>
            <w:tcW w:w="8000" w:type="dxa"/>
            <w:vAlign w:val="bottom"/>
            <w:tcBorders>
              <w:top w:val="single" w:sz="8" w:color="CCEEFF"/>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5,964</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13,213</w:t>
            </w: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38,354</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67,766</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Noncash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5,749</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15,019</w:t>
            </w:r>
          </w:p>
        </w:tc>
      </w:tr>
    </w:tbl>
    <w:p>
      <w:pPr>
        <w:spacing w:after="0" w:line="19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2021. Results of operations for interim periods are not necessarily indicative of results that may be expected for any other interim periods or the full fiscal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Risks and Uncertainties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business conditions have improved significantly since the onset of the COVID-19 pandemic in the second quarter of 2020, our industry continues to be impacted by supply chain issues generally attributable to the COVID-19 pandemic that are negatively affecting new commercial vehicle production and the availability of aftermarket parts. The Company is unable to predict the impact that the COVID-19 pandemic will have on its future business and operating results due to numerous uncertainties, including the duration of the COVID-19 pandemic and its effect on global economic trends and the various supply chains serving the commercial vehicle industry.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Rush Truck Centres of Canada Limited (“RTC Canada”), is the local currency. Results of operations for RTC Canada are translated to USD using the average exchange rate on a monthly basis during the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25, 2019, the Company acquired 50% of the equity interest in Rush Truck Centres of Canada Limited (“RTC Canada”), which acquired the operating assets of Tallman Group, the largest International Truck dealer in Canada. Prior to acquiring an additional 30% equity interest on May 2, 2022, for approximately $20.0 million, the Company accounted for the equity interest in RTC Canada using the equity method of accounting. Now that the Company owns an 80% equity interest in RTC Canada, the operating results of RTC Canada are consolidated in the Consolidated Statements of Income, the Consolidated Statements of Comprehensive Income and the Consolidated Balance Sheets, as of May 2, 2022. See Note 13 – Acquisitions in the Notes to the Financial Statements for further discussion.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3, 2022, a subsidiary of Cummins, Inc. acquired a 50% equity interest in Natural Gas Fuel Systems, LLC, which previously conducted business as Momentum Fuel Technologies, from the Company for $27.5 million. The $12.5 million gain realized on the transaction is included in Other income on the Consolidated Statements of Income. The Company is accounting for the business as a joint venture and recognizes the investment using the equity method. As of June 30, 2022, the Company’s investment in Natural Gas Fuels Systems, LLC was $14.8 million. The Company’s equity income in Natural Gas Fuels Systems, LLC is included in the line item Other income on the Consolidated Statements of Income.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June 30, 2022,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 Net income available to</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110,227</w:t>
            </w: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58,044</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202,680</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103,377</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shareholders</w:t>
            </w:r>
          </w:p>
        </w:tc>
        <w:tc>
          <w:tcPr>
            <w:tcW w:w="24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55,640</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56,009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55,788</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55,819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stock options and restricted stock awards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80" w:type="dxa"/>
            <w:vAlign w:val="bottom"/>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w:t>
            </w:r>
          </w:p>
        </w:tc>
        <w:tc>
          <w:tcPr>
            <w:tcW w:w="2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57,310</w:t>
            </w:r>
          </w:p>
        </w:tc>
        <w:tc>
          <w:tcPr>
            <w:tcW w:w="28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57,956</w:t>
            </w:r>
          </w:p>
        </w:tc>
        <w:tc>
          <w:tcPr>
            <w:tcW w:w="24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57,610</w:t>
            </w:r>
          </w:p>
        </w:tc>
        <w:tc>
          <w:tcPr>
            <w:tcW w:w="28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57,846</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shares outstanding and assumed conversions</w:t>
            </w:r>
          </w:p>
        </w:tc>
        <w:tc>
          <w:tcPr>
            <w:tcW w:w="2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3.63</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3.52</w:t>
            </w: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and six months ended June 30, 2022, and 2021,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54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June 30,</w:t>
            </w: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10"/>
        </w:trPr>
        <w:tc>
          <w:tcPr>
            <w:tcW w:w="5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anti-dilutive stock options</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761</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 Options and Restricted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Accounting Standards Codification (“ASC”) 718-10,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which requires the measurement and recognition of compensation expense for all share-based payment awards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employees and directors, including employee stock options, restricted stock awards and employee stock purchases related to the Employee Stock Purchase Plan, based on estimated fair values.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calculated using the Black-Scholes option-pricing model for employee stock options and included in selling, general and administrative expense, was $4.2 million for the three months ended June 30, 2022, and $3.7 million for the three months ended June 30, 2021. Stock-based compensation expense, included in selling, general and administrative expense, was $18.0 million for the six months ended June 30, 2022, and was $15.2 million for the six months ended June 30, 2021.</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$13.0 million of unrecognized compensation cost related to non-vested employee stock options to be recognized over a weighted-average period of 2.5 years and $15.0 million of unrecognized compensation cost related to non-vested restricted stock awards to be recognized over a weighted-average period of 1.5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June 30, 2022, and December 31, 2021. The carrying value of current assets and current liabilities approximates the fair value due to the short maturity of these items.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carrying amount of such debt approximates fair value.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network of commercial vehicle dealerships throughout the United States and Ontario, Canada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revenues, segment income or loss from continuing operations and segment assets for the periods ended June 30, 2022 and 2021 (in thousands):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Truck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Segment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June 30, 2022</w:t>
            </w: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1,786,927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3,615,745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2022</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3,345,979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June 30, 2021</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1,311,678</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2,863,087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2021</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2,539,790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unrecognized income tax benefits totaling $4.3 million as a component of accrued liabilities as of June 30, 2022 and December 31, 2021,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The Company had approximately $279,000 accrued for the payment of interest as of June 30, 2022 and December 31, 2021. No amounts were accrued for penalties.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June 30, 2022, the tax years ended December 31, 2018 through 2021 remained subject to audit by federal tax authorities, and the tax years ended December 31, 2017 through 2021, remained subject to audit by state tax authorities.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disaggregated revenue by revenue source, excluding lease and rental revenue, for the three months and six months ended June 30, 2022 and 2021 (in thousands):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1689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16" w:lineRule="exact"/>
        <w:rPr>
          <w:sz w:val="20"/>
          <w:szCs w:val="20"/>
          <w:color w:val="auto"/>
        </w:rPr>
      </w:pPr>
    </w:p>
    <w:p>
      <w:pPr>
        <w:ind w:left="5240"/>
        <w:spacing w:after="0"/>
        <w:tabs>
          <w:tab w:leader="none" w:pos="6660" w:val="left"/>
        </w:tabs>
        <w:rPr>
          <w:sz w:val="20"/>
          <w:szCs w:val="20"/>
          <w:color w:val="auto"/>
        </w:rPr>
      </w:pPr>
      <w:r>
        <w:rPr>
          <w:rFonts w:ascii="Times New Roman" w:cs="Times New Roman" w:eastAsia="Times New Roman" w:hAnsi="Times New Roman"/>
          <w:sz w:val="18"/>
          <w:szCs w:val="18"/>
          <w:color w:val="auto"/>
        </w:rPr>
        <w:t>June 30, 2022</w:t>
      </w:r>
      <w:r>
        <w:rPr>
          <w:sz w:val="20"/>
          <w:szCs w:val="20"/>
          <w:color w:val="auto"/>
        </w:rPr>
        <w:tab/>
      </w:r>
      <w:r>
        <w:rPr>
          <w:rFonts w:ascii="Times New Roman" w:cs="Times New Roman" w:eastAsia="Times New Roman" w:hAnsi="Times New Roman"/>
          <w:sz w:val="17"/>
          <w:szCs w:val="17"/>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4585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17145</wp:posOffset>
            </wp:positionV>
            <wp:extent cx="1645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June 30, 2022</w:t>
      </w:r>
      <w:r>
        <w:rPr>
          <w:sz w:val="20"/>
          <w:szCs w:val="20"/>
          <w:color w:val="auto"/>
        </w:rPr>
        <w:tab/>
      </w:r>
      <w:r>
        <w:rPr>
          <w:rFonts w:ascii="Times New Roman" w:cs="Times New Roman" w:eastAsia="Times New Roman" w:hAnsi="Times New Roman"/>
          <w:sz w:val="17"/>
          <w:szCs w:val="17"/>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17145</wp:posOffset>
            </wp:positionV>
            <wp:extent cx="1645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400"/>
            <w:col w:w="3160"/>
          </w:cols>
          <w:pgMar w:left="320" w:top="121" w:right="339" w:bottom="1440" w:gutter="0" w:footer="0" w:header="0"/>
          <w:type w:val="continuous"/>
        </w:sectPr>
      </w:pPr>
    </w:p>
    <w:p>
      <w:pPr>
        <w:spacing w:after="0" w:line="5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sales revenue</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1,098,255</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797,269</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2,033,974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Parts revenue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361,562</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263,491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692,304</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repair service revenue</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236,736</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182,035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449,257</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Finance revenue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4,578</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9,067</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revenue</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6,213</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6,395</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11,755</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1,710,703</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1,254,619</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3,202,570</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2,428,198</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performance obligations and associated revenues are generally transferred to customers at a point in time. The Company did not have any material contract assets or contract liabilities on the balance sheet as of June 30, 2022 or December 31, 2021. Revenues related to commercial vehicle sales, parts sales, commercial vehicle repair service, finance and the majority of other revenues are related to the Truck Segment.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Lessor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primarily leases commercial vehicles that it owns to customers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Sales-type leases are recognized by the Company as lease receivables. The lessee obtains control of the underlying asset and the Company recognizes sales revenue upon lease commencement. The receivable for sales-type leases as of June 30, 2022 was $5.5 million, compared to $5.4 million as of December 31, 2021, and is reflected in the line item Other assets on the Consolidated Balance Sheet.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Lease and rental income during the three and six months ended June 30, 2022 and June 30, 2021 consisted of the following (in thousands):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June 30, 2022</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June 30, 2021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June 30, 2022</w:t>
            </w: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June 30, 2021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rental payments</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Nonlease payments</w:t>
            </w:r>
          </w:p>
        </w:tc>
        <w:tc>
          <w:tcPr>
            <w:tcW w:w="1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119,623</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Accumulated Other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shows the components of accumulated other comprehensive income (loss) (in thousands):</w:t>
      </w:r>
    </w:p>
    <w:p>
      <w:pPr>
        <w:spacing w:after="0" w:line="2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-119380</wp:posOffset>
            </wp:positionV>
            <wp:extent cx="60604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604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Balance as of March 31, 2022</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Reclassification of currency translation related to equity method of RTC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06044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Balance as of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65" w:hanging="1265"/>
        <w:spacing w:after="0"/>
        <w:tabs>
          <w:tab w:leader="none" w:pos="1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787</w:t>
      </w:r>
    </w:p>
    <w:p>
      <w:pPr>
        <w:spacing w:after="0" w:line="27" w:lineRule="exact"/>
        <w:rPr>
          <w:rFonts w:ascii="Times New Roman" w:cs="Times New Roman" w:eastAsia="Times New Roman" w:hAnsi="Times New Roman"/>
          <w:sz w:val="18"/>
          <w:szCs w:val="18"/>
          <w:color w:val="auto"/>
        </w:rPr>
      </w:pPr>
    </w:p>
    <w:p>
      <w:pPr>
        <w:ind w:left="12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9683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1125" w:hanging="1125"/>
        <w:spacing w:after="0"/>
        <w:tabs>
          <w:tab w:leader="none" w:pos="11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1,232</w:t>
      </w:r>
    </w:p>
    <w:p>
      <w:pPr>
        <w:spacing w:after="0" w:line="22" w:lineRule="exact"/>
        <w:rPr>
          <w:rFonts w:ascii="Times New Roman" w:cs="Times New Roman" w:eastAsia="Times New Roman" w:hAnsi="Times New Roman"/>
          <w:sz w:val="18"/>
          <w:szCs w:val="18"/>
          <w:color w:val="auto"/>
        </w:rPr>
      </w:pPr>
    </w:p>
    <w:p>
      <w:pPr>
        <w:ind w:left="12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(601)</w:t>
      </w:r>
    </w:p>
    <w:p>
      <w:pPr>
        <w:spacing w:after="0" w:line="20" w:lineRule="exact"/>
        <w:rPr>
          <w:rFonts w:ascii="Times New Roman" w:cs="Times New Roman" w:eastAsia="Times New Roman" w:hAnsi="Times New Roman"/>
          <w:sz w:val="18"/>
          <w:szCs w:val="18"/>
          <w:color w:val="auto"/>
        </w:rPr>
      </w:pPr>
    </w:p>
    <w:p>
      <w:pPr>
        <w:ind w:left="12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(567)</w:t>
      </w:r>
    </w:p>
    <w:p>
      <w:pPr>
        <w:spacing w:after="0" w:line="21" w:lineRule="exact"/>
        <w:rPr>
          <w:sz w:val="20"/>
          <w:szCs w:val="20"/>
          <w:color w:val="auto"/>
        </w:rPr>
      </w:pPr>
    </w:p>
    <w:p>
      <w:pPr>
        <w:ind w:left="1345" w:hanging="1345"/>
        <w:spacing w:after="0"/>
        <w:tabs>
          <w:tab w:leader="none" w:pos="1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9683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31750</wp:posOffset>
            </wp:positionV>
            <wp:extent cx="9683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580" w:space="195"/>
            <w:col w:w="2465"/>
          </w:cols>
          <w:pgMar w:left="320" w:top="121" w:right="339" w:bottom="1440" w:gutter="0" w:footer="0" w:header="0"/>
          <w:type w:val="continuous"/>
        </w:sectPr>
      </w:pPr>
    </w:p>
    <w:p>
      <w:pPr>
        <w:spacing w:after="0" w:line="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RTC Canada, is its local currency. Results of operations of RTC Canada are translated in USD using the average exchange rates on a monthly basis during the year. The assets and liabilities of RTC Canada are translated into USD using the exchange rates in effect on the balance sheet date. The related translation adjustments are recorded in a separate component of stockholders' equity in accumulated other comprehensive loss.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reclassified the foreign currency translation adjustment related to its previously held equity investment in RTC Canada into net income upon its acquisition of a majority equity interest according to ASC 830-30, </w:t>
      </w:r>
      <w:r>
        <w:rPr>
          <w:rFonts w:ascii="Times New Roman" w:cs="Times New Roman" w:eastAsia="Times New Roman" w:hAnsi="Times New Roman"/>
          <w:sz w:val="18"/>
          <w:szCs w:val="18"/>
          <w:i w:val="1"/>
          <w:iCs w:val="1"/>
          <w:color w:val="auto"/>
        </w:rPr>
        <w:t>Foreign Currency Matters.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Receivable and Allowance for Credit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establishes an allowance for credit losses to present the net amount of accounts receivable expected to be collected. Under Accounting Standards Update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the Company is required to remeasure expected credit losses for financial instruments held on the reporting date based on historical experience, current conditions and reasonable forecasts.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consists primarily of commercial vehicle sales receivables, manufacturers’ receivables, leasing and rental receivables, parts and service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4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 (in thousands):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Write offs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Provision for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Against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Balance</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the Six</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Allowance,</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Months Ended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net of</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34"/>
        </w:trPr>
        <w:tc>
          <w:tcPr>
            <w:tcW w:w="128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2021</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30, 2022</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Recoveries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receivables</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Manufacturers’ receivables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parts and service receivables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2,137</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Acquisitions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13, 2021, the Company completed the acquisition of certain of the assets of the Summit Truck Group, LLC and certain of its subsidiaries and affiliates (collectively, “Summit”) which included full-service commercial vehicle dealerships and Idealease franchises in Arkansas, Kansas, Missouri, Tennessee and Texas. The acquisition included Summit’s dealerships representing International, IC Bus, Idealease, Isuzu and other commercial vehicle manufacturers for a purchase price of approximately $205.3 million, excluding the real property associated with the transaction. The Company financed approximately $102.0 million of the purchase price under its floor plan and lease and rental truck financing arrangements and the remainder of the purchase price was paid in cash. In addition, the Company purchased certain real property owned by Summit for a purchase price of approximately $57.0 million, which was paid in cash.</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allocation has not yet been finalized for the Summit acquisition. The Company is currently working with Summit to obtain additional information that existed at the time of the acquisition related to property and equipment, inventory and valuation of intangible assets. Management has recorded the purchase price allocations based upon currently available information about Summit.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operations of Summit are included in the accompanying consolidated financial statements from the date of the acquisition. The preliminary purchase price was allocated based on the fair values of the assets and liabilities at the date of acquisition as follows (in thousands):</w:t>
      </w:r>
    </w:p>
    <w:p>
      <w:pPr>
        <w:sectPr>
          <w:pgSz w:w="11900" w:h="16838" w:orient="portrait"/>
          <w:cols w:equalWidth="0" w:num="1">
            <w:col w:w="11240"/>
          </w:cols>
          <w:pgMar w:left="320" w:top="108" w:right="339" w:bottom="1440" w:gutter="0" w:footer="0" w:header="0"/>
        </w:sectPr>
      </w:pP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-119380</wp:posOffset>
            </wp:positionV>
            <wp:extent cx="57003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Franchise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Inventory</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Property and equipment, including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151765</wp:posOffset>
            </wp:positionV>
            <wp:extent cx="570039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41" w:lineRule="exact"/>
        <w:rPr>
          <w:sz w:val="20"/>
          <w:szCs w:val="20"/>
          <w:color w:val="auto"/>
        </w:rPr>
      </w:pPr>
    </w:p>
    <w:p>
      <w:pPr>
        <w:jc w:val="right"/>
        <w:ind w:right="28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040" w:hanging="1038"/>
        <w:spacing w:after="0"/>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73,710</w:t>
      </w:r>
    </w:p>
    <w:p>
      <w:pPr>
        <w:spacing w:after="0" w:line="38" w:lineRule="exact"/>
        <w:rPr>
          <w:rFonts w:ascii="Times New Roman" w:cs="Times New Roman" w:eastAsia="Times New Roman" w:hAnsi="Times New Roman"/>
          <w:sz w:val="17"/>
          <w:szCs w:val="17"/>
          <w:color w:val="auto"/>
        </w:rPr>
      </w:pPr>
    </w:p>
    <w:p>
      <w:pPr>
        <w:ind w:left="1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1,581</w:t>
      </w:r>
    </w:p>
    <w:p>
      <w:pPr>
        <w:spacing w:after="0" w:line="21"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72,773</w:t>
      </w:r>
    </w:p>
    <w:p>
      <w:pPr>
        <w:spacing w:after="0" w:line="9"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113,306</w:t>
      </w:r>
    </w:p>
    <w:p>
      <w:pPr>
        <w:spacing w:after="0" w:line="9"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882</w:t>
      </w:r>
    </w:p>
    <w:p>
      <w:pPr>
        <w:spacing w:after="0" w:line="220" w:lineRule="exact"/>
        <w:rPr>
          <w:sz w:val="20"/>
          <w:szCs w:val="20"/>
          <w:color w:val="auto"/>
        </w:rPr>
      </w:pPr>
    </w:p>
    <w:p>
      <w:pPr>
        <w:ind w:left="940" w:hanging="938"/>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262,252</w:t>
      </w:r>
    </w:p>
    <w:p>
      <w:pPr>
        <w:spacing w:after="0" w:line="252" w:lineRule="exact"/>
        <w:rPr>
          <w:sz w:val="20"/>
          <w:szCs w:val="20"/>
          <w:color w:val="auto"/>
        </w:rPr>
      </w:pPr>
    </w:p>
    <w:p>
      <w:pPr>
        <w:sectPr>
          <w:pgSz w:w="11900" w:h="16838" w:orient="portrait"/>
          <w:cols w:equalWidth="0" w:num="2">
            <w:col w:w="7780" w:space="720"/>
            <w:col w:w="2740"/>
          </w:cols>
          <w:pgMar w:left="320" w:top="108" w:right="339" w:bottom="1440" w:gutter="0" w:footer="0" w:header="0"/>
          <w:type w:val="continuous"/>
        </w:sectPr>
      </w:pPr>
    </w:p>
    <w:p>
      <w:pPr>
        <w:spacing w:after="0" w:line="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goodwill of $73.7 million for the Summit acquisition is primarily attributable to the synergies expected to arise after the acquisition. The goodwill acquired in the Summit acquisition will be amortized over 15 years for tax purposes.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May 2, 2022, the Company completed the acquisition of an additional 30% equity interest in RTC Canada, resulting in an 80% controlling interest in RTC Canada. The acquisition was accounted for as an acquisition achieved in stages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acquisition-date fair value of the previous 50% equity interest was $44.7 million, resulting in a gain of $7.0 million included in the line item Other income (expense) on the Consolidated Statements of Income. The Company also recognized a reversal of deferred tax liabilities of $2.2 million and $0.6 million related to reclassification of the foreign currency translation adjustment related to the remeasurement of the Company’s previous equity method investment in RTC Canada.</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May 2, 2022, the Company established a noncontrolling interest related to the minority holders. The fair value of the 20% noncontrolling interest in RTC Canada is estimated to be $17.8 million. The fair value of the noncontrolling interest was estimated using a combination of the income approach and a market approach. Since RTC Canada is a private company, the fair value measurement is based on significant inputs that are not observable in the market and thus represents a Level 3 measurement as defined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fair value estimates are based on: (i) a discount rate of 11%; (ii) a terminal value based on a long-term sustainable growth rate of 3%; (iii) financial multiples of companies in the same industry as RTC Canada; and (iv) adjustments because of the lack of control or lack of marketability that market participants would consider when estimating the fair value of the noncontrolling interest in RTC Canada.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preliminary purchase price was allocated based on the fair values of the assets and liabilities at the date of acquisition as follows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including real estate</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80,337</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(30,501)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(19,978)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(1,980)</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(7,875)</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(69,545)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47,939</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 in RTC Canada</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(37,309)</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(17,828)</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(6,958)</w:t>
            </w:r>
          </w:p>
        </w:tc>
      </w:tr>
      <w:tr>
        <w:trPr>
          <w:trHeight w:val="210"/>
        </w:trPr>
        <w:tc>
          <w:tcPr>
            <w:tcW w:w="73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19,361</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allocation has not yet been finalized. The Company is currently working with RTC Canada to obtain additional information that existed at the time of the acquisition related to property and equipment, inventory and valuation of intangible assets. Management has recorded the purchase price allocations based upon currently available information about RTC Canada. The goodwill of $47.9 million for the RTC Canada acquisition is primarily attributable to the synergies expected to arise after obtaining a controlling interest in the entity.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May 2, 2022, the Company accounted for its 50% equity interest in RTC Canada as an equity-method investment. Now that the Company owns an 80% equity interest, operations of RTC Canada are included in the accompanying consolidated financial statements as of May 2,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behalf from time to time in other reports,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news releases, conferences, website postings or otherwise) that are not statements of historical fact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notwithstanding that such statements are not specifically identified. Forward-looking statements include statements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position, business strategy and plans and objectives of management of the Company for future operations, as well as statements regarding the effects COVID-19 may have on our business and financial results. These forward-looking statements reflect the best judgments of the Company about the future events and trends based on the beliefs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as well as assumptions made by and information currently available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management. Use of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the year ended December 31, 2021,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Leasing Corporation. Navistar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International Corporation. International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International Transportation Corp. Idealease is a registered trademark of Idealease, Inc. aka Idealease of North America, Inc. Blue Bird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IC Bus, LLC. Hino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Isuzu Motors Limited. Ford Motor Credit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Ford Motor Company. Ford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Ford Motor Company. Cummins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Cummins, Inc. This report contains additional trade names or trademarks of other companies. Our use of such trade names or trademarks should not imply any endorsement or relationship with such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and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and Ontario, Canada. Since commencing operations as a Peterbilt heavy-duty truck dealer in 1966, we have grown to operate over 125 franchised Rush Truck Centers in 23 states. In 2019, we purchased a 50% equity interest in an entity in Canada, Rush Truck Centres of Canada Limited (“RTC Canada”) and on May 2, 2022, we purchased an additional 30% equity interest in RTC Canada that increased our equity interest to 80%. RTC Canada currently owns and operates 15 International dealership locations in Ontario. Prior to acquiring the additional 30%, we accounted for the equity interest in RTC Canada using the equity method of accounting. Now, the operating results of RTC Canada are consolidated in the Consolidated Statements of Operations, the Statements of Comprehensive Income, the Consolidated Balance Sheets and commercial vehicle unit sales data as of May 2, 2022.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COVID-19 Pandemic and Its Impact on Our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business conditions have improved significantly since the onset of the Covid-19 pandemic in the second quarter of 2020, our industry continues to be impacted by supply chain issues generally believed to be attributable to the COVID-19 pandemic that are negatively affecting new commercial vehicle production and the availability of aftermarket parts.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 Research Co., LLC (“A. C.T. Research”), a commercial vehicle industry data and forecasting service provider, currently forecasts new U.S. Class 8 retail truck sales to be 253,100 units in 2022, which would represent an 11.3% increase compared to 2021. We expect our U.S. market share of new Class 8 truck sales to range between 6.1% and 6.4% in 2022. This market share percentage would result in the sale of approximately 15,500 to 16,200 new Class 8 trucks in 2022. We expect to sell approximately 350 to 380 additional new Class 8 trucks in Canada in the third and fourth quarters of 2022.</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new U.S. Class 4-7 retail commercial vehicle sales, A.C.T. Research currently forecasts sales to be 230,500 units in 2022, which would represent a 7.7% decrease compared to 2021. We expect our U.S. market share of new Class 4 through 7 commercial vehicle sales to range between 4.6% and 4.8% in 2022. This market share percentage would result in the sale of approximately 10,500 to 11,000 new Class 4 through 7 commercial vehicles in 2022. We expect to sell approximately 120 to 130 additional new Class 5 through 7 commercial vehicles in Canada in the third and fourth quarters of 2022.</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sell approximately 1,700 light-duty vehicles and approximately 7,000 to 7,500 used commercial vehicles in 2022. We expect lease and rental revenue to increase 28% to 32% during 2022, compared to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our Aftermarket Products and Services revenues will increase 25% to 30% in 2022, compared to 2021.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above projections for new commercial vehicle sales will depend on our ability to obtain commercial vehicles from the manufacturers we represent and such projections could be negatively impacted by manufacturer allocation decisions and supply chain issues affecting manufacturers’ production. In addition, we are monitoring inflation and rising interest rates, which may negatively impact consumer spending and capital expenditures across a variety of industries we support.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the above projections for new commercial vehicle sales, lease and rental revenues and Aftermarket Products and Services revenues include the dealership and Idealease locations that we acquired on December 13, 2021, when we completed the acquisition of certain of the assets of the of Summit Truck Group, LLC and certain of its subsidiaries and affiliates (collectively, “Summit”). In addition, all of the above projections for new commercial vehicle sales, lease and rental revenues and Aftermarket Products and Services revenues include RTC 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 Intangible Assets and 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We determine whether substantially all the fair value of the gross assets acquired is concentrated in a single identifiable asset or a group of similar identifiable assets. If so, the single asset or group of assets, as applicable, is not a business. If not, we determine whether the single asset or group of assets, as applicable, meets the definition of a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business combinations, we recorded certain intangible assets, including franchise rights. We periodically review the estimated useful lives and fair values of our identifiable intangible assets, taking into consideration any events or circumstances that might result in a diminished fair value or revised useful life.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excess purchase price over the fair value of assets acquired is recorded as goodwill. We test goodwill for impairment annually in the fourth quarter, or whenever events or changes in circumstances indicate an impairment may have occurred. Because we operate a single reporting unit, the Truck Segment, the impairment test is performed at that level by comparing the estimated fair value of the reporting unit to the carrying value of the reporting unit. We estimate the fair value of the reporting unit using a "step one" analysis utilizing a fair-value-based approach that uses a discounted cash flow analysis of projected future results to determine if it is more likely than not that the fair value of a reporting unit is less than its carrying amount. Determining the fair value of goodwill is subjective in nature and often involves the use of estimates and assumptions including, without limitation, use of estimates of future prices and volumes for our products, capital needs, economic trends and other factors which are inherently difficult to forecast. If actual results, or the plans and estimates used in future impairment analyses are lower than the original estimates used to assess the recoverability of these assets, we could incur impairment charges in a future period. The annual impairment test was performed in the fourth quarter of 2021. No impairment of goodwill was identified during 2021 and no circumstances or events occurred in the first six months of 2022 that would require a test for impairment.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Accruals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ASU 2014-09, “</w:t>
      </w:r>
      <w:r>
        <w:rPr>
          <w:rFonts w:ascii="Times New Roman" w:cs="Times New Roman" w:eastAsia="Times New Roman" w:hAnsi="Times New Roman"/>
          <w:sz w:val="18"/>
          <w:szCs w:val="18"/>
          <w:i w:val="1"/>
          <w:iCs w:val="1"/>
          <w:color w:val="auto"/>
        </w:rPr>
        <w:t>Revenue from 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lease commercial vehicles and real estate under finance and operating leases. We determine whether an arrangement is a lease at its inception. For leases with terms greater than twelve months, we record a lease asset and liability at the present value of lease payments over the term. Many of our leases include renewal options and termination options that are factored into our determination of lease payments when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commercial vehicles that we own to customers. Lease and rental revenue is recognized over the period of the related lease or rental agreement. Variable rental revenue is recognized when it is earned.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 at their cost basis adjusted for any write-offs and net of allowances for credit losses. We maintain allowances for credit losses, which represent an estimate of expected losses over the remaining contractual life of our receivables after considering current market conditions and estimates for supportable forecasts, when appropriate. The estimate is a result of our ongoing assessments and evaluations of collectability, historical loss experience, and future expectations in estimating credit losses in each of our receivable portfolios (commercial vehicle receivables, manufacturers’ receivables, parts and service receivables, leasing receivables and other trade receivables). For trade receivables, we use the probability of default and our historical loss experience rates by portfolio and apply them to a related aging analysis while also considering customer and economic risk where appropriate. Determination of the proper amount of allowances by portfolio requires us to exercise our judgment about the timing, frequency and severity of credit losses that could materially affect the provision for credit losses and, as a result, net earnings. The allowances take into consideration numerous quantitative and qualitative factors that include receivable type, historical loss experience, collection experience, current economic conditions, estimates for supportable forecasts (when appropriate) and credit risk characteristics.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our foreign subsidiary, RTC Canada, is its local currency. Results of operations for RTC Canada are translated in USD using the average exchange rate on a monthly basis during the quarter. The assets and liabilities of RTC Canada are translated into USD using the exchange rate in effect on the balance sheet date. The related translation adjustments are recorded as a separate component of our Consolidated Statements of Shareholders’ Equity in the line item Accumulated other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the three months and six months periods ended June 30, 2022 and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4980" w:type="dxa"/>
            <w:vAlign w:val="bottom"/>
            <w:gridSpan w:val="2"/>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 sales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7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5"/>
        </w:trPr>
        <w:tc>
          <w:tcPr>
            <w:tcW w:w="580" w:type="dxa"/>
            <w:vAlign w:val="bottom"/>
          </w:tcPr>
          <w:p>
            <w:pPr>
              <w:spacing w:after="0"/>
              <w:rPr>
                <w:sz w:val="24"/>
                <w:szCs w:val="24"/>
                <w:color w:val="auto"/>
              </w:rPr>
            </w:pPr>
          </w:p>
        </w:tc>
        <w:tc>
          <w:tcPr>
            <w:tcW w:w="750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56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4980" w:type="dxa"/>
            <w:vAlign w:val="bottom"/>
            <w:gridSpan w:val="2"/>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7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 sales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Pr>
          <w:p>
            <w:pPr>
              <w:spacing w:after="0"/>
              <w:rPr>
                <w:sz w:val="18"/>
                <w:szCs w:val="18"/>
                <w:color w:val="auto"/>
              </w:rPr>
            </w:pPr>
          </w:p>
        </w:tc>
      </w:tr>
      <w:tr>
        <w:trPr>
          <w:trHeight w:val="425"/>
        </w:trPr>
        <w:tc>
          <w:tcPr>
            <w:tcW w:w="580" w:type="dxa"/>
            <w:vAlign w:val="bottom"/>
          </w:tcPr>
          <w:p>
            <w:pPr>
              <w:spacing w:after="0"/>
              <w:rPr>
                <w:sz w:val="24"/>
                <w:szCs w:val="24"/>
                <w:color w:val="auto"/>
              </w:rPr>
            </w:pPr>
          </w:p>
        </w:tc>
        <w:tc>
          <w:tcPr>
            <w:tcW w:w="440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revenues for new heavy-duty, new medium-duty, new light-duty and used commercial vehicles and the absorption ratio (revenues in millions):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6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6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New heavy-duty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6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 medium-duty</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New light-duty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Pr>
          <w:p>
            <w:pPr>
              <w:spacing w:after="0"/>
              <w:rPr>
                <w:sz w:val="17"/>
                <w:szCs w:val="17"/>
                <w:color w:val="auto"/>
              </w:rPr>
            </w:pPr>
          </w:p>
        </w:tc>
        <w:tc>
          <w:tcPr>
            <w:tcW w:w="1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60" w:type="dxa"/>
            <w:vAlign w:val="bottom"/>
          </w:tcPr>
          <w:p>
            <w:pPr>
              <w:spacing w:after="0"/>
              <w:rPr>
                <w:sz w:val="17"/>
                <w:szCs w:val="17"/>
                <w:color w:val="auto"/>
              </w:rPr>
            </w:pPr>
          </w:p>
        </w:tc>
        <w:tc>
          <w:tcPr>
            <w:tcW w:w="1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1"/>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2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Total new vehicle</w:t>
            </w: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 sales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New heavy-duty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6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58.9%</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 medium-duty</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New light-duty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tcPr>
          <w:p>
            <w:pPr>
              <w:spacing w:after="0"/>
              <w:rPr>
                <w:sz w:val="17"/>
                <w:szCs w:val="17"/>
                <w:color w:val="auto"/>
              </w:rPr>
            </w:pPr>
          </w:p>
        </w:tc>
        <w:tc>
          <w:tcPr>
            <w:tcW w:w="1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Pr>
          <w:p>
            <w:pPr>
              <w:spacing w:after="0"/>
              <w:rPr>
                <w:sz w:val="17"/>
                <w:szCs w:val="17"/>
                <w:color w:val="auto"/>
              </w:rPr>
            </w:pPr>
          </w:p>
        </w:tc>
        <w:tc>
          <w:tcPr>
            <w:tcW w:w="1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1"/>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2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Total new vehicle</w:t>
            </w: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1,699.7</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Used vehicle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6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vehicle</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7"/>
                <w:szCs w:val="27"/>
                <w:color w:val="auto"/>
                <w:vertAlign w:val="superscript"/>
              </w:rPr>
              <w:t>(1)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Dealership</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absorption ratio:</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c>
          <w:tcPr>
            <w:tcW w:w="18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136.8%</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125.9%</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300" w:hanging="48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of truck bodies, trailers and other new equipment.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136.4% absorption ratio for the second quarter of 2022 and a 129.1% absorption ratio for the second quarter of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revenues increased $475.2 million, or 36.1%, in the second quarter of 2022, compared to the second quarter of 2021. This increase was primarily the result of strong freight demand which continues to drive strong demand for new and used commercial vehicles, the Summit acquisition and the consolidation of RTC Canada into our operating results, which increased revenues across all areas of our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Aftermarket Products and Services revenues increased $152.8 million, or 34.3%, in the second quarter of 2022, compared to the second quarter of 2021. The increase in Aftermarket Parts and Services revenues was primarily a result of strong demand, in addition to the Summit acquisition and the consolidation of RTC Canada into our operating results.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sales of new and used commercial vehicles increased $301.0 million, or 37.8%, in the second quarter of 2022, compared to the second quarter of 2021. The increase in commercial vehicle revenues was primarily a result of strong demand, in addition to the Summit acquisition and the consolidation of RTC Canada into our operating results.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4,168 new Class 8 trucks in the second quarter of 2022, a 41.1% increase compared to 2,954 new Class 8 trucks in the second quarter of 2021. This increase in new Class 8 truck sales was primarily a result of strong demand for new commercial vehicles and the Summit acquisition and the consolidation of RTC Canada into our operating results.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2,815 new Class 4 through 7 commercial vehicles, including 279 buses, in the second quarter of 2022, a 0.4% decrease compared to 2,825 new medium-duty commercial vehicles, including 230 buses, in the second quarter of 2021. Our new Class 4 through 7 commercial vehicle sales were negatively impacted by new commercial vehicle production constraints that affected the manufacturers we represent.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408 light-duty vehicles in the second quarter of 2022, a 13.6% decrease compared to 472 light-duty vehicles sold in the second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1,629 used commercial vehicles in the second quarter of 2022, a 22.2% decrease compared to 2,094 used commercial vehicles sold in the second quarter of 2021. We believe used commercial vehicle demand and values will decrease as new commercial vehicle production increases to a level adequate to meet customer demand; however, we believe demand for used trucks will remain strong throughout 2022.</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Commercial vehicle lease and rental revenues increased $19.1 million, or 31.2%, in the second quarter of 2022, compared to the second quarter of 2021. This increase in commercial vehicle lease and rental revenues was primarily a result of strong demand for rental commercial vehicles, the Summit acquisition and the consolidation of RTC Canada into our operating results.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Finance and insurance revenues increased $0.3 million, or 4.7%, in the second quarter of 2022, compared to the second quarter of 2021. The increase in finance and insurance revenues was primarily due to sales of finance and insurance products to a higher percentage of new and used commercial vehicle purchasers in the second quarter of 2022. Finance and insurance revenues have limited direct costs and, therefore, contribute a disproportionate share of our operating profits.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Gross profit increased $103.4 million, or 38.2%, in the second quarter of 2022, compared to the second quarter of 2021. This increase in gross profit is primarily due to strong demand for commercial vehicles and aftermarket services, the Summit acquisition and the consolidation of RTC Canada into our operating results. Gross profit as a percentage of sales increased to 20.9% in the second quarter of 2022, from 20.6% in the second quarter of 2021.</w:t>
      </w:r>
    </w:p>
    <w:p>
      <w:pPr>
        <w:spacing w:after="0" w:line="4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increased to 38.6% in the second quarter of 2022, from 37.8% in the second quarter of 2021. Gross profit from our Aftermarket Products and Services operations increased to $231.0 million in the second quarter of 2022, from $168.4 million in the second quarter of 2021. This increase in gross profit from our Aftermarket Products and Services operations is primarily due to increases in parts pricing, increases in parts rebates from our parts suppliers, the Summit acquisition and the consolidation of RTC Canada into our operating results. Historically, gross margins on parts sales range from 28% to 30% and gross margins on service and collision center operations range from 66% to 68%. Gross profits from parts sales represented 63.6% of total gross profit from Aftermarket Products and Services operations in the second quarter of 2022 and 61.0% in the second quarter of 2021. Service and collision center operations represented 36.4% of total gross profit from Aftermarket Products and Services operations in the second quarter of 2022 and 39.0% in the second quarter of 2021. We expect blended gross margins on Aftermarket Products and Services operations to range from 38.0% to 39.0% in 2022.</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new Class 8 truck sales increased to 9.9% in the second quarter of 2022, from 9.1% in the second quarter of 2021. This increase is primarily due to strong demand for new Class 8 trucks and the mix of purchasers during the second quarter of 2022. In 2022, we expect overall gross margins from new heavy-duty truck sales of approximately 8.8% to 9.8%.</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margins on new Class 4 through 7 commercial vehicle sales decreased to 7.3% in the second quarter of 2022, from 7.4% in the second quarter of 2021. This decrease is primarily due to the mix of purchasers during the second quarter of 2022. For 2022, we expect overall gross margins from new medium-duty commercial vehicle sales of approximately 7.5% to 8.5%, but this will largely depend upon the mix of purchasers and types of vehicles sold.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margins on used commercial vehicle sales decreased to 10.6% in the second quarter of 2022, from 17.4% in the second quarter of 2021. This decrease is primarily due to a softening in used truck values as new Class 8 vehicle production begins to increase. We expect margins on used commercial vehicles to gradually decrease throughout 2022 as new commercial vehicle production increases and reach their historical range between 8.0% and 10.0% by the end of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Gross margins from truck lease and rental sales increased to 31.3% in the second quarter of 2022, from 21.2% in the second quarter of 2021. This increase is primarily related to increased rental fleet utilization and changes to the way we finance commercial vehicles for our lease and rental fleet. In September of 2021, we entered into a credit agreement (“the WF Credit Agreement”) with the lenders signatory thereto (the “WF Lenders”) and Wells Fargo Bank, National Association (“WF”), as Administrative Agent (in such capacity, the “WF Agent”) that allows us to finance a portion of our Idealease lease and rental fleet through a general borrowing facility. In October of 2021, we entered into that certain Amended and Restated Inventory Financing and Purchase Money Security Agreement with PLC, a division of PACCAR Financial Corp. (the “PLC Agreement”) in the amount of $300.0 million to be used in connection with the acquisition of PacLease lease and rental fleet vehicles. The interest associated with the WF Credit Agreement and the PLC Agreement is recorded in interest expense on the Consolidated Statements of Income. Prior to the WF Credit Agreement and the PLC Agreement, interest expense associated with our lease and rental fleet purchases was recorded in cost of sales because each borrowing was directly related to each lease and rental vehicle purchased. This change in the structure of financing of our lease and rental fleet results in increased gross margins from our commercial vehicle lease and rental sales. We expect gross margins from lease and rental sales of approximately 31.0% to 33.0% during 2022.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revenues,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$40.6 million, or 22.0%, in the second quarter of 2022, compared to the second quarter of 2021. This increase primarily resulted from increased general and administrative expense associated with the Summit acquisition and consolidation of RTC Canada into our operating results. SG&amp;A expenses as a percentage of total revenues decreased to 12.6% in the second quarter of 2022, from 14.0% in the second quarter of 2021. Annual SG&amp;A expenses as a percentage of total revenues have ranged from approximately 12.4% to 14.3% over the last five years. In general, when new and used commercial vehicle revenues decrease as a percentage of total revenues, SG&amp;A expenses as a percentage of total revenues will be at the higher end of this range. For 2022, we expect SG&amp;A expenses as a percentage of total revenues to range from 13.0% to 14.0%, due to the increase in revenues from sales of new and used commercial vehicles and Aftermarket Products and Services revenues. We expect the selling portion of SG&amp;A expenses to be approximately 25.0% to 30.0% of new and used commercial vehicle gross profit.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interest (income) expense increased $3.4 million, or 1,594.3%, in the second quarter of 2022, compared to the second quarter of 2021. This increase in interest expense is a result of the increase in inventory levels and rising interest rates on our variable rate debt compared to 2021. We expect net interest expense in 2022 to increase due to interest related to lease and rental borrowings, but the amount of the increase will depend on inventory levels, interest rate fluctuations and the amount of cash available to make prepayments on our floor plan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income before income taxes increased $65.4 million, or 87.5%, in the second quarter of 2022, compared to the second quarter of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Income taxes increased $12.8 million, or 76.7%, in the second quarter of 2022, compared to the second quarter of 2021. We provided for taxes at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effective rate in the second quarter of 2022 and 22.3% in the second quarter of 2021. We expect our effective tax rate to be approximately 23.0%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 of pretax income in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below, our variance explanations and future expectations with regards to the items discussed in this section are set forth in the discussion of the “Three Months Ended June 30, 2022, Compared to Three Months Ended June 30, 2021.”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revenues increased $806.6 million, or 31.7%, in the first six months of 2022, compared to the first six months of 2021. Sales of new and used commercial vehicles increased $489.0 million, or 31.6%, in the first six months of 2022, compared to the first six months of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Aftermarket Products and Services revenues increased $280.3 million, or 32.5%, in the first six months of 2022, compared to the first six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2021.</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7,696 new Class 8 heavy-duty trucks in the first six months of 2022, a 29.4% increase compared to 5,949 new Class 8 heavy-duty trucks in the first six months of 2021. According to A.C.T. Research, retail sales in the U.S. Class 8 truck market increased 1.0% in the first six months of 2022, compared to the first six months of 2021.</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4,956 new Class 4 through 7 medium-duty commercial vehicles, including 504 buses, in the first six months of 2022. This represented a 3.9% decrease compared to 5,159 new Class 4 through 7 medium-duty commercial vehicles, including 370 buses, in the first six months of 2021. A.C.T. Research estimates that unit sales of new Class 4 through 7 commercial vehicles in the U.S. decreased approximately 11.3% in the first six months of 2022, compared to the first six months of 2021.</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889 new light-duty vehicles in the first six months of 2022, a 2.5% increase compared to 867 new light-duty vehicles sold in the first six months of 2021.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4,024 used commercial vehicles in the first six months of 2022, a 0.1% increase compared to 4,018 used commercial vehicles in the first six months of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Truck lease and rental revenues increased $32.3 million, or 27.0%, in the first six months of 2022, compared to the first six months of 2021.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and insurance revenues increased $1.4 million, or 10.1%, in the first six months of 2022, compared to the first six months of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$204.1 million, or 39.6%, in the first six months of 2022, compared to the first six months of 2021. Gross profit as a percentage of sales was 21.5% in the first six months of 2022 and 20.2% in the first six months of 2021.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Aftermarket Products and Services operations increased to 38.5% in the first six months of 2022, from 37.4% in the first six months of 2021. Gross profit for Aftermarket Products and Services was $440.1 million in the first six months of 2022, compared to $322.3 million in the first six months of 2021. Gross profit from parts sales represented 63.1% of the total gross profit for Aftermarket Products and Services operations in the first six months of 2022 and 60.0% in the first six months of 2021. Service and collision center operations represented 36.9% of the total gross profit for Aftermarket Products and Services operations in the first six months of 2022 and 40.0% in the first six months of 2021.</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new Class 8 heavy-duty truck sales increased to 9.8% in the first six months of 2022, from 9.0% in the first six months of 2021.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new Class 4 through 7 medium-duty commercial vehicle sales increased to 7.8% in the first six months of 2022, from 7.3% in the first six months of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used commercial vehicle sales decreased to 13.6% in the first six months of 2022, from 17.7% in the first six months of 2021.</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Gross margins from truck lease and rental sales increased to 31.6% in the first six months of 2022, from 19.4% in the first six months of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SG&amp;A expenses increased $90.1 million, or 25.0%, in the first six months of 2022, compared to the first six months of 2021. SG&amp;A expenses equaled 13.4% of total revenue in the first six months of 2022, compared to 14.1% in the first six months of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interest expense increased $4.1 million, or 1,387.1%, in the first six months of 2022, compared to the first six months of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increased $129.1 million, or 98.3%, in the first six months of 2022, compared to the first six months of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taxes increased $29.4 million, or 105.0%, in the first six months of 2022, compared to the first six months of 2021. We provided for taxes at a 22.0% rate in the first six months of 2022 and a 21.3% rate in the first six months of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2022, we had working capital of approximately $443.2 million, including $216.7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Bank N.A. (“BMO Harris”) (the “Floor Plan Credit Agreement”) and the WF Credit Agreement. The resulting interest earned on the Floor Plan Credit Agreement is recognized as an offset to our interest expense.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$15.0 million. There were no advances outstanding under this secured line of credit on June 30, 2022, however, $14.3 million was pledged to secure various letters of credit related to self-insurance products, leaving $0.7 million available for future borrowings as of June 30, 2022.</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long-term debt, floor plan financing agreements and the WF Credit Agreement require us to satisfy various financial ratios such as the leverage ratio, the asset coverage ratio and the fixed charge coverage ratio. As of June 30, 2022, we were in compliance with all debt covenants related to debt secured by lease and rental units, our floor plan credit agreements and the WF Credit Agreement. We do not anticipate any breach of the covenants in the foreseeable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commercial vehicles worth approximately $150.0 million to $170.0 million for our leasing operations during 2022, depending on customer demand, most of which will be financed. We also expect to make capital expenditures for the purchase of recurring items such as computers, shop tools and equipment and company vehicles of approximately $35.0 million to $40.0 million during 2022.</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2022, we paid a cash dividend of $10.5 million. Additionally, on July 26, 2022, our Board of Directors declared a cash dividend of $0.21 per share of Class A and Class B Common Stock, to be paid on September 12, 2022, to all shareholders of record as of August 12, 2022. The total dividend disbursement is estimated at approximately $11.6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30, 2021, we announced that our Board of Directors approved a new stock repurchase program authorizing management to repurchase, from time to time, up to an aggregate of $100.0 million of our shares of Class A Common Stock and/or Class B Common Stock. In connection with the adoption of the new stock repurchase plan, we terminated the prior stock repurchase plan, which was scheduled to expire on December 31, 2021.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June 30, 2022, we had repurchased $58.7 million of our shares of common stock under the current stock repurchase program. The current stock repurchase program expires on December 31, 2022, and may be suspended or discontinued at any time.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June 30, 2022.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by $68.5 million during the six months ended June 30, 2022 and increased by $3.9 million during the six months ended June 30, 2021. The major components of these changes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six months of 2022, operating activities resulted in net cash provided by operations of $58.2 million. Net cash provided by operating activities primarily consisted of $202.7 million in net income, as well as non-cash adjustments related to depreciation and amortization of $95.1 million, stock-based compensation of $18.0 million and the benefit for deferred income tax expense of $4.1 million. Cash provided by operating activities included an aggregate of $236.9 million net change in operating assets and liabilities. Included in the net change in operating assets and liabilities were cash inflows of $33.3 million from the increase in accounts payable and $18.6 million from the increase in accrued liabilities, which was offset by cash outflows of $85.1 million from the increase in accounts receivable, $193.0 million from the increase in inventories, $1.9 million from the increase in other assets, and $8.8 million from the decrease in customer deposits. The majority of our commercial vehicle inventory is financed through our floor plan credit agreements.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first six months of 2021, operating activities resulted in net cash provided by operations of $237.7 million. Net cash provided by operating activities primarily consisted of $103.4 million in net income, as well as non-cash adjustments related to depreciation and amortization of $84.9 million, stock-based compensation of $15.2 million and the benefit for deferred income tax expense of $14.6 million. Cash provided by operating activities included an aggregate of $50.0 million net change in operating assets and liabilities. Included in the net change in operating assets and liabilities were cash inflows of $76.8 million from the decrease in inventories, $12.0 million from the decrease in accounts receivable and $12.4 million from the increase in accounts payable, which was offset by cash outflows of $1.3 million from the increase in other assets, $26.2 million from the decrease in accrued liabilities and $23.7 million from the decrease in customer deposits.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first six months of 2022, cash used in investing activities was $94.2 million. Cash flows used in investing activities consist primarily of cash used for capital expenditures and the purchase of the additional 30% equity interest in RTC Canada. Capital expenditures were $107.2 million during the first six months of 2021 and consisted primarily of purchases of property and equipment and improvements to our existing dealership facilities. Property and equipment purchases during the first six months of 2021 included $71.4 million for additional units for the rental and leasing operations, the majority of which were directly offset by borrowings of long-term debt. Additionally, during the first six months of 2022, cash outflows consisted of $15.1 million related to the acquisition of the additional 30% equity interest in RTC Canada. The cash outflows were offset by the cash inflow of $27.5 million related to Cummins, Inc.’s acquisition of a 50% equity interest in Momentum Fuel Technologies.</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During the first six months of 2021, cash used in investing activities was $82.9 million. Cash flows used in investing activities consisted primarily of cash used for capital expenditures. Capital expenditures were $84.4 million during the first six months of 2021 and consisted primarily of purchases of property and equipment and improvements to our existing dealership facilities. Property and equipment purchases during the first six months of 2021 included $64.7 million for additional units for the rental and leasing operations, the majority of which were directly offset by borrowings of long-term debt.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non-trade. During the first six months of 2022, financing activities resulted in net cash used in financing of $104.6 million, primarily related to cash inflows of $8.1 million from the issuance of shares related to equity compensation plans, $190.5 million from net draws on floor plan notes payable, non-trade and borrowings of $571.3 million of long-term debt. These cash inflows were offset by $582.3 million used for principal repayments of long-term debt and capital lease obligations, $8.6 million for taxes related to net share settlement of equity awards, $52.8 million used for repurchases of common stock and $21.6 million used for payment of cash dividends. The borrowings of long-term debt were primarily related to purchasing units for the rental and leasing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first six months of 2021, financing activities resulted in net cash used in financing of $151.0 million, primarily related to cash inflows of $3.9 million from the issuance of shares related to equity compensation plans and borrowings of $52.3 million of long-term debt. These cash inflows were offset by $40.9 million from net payments on floor plan notes payable, non-trade, $135.6 million used for principal repayments of long-term debt and capital lease obligations, $10.8 million used for repurchases of common stock and $19.9 million used for payment of cash dividends. The borrowings of long-term debt were primarily related to purchasing units for the rental and leasing operations.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the WF Credit Agreement with the WF Lenders and the WF Agent. Pursuant to the terms of the WF Credit Agreement, the WF Lenders have agreed to make up to $250.0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SOFR rate plus (i) 1.25% or (ii) 1.5%, depending on our consolidated leverage ratio or (B) on or after the term SOFR transition date, the term SOFR rate plus (i) 1.25% or (ii)</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1.5%, depending on our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June 30, 2022, we had approximately $150.1 million outstanding under the WF Credit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 2021, we entered into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Advances under the PLC Agreement bear interest per annum, payable on the fifth day of the following month, at our option, at either (A) the prime rate, minus 1.55%, provided that the floating rate of interest is subject to a floor of 0%, or (B) a fixed rate, to be determined between us and PLC in each instance of borrowing at a fixed rate. The PLC Agreement expires on October 1, 2025, although either party has the right to terminate the PLC Agreement at any time upon 180 days written notice. If we terminate the PLC Agreement prior to October 1, 2025, then all payments will be deemed to be voluntary prepayments subject to a potential prepayment premium. On June 30, 2022, we had approximately $185.0 million outstanding under the PLC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days or less from the date the commercial vehicles are invoiced from the factory. On September 14, 2021, we entered into Floor Plan Credit Agreement with BMO Harris and the lenders signatory thereto. Prior to the Floor Plan Credit Agreement, we financed the majority of all new commercial vehicle inventory and the loan value of our used commercial vehicle inventory under the Fourth Amended and Restated Floor Plan Credit Agreement with BMO Harris and the majority of such financings will continue to occur under the Floor Plan Credit Agreement.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1.10% and are payable monthly. Loans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June 30, 2022, we had approximately $724.1 million outstanding under the Floor Plan Credit Agreement. The average daily outstanding borrowings under the Floor Plan Credit Agreement were $574.6 million during the three months ended June 30, 2022.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31, 2022, RTC Canada entered into that certain BMO Revolving Lease and Rental Credit Agreement (the “RTC Canada Revolving Agreement”) with Bank of Montreal (“BMO”). Pursuant to the terms of the RTC Canada Revolving Agreement, BMO agreed to make up to $140.0 million of revolving credit loans to finance certain of RTC Canada’s capital expenditures, including commercial vehicle purchases and other equipment to be leased or rented through RTC Canada’s Idealease franchise. Advances under the RTC Canada Revolving Agreement bear interest per annum, payable on the first business day of each calendar month, at the Canadian Dollar Offered Rate (CDOR), plus 1.35%. The RTC Canada Revolving Agreement expires September 14, 2026. On June 30, 2022, we had approximately $66.6 million outstanding under the RTC Canada Revolving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15, 2022, RTC Canada entered into that certain Amended and Restated BMO Wholesale Financing and Security Agreement (the “RTC Canada Floor Plan Agreement”) with BMO. Pursuant to the terms of the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under the RTC Canada Floor Plan Agreement bear interest per annum, payable on the first business day of each calendar month, at the Canadian Dollar Offered Rate (CDOR), plus 0.90% and in the case of an advance required to be made in USD dollars, at the London Interbank Offered Rate (LIBOR), plus 1.10%. The RTC Canada Floor Plan Agreement expires September 14, 2026.</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30, 2022, our backlog of commercial vehicle orders was approximately $3,682.9 million, as compared to a backlog of commercial vehicle orders of approximately $2,258.9 million on June 30, 2021. This increase in our backlog is primarily due to the Summit acquisition and the consolidation of RTC Canada into our operating results, in addition to production constraints experienced by the manufacturers we represent.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June 30, 2022, and we expect to fill the majority of our backlog orders during 2022 and the first quarter of 2023, assuming that the manufacturers we represent can meet their current production schedule. Our current backlog is the largest it has ever been in our Company’s history. Given the potential for industry headwinds in the coming months caused by lower spot rates and higher interest rates and fuel prices, which could negatively impact industry demand for new commercial vehicles moving forward, we believe that the longer it takes to fill our backlog, the greater the risk that a significant amount of commercial vehicle orders currently reflected in our backlog could be cancelled.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Aftermarket Products and Services operations historically have experienced higher sales volumes in the second and third quarters.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total U.S. retail sales of new Class 8 commercial vehicles have ranged from a low of approximately 110,000 in 2010,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6"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the California Air Resources Board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addition, in July 2020, a group of fifteen U.S. states and the District of Columbia entered into a joint memorandum of understanding that commits each of them to work together to advance and accelerate the market for electric Class 3 through 8 commercial vehicles; two additional states have since signed. Five of the states that signed are states where we operate new commercial vehicle dealerships: California, Colorado, Nevada, North Carolina and Virginia. The signatories to the memorandum all agreed on a goal of ensuring that 100% of new Class 3 through 8 commercial vehicles are zero emission by 2050, with an interim target of 30% zero emission by 2030. Attaining these goals would likely require the adoption of new laws and regulations and we cannot predict at this time whether such laws and regulations would have an adverse impact on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 through interest rates related to our floor plan financing agreements, the WF Credit Agreement, the PLC Agreement and discount rates related to finance sales. Our floor plan debt is based on LIBOR and CDOR, the WF Credit Agreement is based on SOFR, the RTC Canada Revolving Agreement is based on CDOR and the PLC Agreement is based on the prime rate. As of June 30, 2022, we had floor plan borrowings and borrowings from WF, BMO and PLC in the amount of $1,253.5 million. Assuming an increase or decrease in LIBOR, SOFR, CDOR or the prime rate of 100 basis points, annual interest expense could correspondingly increase or decrease by approximately $12.5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June 30, 2022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three months ended June 30, 2022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June 30, 2022,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2021 Annual Report on Form 10-K (the “2021 Annual Report”) describes some of the risks and uncertainties associated with our business that have the potential to materially affect our business,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2021 Annual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make any unregistered sales of equity securities during the second quarter of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repurchase activity for the second quarter of 2022 is as follows: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5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18"/>
                <w:szCs w:val="18"/>
                <w:color w:val="auto"/>
              </w:rPr>
            </w:pPr>
          </w:p>
        </w:tc>
        <w:tc>
          <w:tcPr>
            <w:tcW w:w="15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00" w:type="dxa"/>
            <w:vAlign w:val="bottom"/>
          </w:tcPr>
          <w:p>
            <w:pPr>
              <w:spacing w:after="0"/>
              <w:rPr>
                <w:sz w:val="18"/>
                <w:szCs w:val="18"/>
                <w:color w:val="auto"/>
              </w:rPr>
            </w:pP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 (2)</w:t>
            </w:r>
          </w:p>
        </w:tc>
        <w:tc>
          <w:tcPr>
            <w:tcW w:w="200" w:type="dxa"/>
            <w:vAlign w:val="bottom"/>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 (3)</w:t>
            </w:r>
          </w:p>
        </w:tc>
        <w:tc>
          <w:tcPr>
            <w:tcW w:w="100" w:type="dxa"/>
            <w:vAlign w:val="bottom"/>
          </w:tcPr>
          <w:p>
            <w:pPr>
              <w:spacing w:after="0"/>
              <w:rPr>
                <w:sz w:val="20"/>
                <w:szCs w:val="20"/>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385,689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48.51</w:t>
            </w:r>
            <w:r>
              <w:rPr>
                <w:rFonts w:ascii="Times New Roman" w:cs="Times New Roman" w:eastAsia="Times New Roman" w:hAnsi="Times New Roman"/>
                <w:sz w:val="18"/>
                <w:szCs w:val="18"/>
                <w:b w:val="1"/>
                <w:bCs w:val="1"/>
                <w:color w:val="auto"/>
              </w:rPr>
              <w:t>(4)</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385,689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61,034,001</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May 31, 2022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237,217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49.89</w:t>
            </w:r>
            <w:r>
              <w:rPr>
                <w:rFonts w:ascii="Times New Roman" w:cs="Times New Roman" w:eastAsia="Times New Roman" w:hAnsi="Times New Roman"/>
                <w:sz w:val="18"/>
                <w:szCs w:val="18"/>
                <w:b w:val="1"/>
                <w:bCs w:val="1"/>
                <w:color w:val="auto"/>
              </w:rPr>
              <w:t>(5)</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237,217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49,192,297</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 2022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50.41</w:t>
            </w:r>
            <w:r>
              <w:rPr>
                <w:rFonts w:ascii="Times New Roman" w:cs="Times New Roman" w:eastAsia="Times New Roman" w:hAnsi="Times New Roman"/>
                <w:sz w:val="18"/>
                <w:szCs w:val="18"/>
                <w:b w:val="1"/>
                <w:bCs w:val="1"/>
                <w:color w:val="auto"/>
              </w:rPr>
              <w:t>(6)</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156,135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41,317,033</w:t>
            </w:r>
          </w:p>
        </w:tc>
      </w:tr>
      <w:tr>
        <w:trPr>
          <w:trHeight w:val="20"/>
        </w:trPr>
        <w:tc>
          <w:tcPr>
            <w:tcW w:w="4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779,041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hanging="812"/>
        <w:spacing w:after="0" w:line="261"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820" w:hanging="812"/>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A Common Stock and Class B Common Stock repurchased by the Company.</w:t>
      </w:r>
    </w:p>
    <w:p>
      <w:pPr>
        <w:spacing w:after="0" w:line="9" w:lineRule="exact"/>
        <w:rPr>
          <w:rFonts w:ascii="Times New Roman" w:cs="Times New Roman" w:eastAsia="Times New Roman" w:hAnsi="Times New Roman"/>
          <w:sz w:val="18"/>
          <w:szCs w:val="18"/>
          <w:color w:val="auto"/>
        </w:rPr>
      </w:pPr>
    </w:p>
    <w:p>
      <w:pPr>
        <w:ind w:left="820" w:hanging="812"/>
        <w:spacing w:after="0" w:line="250"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8, 2020, we announced the approval of a new stock repurchase program authorizing management to repurchase, from time to time, up to an aggregate of $100.0 million of our shares of Class A Common Stock and/or Class B Common Stock.</w:t>
      </w:r>
    </w:p>
    <w:p>
      <w:pPr>
        <w:ind w:left="820" w:right="40" w:hanging="812"/>
        <w:spacing w:after="0" w:line="250"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330,849 shares of Class A Common Stock at an average price paid per share of $48.76 and 54,840 shares of Class B Common Stock at an average price paid per share of $46.98.</w:t>
      </w:r>
    </w:p>
    <w:p>
      <w:pPr>
        <w:ind w:left="820" w:hanging="812"/>
        <w:spacing w:after="0" w:line="250"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117,160 shares of Class A Common Stock at an average price paid per share of $51.21 and 120,057 shares of Class B Common Stock at an average price paid per share of $48.60.</w:t>
      </w:r>
    </w:p>
    <w:p>
      <w:pPr>
        <w:ind w:left="820" w:hanging="812"/>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156,135 shares of Class B Common Stock at an average price paid per share of $50.41.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 Title</w:t>
            </w:r>
          </w:p>
        </w:tc>
        <w:tc>
          <w:tcPr>
            <w:tcW w:w="0" w:type="dxa"/>
            <w:vAlign w:val="bottom"/>
          </w:tcPr>
          <w:p>
            <w:pPr>
              <w:spacing w:after="0"/>
              <w:rPr>
                <w:sz w:val="1"/>
                <w:szCs w:val="1"/>
                <w:color w:val="auto"/>
              </w:rPr>
            </w:pPr>
          </w:p>
        </w:tc>
      </w:tr>
      <w:tr>
        <w:trPr>
          <w:trHeight w:val="196"/>
        </w:trPr>
        <w:tc>
          <w:tcPr>
            <w:tcW w:w="11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640" w:type="dxa"/>
            <w:vAlign w:val="bottom"/>
            <w:tcBorders>
              <w:top w:val="single" w:sz="8" w:color="auto"/>
              <w:bottom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0100" w:type="dxa"/>
            <w:vAlign w:val="bottom"/>
            <w:tcBorders>
              <w:bottom w:val="single" w:sz="8" w:color="0000EE"/>
            </w:tcBorders>
            <w:gridSpan w:val="17"/>
          </w:tcPr>
          <w:p>
            <w:pPr>
              <w:spacing w:after="0" w:line="15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Restated Articles of Incorporation of Rush Enterprises, Inc. (incorporated herein by reference to Exhibit 3.1 of the Company’s Quarterly</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Report on Form 10-Q (File No. 000-20797) for the quarter ended June 30, 2008)</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24"/>
                <w:szCs w:val="24"/>
                <w:color w:val="auto"/>
              </w:rPr>
            </w:pPr>
          </w:p>
        </w:tc>
        <w:tc>
          <w:tcPr>
            <w:tcW w:w="101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Rush Enterprises, Inc. Amended and Restated Bylaws (incorporated herein by reference to Exhibit 3.1 of the Company’s Current Report on</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Form 8-K (File No. 000-20797) filed May 21, 2013)</w:t>
              </w:r>
            </w:hyperlink>
          </w:p>
        </w:tc>
        <w:tc>
          <w:tcPr>
            <w:tcW w:w="6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3.3</w:t>
            </w:r>
          </w:p>
        </w:tc>
        <w:tc>
          <w:tcPr>
            <w:tcW w:w="240" w:type="dxa"/>
            <w:vAlign w:val="bottom"/>
          </w:tcPr>
          <w:p>
            <w:pPr>
              <w:spacing w:after="0"/>
              <w:rPr>
                <w:sz w:val="24"/>
                <w:szCs w:val="24"/>
                <w:color w:val="auto"/>
              </w:rPr>
            </w:pPr>
          </w:p>
        </w:tc>
        <w:tc>
          <w:tcPr>
            <w:tcW w:w="101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First Amendment to Amended and Restated Bylaws of Rush Enterprises, Inc. (incorporated herein by reference to Exhibit 3.1 of the</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Company’s Current Report on Form 8-K (File No. 000-20797) filed May 24, 2021)</w:t>
              </w:r>
            </w:hyperlink>
          </w:p>
        </w:tc>
        <w:tc>
          <w:tcPr>
            <w:tcW w:w="41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10100" w:type="dxa"/>
            <w:vAlign w:val="bottom"/>
            <w:gridSpan w:val="17"/>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Bank of Montreal Revolving Lease and Rental Credit Agreement, dated May 31, 2022 between Rush Truck Centres of Canada Limited and</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Bank of Montreal (incorporated herein by reference to Exhibit 10.1 of the Company’s Current Report on Form 8-K (File No. 000-20797)</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filed June 6, 2022)</w:t>
              </w:r>
            </w:hyperlink>
          </w:p>
        </w:tc>
        <w:tc>
          <w:tcPr>
            <w:tcW w:w="8500" w:type="dxa"/>
            <w:vAlign w:val="bottom"/>
            <w:tcBorders>
              <w:top w:val="single" w:sz="8" w:color="0000EE"/>
            </w:tcBorders>
            <w:gridSpan w:val="10"/>
          </w:tcPr>
          <w:p>
            <w:pPr>
              <w:spacing w:after="0"/>
              <w:rPr>
                <w:sz w:val="17"/>
                <w:szCs w:val="17"/>
                <w:color w:val="auto"/>
              </w:rPr>
            </w:pPr>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99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First Amended and Restated BMO Wholesale Financing and Security Agreement, dated as of July 15, 2022, between Rush Truck Centres</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of Canada Limited and Bank of Montreal (incorporated herein by reference to Exhibit 10.1 of the Company’s Current Report on Form 8-K</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(File No. 000-20797) filed July 21, 2022)</w:t>
              </w:r>
            </w:hyperlink>
          </w:p>
        </w:tc>
        <w:tc>
          <w:tcPr>
            <w:tcW w:w="6980" w:type="dxa"/>
            <w:vAlign w:val="bottom"/>
            <w:tcBorders>
              <w:top w:val="single" w:sz="8" w:color="0000EE"/>
            </w:tcBorders>
            <w:gridSpan w:val="11"/>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10100" w:type="dxa"/>
            <w:vAlign w:val="bottom"/>
            <w:gridSpan w:val="17"/>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Amended and Restated Guaranty Agreement, dated as of July 15, 2022, between Rush Enterprises, Inc. and Bank of Montreal (incorporated</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herein by reference to Exhibit 10.2 of the Company’s Current Report on Form 8-K (File No. 000-20797) filed July 21,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98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31.1*</w:t>
            </w:r>
          </w:p>
        </w:tc>
        <w:tc>
          <w:tcPr>
            <w:tcW w:w="240" w:type="dxa"/>
            <w:vAlign w:val="bottom"/>
          </w:tcPr>
          <w:p>
            <w:pPr>
              <w:spacing w:after="0"/>
              <w:rPr>
                <w:sz w:val="24"/>
                <w:szCs w:val="24"/>
                <w:color w:val="auto"/>
              </w:rPr>
            </w:pPr>
          </w:p>
        </w:tc>
        <w:tc>
          <w:tcPr>
            <w:tcW w:w="96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CEO pursuant to Rules 13a-14(a) and 15d-14(a) adopted pursuant to Section 302 of the Sarbanes-Oxley Act of 2002.</w:t>
            </w:r>
          </w:p>
        </w:tc>
        <w:tc>
          <w:tcPr>
            <w:tcW w:w="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31.2*</w:t>
            </w:r>
          </w:p>
        </w:tc>
        <w:tc>
          <w:tcPr>
            <w:tcW w:w="240" w:type="dxa"/>
            <w:vAlign w:val="bottom"/>
          </w:tcPr>
          <w:p>
            <w:pPr>
              <w:spacing w:after="0"/>
              <w:rPr>
                <w:sz w:val="24"/>
                <w:szCs w:val="24"/>
                <w:color w:val="auto"/>
              </w:rPr>
            </w:pPr>
          </w:p>
        </w:tc>
        <w:tc>
          <w:tcPr>
            <w:tcW w:w="95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CFO pursuant to Rules 13a-14(a) and 15d-14(a) adopted pursuant to Section 302 of the Sarbanes-Oxley Act of 2002.</w:t>
            </w:r>
          </w:p>
        </w:tc>
        <w:tc>
          <w:tcPr>
            <w:tcW w:w="5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6"/>
              </w:rPr>
              <w:t>32.1**</w:t>
            </w:r>
          </w:p>
        </w:tc>
        <w:tc>
          <w:tcPr>
            <w:tcW w:w="240" w:type="dxa"/>
            <w:vAlign w:val="bottom"/>
          </w:tcPr>
          <w:p>
            <w:pPr>
              <w:spacing w:after="0"/>
              <w:rPr>
                <w:sz w:val="24"/>
                <w:szCs w:val="24"/>
                <w:color w:val="auto"/>
              </w:rPr>
            </w:pPr>
          </w:p>
        </w:tc>
        <w:tc>
          <w:tcPr>
            <w:tcW w:w="92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CEO pursuant to 18 U.S.C. Section 1350 as adopted pursuant to Section 906 of the Sarbanes-Oxley Act of 2002.</w:t>
            </w:r>
          </w:p>
        </w:tc>
        <w:tc>
          <w:tcPr>
            <w:tcW w:w="8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6"/>
              </w:rPr>
              <w:t>32.2**</w:t>
            </w:r>
          </w:p>
        </w:tc>
        <w:tc>
          <w:tcPr>
            <w:tcW w:w="240" w:type="dxa"/>
            <w:vAlign w:val="bottom"/>
          </w:tcPr>
          <w:p>
            <w:pPr>
              <w:spacing w:after="0"/>
              <w:rPr>
                <w:sz w:val="24"/>
                <w:szCs w:val="24"/>
                <w:color w:val="auto"/>
              </w:rPr>
            </w:pPr>
          </w:p>
        </w:tc>
        <w:tc>
          <w:tcPr>
            <w:tcW w:w="92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CFO pursuant to 18 U.S.C. Section 1350 as adopted pursuant to Section 906 of the Sarbanes-Oxley Act of 2002.</w:t>
            </w:r>
          </w:p>
        </w:tc>
        <w:tc>
          <w:tcPr>
            <w:tcW w:w="8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right="100" w:hanging="652"/>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25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W.M. “RUSTY” RUSH</w:t>
            </w:r>
          </w:p>
        </w:tc>
        <w:tc>
          <w:tcPr>
            <w:tcW w:w="1260" w:type="dxa"/>
            <w:vAlign w:val="bottom"/>
          </w:tcPr>
          <w:p>
            <w:pPr>
              <w:spacing w:after="0"/>
              <w:rPr>
                <w:sz w:val="17"/>
                <w:szCs w:val="17"/>
                <w:color w:val="auto"/>
              </w:rPr>
            </w:pPr>
          </w:p>
        </w:tc>
      </w:tr>
      <w:tr>
        <w:trPr>
          <w:trHeight w:val="218"/>
        </w:trPr>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W.M. “Rusty” Rush</w:t>
            </w:r>
          </w:p>
        </w:tc>
      </w:tr>
      <w:tr>
        <w:trPr>
          <w:trHeight w:val="216"/>
        </w:trPr>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16"/>
        </w:trPr>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25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STEVEN L. KELLER</w:t>
            </w:r>
          </w:p>
        </w:tc>
        <w:tc>
          <w:tcPr>
            <w:tcW w:w="1360" w:type="dxa"/>
            <w:vAlign w:val="bottom"/>
            <w:gridSpan w:val="2"/>
          </w:tcPr>
          <w:p>
            <w:pPr>
              <w:spacing w:after="0"/>
              <w:rPr>
                <w:sz w:val="24"/>
                <w:szCs w:val="24"/>
                <w:color w:val="auto"/>
              </w:rPr>
            </w:pPr>
          </w:p>
        </w:tc>
      </w:tr>
      <w:tr>
        <w:trPr>
          <w:trHeight w:val="218"/>
        </w:trPr>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Keller</w:t>
            </w:r>
          </w:p>
        </w:tc>
      </w:tr>
      <w:tr>
        <w:trPr>
          <w:trHeight w:val="216"/>
        </w:trPr>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432"/>
        </w:trPr>
        <w:tc>
          <w:tcPr>
            <w:tcW w:w="3560" w:type="dxa"/>
            <w:vAlign w:val="bottom"/>
          </w:tcPr>
          <w:p>
            <w:pPr>
              <w:spacing w:after="0"/>
              <w:rPr>
                <w:sz w:val="24"/>
                <w:szCs w:val="24"/>
                <w:color w:val="auto"/>
              </w:rPr>
            </w:pPr>
          </w:p>
        </w:tc>
        <w:tc>
          <w:tcPr>
            <w:tcW w:w="2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25" w:lineRule="exact"/>
        <w:rPr>
          <w:sz w:val="20"/>
          <w:szCs w:val="20"/>
          <w:color w:val="auto"/>
        </w:rPr>
      </w:pPr>
    </w:p>
    <w:p>
      <w:pPr>
        <w:ind w:left="540" w:hanging="532"/>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5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51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8"/>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84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5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560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8"/>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36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June 30,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President, Chief Executive Officer and Chairman of the Board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W.M. “RUSTY” RUSH</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Name:W.M. “Rusty” Rush</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President, Chief Executive Officer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June 30,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STEVEN L. KELLER</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Name:Steven L. Keller</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6" Type="http://schemas.openxmlformats.org/officeDocument/2006/relationships/image" Target="media/image43.png"/><Relationship Id="rId50" Type="http://schemas.openxmlformats.org/officeDocument/2006/relationships/hyperlink" Target="http://www.sec.gov/Archives/edgar/data/1012019/000110465908051789/a08-18770_1ex3d1.htm" TargetMode="External"/><Relationship Id="rId51" Type="http://schemas.openxmlformats.org/officeDocument/2006/relationships/hyperlink" Target="http://www.sec.gov/Archives/edgar/data/1012019/000143774913006455/rusha20130517_8kex3-1.htm" TargetMode="External"/><Relationship Id="rId52" Type="http://schemas.openxmlformats.org/officeDocument/2006/relationships/hyperlink" Target="http://www.sec.gov/ix?doc=/Archives/edgar/data/1012019/000143774921013172/rusha20210524_8k.htm" TargetMode="External"/><Relationship Id="rId53" Type="http://schemas.openxmlformats.org/officeDocument/2006/relationships/hyperlink" Target="http://www.sec.gov/Archives/edgar/data/1012019/000143774922014419/ex_384030.htm" TargetMode="External"/><Relationship Id="rId54" Type="http://schemas.openxmlformats.org/officeDocument/2006/relationships/hyperlink" Target="http://www.sec.gov/Archives/edgar/data/1012019/000143774922017535/ex_397875.htm" TargetMode="External"/><Relationship Id="rId55" Type="http://schemas.openxmlformats.org/officeDocument/2006/relationships/hyperlink" Target="http://www.sec.gov/Archives/edgar/data/1012019/000143774922017535/ex_3978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2022-08-09T14:30:38Z</dcterms:created>
  <dcterms:modified xsi:type="dcterms:W3CDTF">2022-08-09T14:30:38Z</dcterms:modified>
</cp:coreProperties>
</file>