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0-20797</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RUSH ENTERPRISES,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460" w:type="dxa"/>
            <w:vAlign w:val="bottom"/>
          </w:tcPr>
          <w:p>
            <w:pPr>
              <w:jc w:val="center"/>
              <w:ind w:right="1070"/>
              <w:spacing w:after="0"/>
              <w:rPr>
                <w:sz w:val="20"/>
                <w:szCs w:val="20"/>
                <w:color w:val="auto"/>
              </w:rPr>
            </w:pPr>
            <w:r>
              <w:rPr>
                <w:rFonts w:ascii="Arial" w:cs="Arial" w:eastAsia="Arial" w:hAnsi="Arial"/>
                <w:sz w:val="18"/>
                <w:szCs w:val="18"/>
                <w:b w:val="1"/>
                <w:bCs w:val="1"/>
                <w:color w:val="auto"/>
                <w:w w:val="82"/>
              </w:rPr>
              <w:t>Texas</w:t>
            </w:r>
          </w:p>
        </w:tc>
        <w:tc>
          <w:tcPr>
            <w:tcW w:w="3840" w:type="dxa"/>
            <w:vAlign w:val="bottom"/>
          </w:tcPr>
          <w:p>
            <w:pPr>
              <w:jc w:val="right"/>
              <w:ind w:right="810"/>
              <w:spacing w:after="0"/>
              <w:rPr>
                <w:sz w:val="20"/>
                <w:szCs w:val="20"/>
                <w:color w:val="auto"/>
              </w:rPr>
            </w:pPr>
            <w:r>
              <w:rPr>
                <w:rFonts w:ascii="Arial" w:cs="Arial" w:eastAsia="Arial" w:hAnsi="Arial"/>
                <w:sz w:val="18"/>
                <w:szCs w:val="18"/>
                <w:b w:val="1"/>
                <w:bCs w:val="1"/>
                <w:color w:val="auto"/>
              </w:rPr>
              <w:t>74-1733016</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40" w:type="dxa"/>
            <w:vAlign w:val="bottom"/>
          </w:tcPr>
          <w:p>
            <w:pPr>
              <w:jc w:val="center"/>
              <w:ind w:left="1090"/>
              <w:spacing w:after="0"/>
              <w:rPr>
                <w:sz w:val="20"/>
                <w:szCs w:val="20"/>
                <w:color w:val="auto"/>
              </w:rPr>
            </w:pPr>
            <w:r>
              <w:rPr>
                <w:rFonts w:ascii="Arial" w:cs="Arial" w:eastAsia="Arial" w:hAnsi="Arial"/>
                <w:sz w:val="18"/>
                <w:szCs w:val="18"/>
                <w:color w:val="auto"/>
                <w:w w:val="94"/>
              </w:rPr>
              <w:t>(I.R. S. Employer Identification No.)</w:t>
            </w:r>
          </w:p>
        </w:tc>
      </w:tr>
      <w:tr>
        <w:trPr>
          <w:trHeight w:val="418"/>
        </w:trPr>
        <w:tc>
          <w:tcPr>
            <w:tcW w:w="5460" w:type="dxa"/>
            <w:vAlign w:val="bottom"/>
          </w:tcPr>
          <w:p>
            <w:pPr>
              <w:jc w:val="center"/>
              <w:ind w:right="1070"/>
              <w:spacing w:after="0"/>
              <w:rPr>
                <w:sz w:val="20"/>
                <w:szCs w:val="20"/>
                <w:color w:val="auto"/>
              </w:rPr>
            </w:pPr>
            <w:r>
              <w:rPr>
                <w:rFonts w:ascii="Arial" w:cs="Arial" w:eastAsia="Arial" w:hAnsi="Arial"/>
                <w:sz w:val="18"/>
                <w:szCs w:val="18"/>
                <w:b w:val="1"/>
                <w:bCs w:val="1"/>
                <w:color w:val="auto"/>
                <w:w w:val="93"/>
              </w:rPr>
              <w:t>555 IH 35 South, New Braunfels, TX</w:t>
            </w:r>
          </w:p>
        </w:tc>
        <w:tc>
          <w:tcPr>
            <w:tcW w:w="3840" w:type="dxa"/>
            <w:vAlign w:val="bottom"/>
          </w:tcPr>
          <w:p>
            <w:pPr>
              <w:jc w:val="right"/>
              <w:ind w:right="1030"/>
              <w:spacing w:after="0"/>
              <w:rPr>
                <w:sz w:val="20"/>
                <w:szCs w:val="20"/>
                <w:color w:val="auto"/>
              </w:rPr>
            </w:pPr>
            <w:r>
              <w:rPr>
                <w:rFonts w:ascii="Arial" w:cs="Arial" w:eastAsia="Arial" w:hAnsi="Arial"/>
                <w:sz w:val="18"/>
                <w:szCs w:val="18"/>
                <w:b w:val="1"/>
                <w:bCs w:val="1"/>
                <w:color w:val="auto"/>
              </w:rPr>
              <w:t>78130</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(830) 626-5200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and Class B Common Stock, $.01 par value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1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ind w:left="4900"/>
        <w:spacing w:after="0" w:line="207" w:lineRule="exact"/>
        <w:tabs>
          <w:tab w:leader="none" w:pos="6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w:t>
      </w:r>
    </w:p>
    <w:p>
      <w:pPr>
        <w:spacing w:after="0" w:line="18" w:lineRule="exact"/>
        <w:rPr>
          <w:sz w:val="24"/>
          <w:szCs w:val="24"/>
          <w:color w:val="auto"/>
        </w:rPr>
      </w:pPr>
    </w:p>
    <w:p>
      <w:pPr>
        <w:ind w:left="4900"/>
        <w:spacing w:after="0" w:line="207" w:lineRule="exact"/>
        <w:tabs>
          <w:tab w:leader="none" w:pos="6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right="120" w:firstLine="324"/>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860"/>
        <w:spacing w:after="0" w:line="207" w:lineRule="exact"/>
        <w:tabs>
          <w:tab w:leader="none" w:pos="61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216" w:lineRule="exact"/>
        <w:rPr>
          <w:sz w:val="24"/>
          <w:szCs w:val="24"/>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81" w:lineRule="exact"/>
        <w:rPr>
          <w:sz w:val="24"/>
          <w:szCs w:val="24"/>
          <w:color w:val="auto"/>
        </w:rPr>
      </w:pPr>
    </w:p>
    <w:p>
      <w:pPr>
        <w:ind w:right="280" w:firstLine="324"/>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2" w:lineRule="exact"/>
        <w:rPr>
          <w:sz w:val="24"/>
          <w:szCs w:val="24"/>
          <w:color w:val="auto"/>
        </w:rPr>
      </w:pPr>
    </w:p>
    <w:p>
      <w:pPr>
        <w:ind w:left="660"/>
        <w:spacing w:after="0" w:line="207" w:lineRule="exact"/>
        <w:tabs>
          <w:tab w:leader="none" w:pos="3220" w:val="left"/>
          <w:tab w:leader="none" w:pos="5380" w:val="left"/>
          <w:tab w:leader="none" w:pos="600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5"/>
          <w:szCs w:val="5"/>
          <w:color w:val="auto"/>
        </w:rPr>
        <w:t>&amp;# 160;</w:t>
      </w:r>
      <w:r>
        <w:rPr>
          <w:sz w:val="20"/>
          <w:szCs w:val="20"/>
          <w:color w:val="auto"/>
        </w:rPr>
        <w:tab/>
      </w:r>
      <w:r>
        <w:rPr>
          <w:rFonts w:ascii="Arial" w:cs="Arial" w:eastAsia="Arial" w:hAnsi="Arial"/>
          <w:sz w:val="17"/>
          <w:szCs w:val="17"/>
          <w:color w:val="auto"/>
        </w:rPr>
        <w:t>Non-accelerated filer o</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4900"/>
        <w:spacing w:after="0" w:line="207" w:lineRule="exact"/>
        <w:tabs>
          <w:tab w:leader="none" w:pos="614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ind w:firstLine="324"/>
        <w:spacing w:after="0" w:line="232" w:lineRule="auto"/>
        <w:rPr>
          <w:sz w:val="20"/>
          <w:szCs w:val="20"/>
          <w:color w:val="auto"/>
        </w:rPr>
      </w:pPr>
      <w:r>
        <w:rPr>
          <w:rFonts w:ascii="Arial" w:cs="Arial" w:eastAsia="Arial" w:hAnsi="Arial"/>
          <w:sz w:val="18"/>
          <w:szCs w:val="18"/>
          <w:color w:val="auto"/>
        </w:rPr>
        <w:t>The aggregate market value of common stock held by non-affiliates of the registrant as of June 30, 2005 was approximately $286,614,665 based upon the last sales price on June 30, 2005 on The NASDAQ National Market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of $13.40 for the registrant’s Class A Common Stock and $13.41 for the registrant’s Class B Common Stock.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w:t>
      </w:r>
    </w:p>
    <w:p>
      <w:pPr>
        <w:spacing w:after="0" w:line="203" w:lineRule="exact"/>
        <w:rPr>
          <w:sz w:val="24"/>
          <w:szCs w:val="24"/>
          <w:color w:val="auto"/>
        </w:rPr>
      </w:pPr>
    </w:p>
    <w:p>
      <w:pPr>
        <w:ind w:left="340"/>
        <w:spacing w:after="0"/>
        <w:rPr>
          <w:sz w:val="20"/>
          <w:szCs w:val="20"/>
          <w:color w:val="auto"/>
        </w:rPr>
      </w:pPr>
      <w:r>
        <w:rPr>
          <w:rFonts w:ascii="Arial" w:cs="Arial" w:eastAsia="Arial" w:hAnsi="Arial"/>
          <w:sz w:val="17"/>
          <w:szCs w:val="17"/>
          <w:color w:val="auto"/>
        </w:rPr>
        <w:t>The registrant had 16,795,765 shares of Class A Common Stock and 7,902,275 shares of Class B Common Stock outstanding on March 1, 2006.</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5" w:lineRule="exact"/>
        <w:rPr>
          <w:sz w:val="24"/>
          <w:szCs w:val="24"/>
          <w:color w:val="auto"/>
        </w:rPr>
      </w:pPr>
    </w:p>
    <w:p>
      <w:pPr>
        <w:jc w:val="center"/>
        <w:ind w:left="260" w:right="240"/>
        <w:spacing w:after="0" w:line="282" w:lineRule="auto"/>
        <w:rPr>
          <w:sz w:val="20"/>
          <w:szCs w:val="20"/>
          <w:color w:val="auto"/>
        </w:rPr>
      </w:pPr>
      <w:r>
        <w:rPr>
          <w:rFonts w:ascii="Arial" w:cs="Arial" w:eastAsia="Arial" w:hAnsi="Arial"/>
          <w:sz w:val="18"/>
          <w:szCs w:val="18"/>
          <w:b w:val="1"/>
          <w:bCs w:val="1"/>
          <w:color w:val="auto"/>
        </w:rPr>
        <w:t>Portions of registrant’s definitive proxy statement for the registrant’s 2006 Annual Meeting of Shareholders, to be filed with the Securities and Exchange Commission not later than April 30, 2006,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182880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421005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585" w:right="259" w:bottom="662" w:gutter="0" w:footer="0" w:header="0"/>
        </w:sectPr>
      </w:pPr>
    </w:p>
    <w:bookmarkStart w:id="1" w:name="page2"/>
    <w:bookmarkEnd w:id="1"/>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0" w:type="dxa"/>
            <w:vAlign w:val="bottom"/>
            <w:gridSpan w:val="17"/>
          </w:tcPr>
          <w:p>
            <w:pPr>
              <w:jc w:val="center"/>
              <w:ind w:right="4460"/>
              <w:spacing w:after="0"/>
              <w:rPr>
                <w:sz w:val="20"/>
                <w:szCs w:val="20"/>
                <w:color w:val="auto"/>
              </w:rPr>
            </w:pPr>
            <w:r>
              <w:rPr>
                <w:rFonts w:ascii="Arial" w:cs="Arial" w:eastAsia="Arial" w:hAnsi="Arial"/>
                <w:sz w:val="18"/>
                <w:szCs w:val="18"/>
                <w:b w:val="1"/>
                <w:bCs w:val="1"/>
                <w:color w:val="auto"/>
                <w:w w:val="98"/>
              </w:rPr>
              <w:t>RUSH ENTERPRISES, INC.</w:t>
            </w:r>
          </w:p>
        </w:tc>
      </w:tr>
      <w:tr>
        <w:trPr>
          <w:trHeight w:val="432"/>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540" w:type="dxa"/>
            <w:vAlign w:val="bottom"/>
            <w:gridSpan w:val="14"/>
          </w:tcPr>
          <w:p>
            <w:pPr>
              <w:jc w:val="center"/>
              <w:ind w:right="4920"/>
              <w:spacing w:after="0"/>
              <w:rPr>
                <w:sz w:val="20"/>
                <w:szCs w:val="20"/>
                <w:color w:val="auto"/>
              </w:rPr>
            </w:pPr>
            <w:r>
              <w:rPr>
                <w:rFonts w:ascii="Arial" w:cs="Arial" w:eastAsia="Arial" w:hAnsi="Arial"/>
                <w:sz w:val="18"/>
                <w:szCs w:val="18"/>
                <w:b w:val="1"/>
                <w:bCs w:val="1"/>
                <w:color w:val="auto"/>
                <w:w w:val="94"/>
              </w:rPr>
              <w:t>Index to Form 10-K</w:t>
            </w:r>
          </w:p>
        </w:tc>
      </w:tr>
      <w:tr>
        <w:trPr>
          <w:trHeight w:val="432"/>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0" w:type="dxa"/>
            <w:vAlign w:val="bottom"/>
            <w:gridSpan w:val="17"/>
          </w:tcPr>
          <w:p>
            <w:pPr>
              <w:jc w:val="center"/>
              <w:ind w:right="4440"/>
              <w:spacing w:after="0"/>
              <w:rPr>
                <w:sz w:val="20"/>
                <w:szCs w:val="20"/>
                <w:color w:val="auto"/>
              </w:rPr>
            </w:pPr>
            <w:r>
              <w:rPr>
                <w:rFonts w:ascii="Arial" w:cs="Arial" w:eastAsia="Arial" w:hAnsi="Arial"/>
                <w:sz w:val="18"/>
                <w:szCs w:val="18"/>
                <w:b w:val="1"/>
                <w:bCs w:val="1"/>
                <w:color w:val="auto"/>
                <w:w w:val="89"/>
              </w:rPr>
              <w:t>Year ended December 31, 2005</w:t>
            </w:r>
          </w:p>
        </w:tc>
      </w:tr>
      <w:tr>
        <w:trPr>
          <w:trHeight w:val="392"/>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60" w:type="dxa"/>
            <w:vAlign w:val="bottom"/>
            <w:gridSpan w:val="9"/>
          </w:tcPr>
          <w:p>
            <w:pPr>
              <w:jc w:val="center"/>
              <w:ind w:right="540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Item 1</w:t>
              </w:r>
            </w:hyperlink>
          </w:p>
        </w:tc>
        <w:tc>
          <w:tcPr>
            <w:tcW w:w="780" w:type="dxa"/>
            <w:vAlign w:val="bottom"/>
            <w:gridSpan w:val="3"/>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660" w:type="dxa"/>
            <w:vAlign w:val="bottom"/>
            <w:gridSpan w:val="18"/>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0" w:type="dxa"/>
            <w:vAlign w:val="bottom"/>
            <w:gridSpan w:val="8"/>
          </w:tcPr>
          <w:p>
            <w:pPr>
              <w:spacing w:after="0"/>
              <w:rPr>
                <w:sz w:val="24"/>
                <w:szCs w:val="24"/>
                <w:color w:val="auto"/>
              </w:rPr>
            </w:pPr>
          </w:p>
        </w:tc>
      </w:tr>
      <w:tr>
        <w:trPr>
          <w:trHeight w:val="196"/>
        </w:trPr>
        <w:tc>
          <w:tcPr>
            <w:tcW w:w="620" w:type="dxa"/>
            <w:vAlign w:val="bottom"/>
            <w:gridSpan w:val="4"/>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Item 1A</w:t>
              </w:r>
            </w:hyperlink>
          </w:p>
        </w:tc>
        <w:tc>
          <w:tcPr>
            <w:tcW w:w="6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620" w:type="dxa"/>
            <w:vAlign w:val="bottom"/>
            <w:gridSpan w:val="4"/>
          </w:tcPr>
          <w:p>
            <w:pPr>
              <w:spacing w:after="0" w:line="196" w:lineRule="exact"/>
              <w:rPr>
                <w:rFonts w:ascii="Arial" w:cs="Arial" w:eastAsia="Arial" w:hAnsi="Arial"/>
                <w:sz w:val="18"/>
                <w:szCs w:val="18"/>
                <w:color w:val="0000EE"/>
                <w:w w:val="93"/>
              </w:rPr>
            </w:pPr>
            <w:hyperlink w:anchor="page14">
              <w:r>
                <w:rPr>
                  <w:rFonts w:ascii="Arial" w:cs="Arial" w:eastAsia="Arial" w:hAnsi="Arial"/>
                  <w:sz w:val="18"/>
                  <w:szCs w:val="18"/>
                  <w:color w:val="0000EE"/>
                  <w:w w:val="93"/>
                </w:rPr>
                <w:t>Item 1B</w:t>
              </w:r>
            </w:hyperlink>
          </w:p>
        </w:tc>
        <w:tc>
          <w:tcPr>
            <w:tcW w:w="6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Unresolved Staff Comments</w:t>
              </w:r>
            </w:hyperlink>
          </w:p>
        </w:tc>
      </w:tr>
      <w:tr>
        <w:trPr>
          <w:trHeight w:val="196"/>
        </w:trPr>
        <w:tc>
          <w:tcPr>
            <w:tcW w:w="480" w:type="dxa"/>
            <w:vAlign w:val="bottom"/>
            <w:tcBorders>
              <w:top w:val="single" w:sz="8" w:color="0000EE"/>
            </w:tcBorders>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2</w:t>
              </w:r>
            </w:hyperlink>
          </w:p>
        </w:tc>
        <w:tc>
          <w:tcPr>
            <w:tcW w:w="140" w:type="dxa"/>
            <w:vAlign w:val="bottom"/>
            <w:tcBorders>
              <w:top w:val="single" w:sz="8" w:color="0000EE"/>
            </w:tcBorders>
            <w:gridSpan w:val="3"/>
          </w:tcPr>
          <w:p>
            <w:pPr>
              <w:spacing w:after="0"/>
              <w:rPr>
                <w:sz w:val="17"/>
                <w:szCs w:val="17"/>
                <w:color w:val="auto"/>
              </w:rPr>
            </w:pPr>
          </w:p>
        </w:tc>
        <w:tc>
          <w:tcPr>
            <w:tcW w:w="660" w:type="dxa"/>
            <w:vAlign w:val="bottom"/>
          </w:tcPr>
          <w:p>
            <w:pPr>
              <w:spacing w:after="0"/>
              <w:rPr>
                <w:sz w:val="17"/>
                <w:szCs w:val="17"/>
                <w:color w:val="auto"/>
              </w:rPr>
            </w:pP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8120" w:type="dxa"/>
            <w:vAlign w:val="bottom"/>
            <w:gridSpan w:val="19"/>
          </w:tcPr>
          <w:p>
            <w:pPr>
              <w:spacing w:after="0"/>
              <w:rPr>
                <w:sz w:val="17"/>
                <w:szCs w:val="17"/>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96"/>
        </w:trPr>
        <w:tc>
          <w:tcPr>
            <w:tcW w:w="48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Item 3</w:t>
              </w:r>
            </w:hyperlink>
          </w:p>
        </w:tc>
        <w:tc>
          <w:tcPr>
            <w:tcW w:w="800" w:type="dxa"/>
            <w:vAlign w:val="bottom"/>
            <w:gridSpan w:val="4"/>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Legal Proceedings</w:t>
              </w:r>
            </w:hyperlink>
          </w:p>
        </w:tc>
        <w:tc>
          <w:tcPr>
            <w:tcW w:w="8820" w:type="dxa"/>
            <w:vAlign w:val="bottom"/>
            <w:gridSpan w:val="23"/>
          </w:tcPr>
          <w:p>
            <w:pPr>
              <w:spacing w:after="0"/>
              <w:rPr>
                <w:sz w:val="17"/>
                <w:szCs w:val="17"/>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Item 4</w:t>
              </w:r>
            </w:hyperlink>
          </w:p>
        </w:tc>
        <w:tc>
          <w:tcPr>
            <w:tcW w:w="10160" w:type="dxa"/>
            <w:vAlign w:val="bottom"/>
            <w:gridSpan w:val="2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Submission of Matters to a Vote of Security Holders</w:t>
              </w:r>
            </w:hyperlink>
          </w:p>
        </w:tc>
      </w:tr>
      <w:tr>
        <w:trPr>
          <w:trHeight w:val="412"/>
        </w:trPr>
        <w:tc>
          <w:tcPr>
            <w:tcW w:w="4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5360" w:type="dxa"/>
            <w:vAlign w:val="bottom"/>
            <w:gridSpan w:val="7"/>
          </w:tcPr>
          <w:p>
            <w:pPr>
              <w:spacing w:after="0"/>
              <w:rPr>
                <w:sz w:val="24"/>
                <w:szCs w:val="24"/>
                <w:color w:val="auto"/>
              </w:rPr>
            </w:pP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16">
              <w:r>
                <w:rPr>
                  <w:rFonts w:ascii="Arial" w:cs="Arial" w:eastAsia="Arial" w:hAnsi="Arial"/>
                  <w:sz w:val="18"/>
                  <w:szCs w:val="18"/>
                  <w:color w:val="0000EE"/>
                  <w:w w:val="95"/>
                </w:rPr>
                <w:t>Item 5</w:t>
              </w:r>
            </w:hyperlink>
          </w:p>
        </w:tc>
        <w:tc>
          <w:tcPr>
            <w:tcW w:w="780" w:type="dxa"/>
            <w:vAlign w:val="bottom"/>
            <w:gridSpan w:val="3"/>
          </w:tcPr>
          <w:p>
            <w:pPr>
              <w:spacing w:after="0"/>
              <w:rPr>
                <w:sz w:val="24"/>
                <w:szCs w:val="24"/>
                <w:color w:val="auto"/>
              </w:rPr>
            </w:pPr>
          </w:p>
        </w:tc>
        <w:tc>
          <w:tcPr>
            <w:tcW w:w="808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Market for Registrant’s Common Equity, Related Shareholder Matters and Issuer Purchases of Equity Securities</w:t>
              </w:r>
            </w:hyperlink>
          </w:p>
        </w:tc>
        <w:tc>
          <w:tcPr>
            <w:tcW w:w="2080" w:type="dxa"/>
            <w:vAlign w:val="bottom"/>
          </w:tcPr>
          <w:p>
            <w:pPr>
              <w:spacing w:after="0"/>
              <w:rPr>
                <w:sz w:val="24"/>
                <w:szCs w:val="24"/>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95"/>
              </w:rPr>
            </w:pPr>
            <w:hyperlink r:id="rId13">
              <w:r>
                <w:rPr>
                  <w:rFonts w:ascii="Arial" w:cs="Arial" w:eastAsia="Arial" w:hAnsi="Arial"/>
                  <w:sz w:val="18"/>
                  <w:szCs w:val="18"/>
                  <w:color w:val="0000EE"/>
                  <w:w w:val="95"/>
                </w:rPr>
                <w:t>Item 6</w:t>
              </w:r>
            </w:hyperlink>
          </w:p>
        </w:tc>
        <w:tc>
          <w:tcPr>
            <w:tcW w:w="780" w:type="dxa"/>
            <w:vAlign w:val="bottom"/>
            <w:gridSpan w:val="3"/>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r:id="rId13">
              <w:r>
                <w:rPr>
                  <w:rFonts w:ascii="Arial" w:cs="Arial" w:eastAsia="Arial" w:hAnsi="Arial"/>
                  <w:sz w:val="18"/>
                  <w:szCs w:val="18"/>
                  <w:color w:val="0000EE"/>
                </w:rPr>
                <w:t>Selected Financial Data</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r:id="rId14">
              <w:r>
                <w:rPr>
                  <w:rFonts w:ascii="Arial" w:cs="Arial" w:eastAsia="Arial" w:hAnsi="Arial"/>
                  <w:sz w:val="18"/>
                  <w:szCs w:val="18"/>
                  <w:color w:val="0000EE"/>
                  <w:w w:val="95"/>
                </w:rPr>
                <w:t>Item 7</w:t>
              </w:r>
            </w:hyperlink>
          </w:p>
        </w:tc>
        <w:tc>
          <w:tcPr>
            <w:tcW w:w="780" w:type="dxa"/>
            <w:vAlign w:val="bottom"/>
            <w:gridSpan w:val="3"/>
          </w:tcPr>
          <w:p>
            <w:pPr>
              <w:spacing w:after="0"/>
              <w:rPr>
                <w:sz w:val="17"/>
                <w:szCs w:val="17"/>
                <w:color w:val="auto"/>
              </w:rPr>
            </w:pPr>
          </w:p>
        </w:tc>
        <w:tc>
          <w:tcPr>
            <w:tcW w:w="6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4">
              <w:r>
                <w:rPr>
                  <w:rFonts w:ascii="Arial" w:cs="Arial" w:eastAsia="Arial" w:hAnsi="Arial"/>
                  <w:sz w:val="18"/>
                  <w:szCs w:val="18"/>
                  <w:color w:val="0000EE"/>
                  <w:w w:val="90"/>
                </w:rPr>
                <w:t>Management’s Discussion and Analysis of Financial Condition and Results of Operations</w:t>
              </w:r>
            </w:hyperlink>
          </w:p>
        </w:tc>
        <w:tc>
          <w:tcPr>
            <w:tcW w:w="3700" w:type="dxa"/>
            <w:vAlign w:val="bottom"/>
            <w:gridSpan w:val="4"/>
          </w:tcPr>
          <w:p>
            <w:pPr>
              <w:spacing w:after="0"/>
              <w:rPr>
                <w:sz w:val="17"/>
                <w:szCs w:val="17"/>
                <w:color w:val="auto"/>
              </w:rPr>
            </w:pPr>
          </w:p>
        </w:tc>
      </w:tr>
      <w:tr>
        <w:trPr>
          <w:trHeight w:val="196"/>
        </w:trPr>
        <w:tc>
          <w:tcPr>
            <w:tcW w:w="620" w:type="dxa"/>
            <w:vAlign w:val="bottom"/>
            <w:gridSpan w:val="4"/>
          </w:tcPr>
          <w:p>
            <w:pPr>
              <w:spacing w:after="0" w:line="196" w:lineRule="exact"/>
              <w:rPr>
                <w:rFonts w:ascii="Arial" w:cs="Arial" w:eastAsia="Arial" w:hAnsi="Arial"/>
                <w:sz w:val="18"/>
                <w:szCs w:val="18"/>
                <w:color w:val="0000EE"/>
                <w:w w:val="93"/>
              </w:rPr>
            </w:pPr>
            <w:hyperlink r:id="rId15">
              <w:r>
                <w:rPr>
                  <w:rFonts w:ascii="Arial" w:cs="Arial" w:eastAsia="Arial" w:hAnsi="Arial"/>
                  <w:sz w:val="18"/>
                  <w:szCs w:val="18"/>
                  <w:color w:val="0000EE"/>
                  <w:w w:val="93"/>
                </w:rPr>
                <w:t>Item 7A</w:t>
              </w:r>
            </w:hyperlink>
          </w:p>
        </w:tc>
        <w:tc>
          <w:tcPr>
            <w:tcW w:w="6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r:id="rId15">
              <w:r>
                <w:rPr>
                  <w:rFonts w:ascii="Arial" w:cs="Arial" w:eastAsia="Arial" w:hAnsi="Arial"/>
                  <w:sz w:val="18"/>
                  <w:szCs w:val="18"/>
                  <w:color w:val="0000EE"/>
                </w:rPr>
                <w:t>Quantitative and Qualitative Disclosures about Market Risk</w:t>
              </w:r>
            </w:hyperlink>
          </w:p>
        </w:tc>
      </w:tr>
      <w:tr>
        <w:trPr>
          <w:trHeight w:val="196"/>
        </w:trPr>
        <w:tc>
          <w:tcPr>
            <w:tcW w:w="5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Item 8</w:t>
              </w:r>
            </w:hyperlink>
          </w:p>
        </w:tc>
        <w:tc>
          <w:tcPr>
            <w:tcW w:w="6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43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Financial Statements and Supplementary Data</w:t>
              </w:r>
            </w:hyperlink>
          </w:p>
        </w:tc>
        <w:tc>
          <w:tcPr>
            <w:tcW w:w="5860" w:type="dxa"/>
            <w:vAlign w:val="bottom"/>
            <w:gridSpan w:val="9"/>
          </w:tcPr>
          <w:p>
            <w:pPr>
              <w:spacing w:after="0"/>
              <w:rPr>
                <w:sz w:val="17"/>
                <w:szCs w:val="17"/>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196"/>
        </w:trPr>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rPr>
            </w:pPr>
            <w:hyperlink r:id="rId17">
              <w:r>
                <w:rPr>
                  <w:rFonts w:ascii="Arial" w:cs="Arial" w:eastAsia="Arial" w:hAnsi="Arial"/>
                  <w:sz w:val="18"/>
                  <w:szCs w:val="18"/>
                  <w:color w:val="0000EE"/>
                </w:rPr>
                <w:t>Item 9</w:t>
              </w:r>
            </w:hyperlink>
          </w:p>
        </w:tc>
        <w:tc>
          <w:tcPr>
            <w:tcW w:w="720" w:type="dxa"/>
            <w:vAlign w:val="bottom"/>
            <w:gridSpan w:val="2"/>
          </w:tcPr>
          <w:p>
            <w:pPr>
              <w:spacing w:after="0"/>
              <w:rPr>
                <w:sz w:val="17"/>
                <w:szCs w:val="17"/>
                <w:color w:val="auto"/>
              </w:rPr>
            </w:pPr>
          </w:p>
        </w:tc>
        <w:tc>
          <w:tcPr>
            <w:tcW w:w="64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7">
              <w:r>
                <w:rPr>
                  <w:rFonts w:ascii="Arial" w:cs="Arial" w:eastAsia="Arial" w:hAnsi="Arial"/>
                  <w:sz w:val="18"/>
                  <w:szCs w:val="18"/>
                  <w:color w:val="0000EE"/>
                  <w:w w:val="90"/>
                </w:rPr>
                <w:t>Changes in and Disagreements with Accountants on Accounting and Financial Disclosure</w:t>
              </w:r>
            </w:hyperlink>
          </w:p>
        </w:tc>
        <w:tc>
          <w:tcPr>
            <w:tcW w:w="3680" w:type="dxa"/>
            <w:vAlign w:val="bottom"/>
            <w:gridSpan w:val="3"/>
          </w:tcPr>
          <w:p>
            <w:pPr>
              <w:spacing w:after="0"/>
              <w:rPr>
                <w:sz w:val="17"/>
                <w:szCs w:val="17"/>
                <w:color w:val="auto"/>
              </w:rPr>
            </w:pPr>
          </w:p>
        </w:tc>
      </w:tr>
      <w:tr>
        <w:trPr>
          <w:trHeight w:val="196"/>
        </w:trPr>
        <w:tc>
          <w:tcPr>
            <w:tcW w:w="620" w:type="dxa"/>
            <w:vAlign w:val="bottom"/>
            <w:gridSpan w:val="4"/>
          </w:tcPr>
          <w:p>
            <w:pPr>
              <w:spacing w:after="0" w:line="196" w:lineRule="exact"/>
              <w:rPr>
                <w:rFonts w:ascii="Arial" w:cs="Arial" w:eastAsia="Arial" w:hAnsi="Arial"/>
                <w:sz w:val="18"/>
                <w:szCs w:val="18"/>
                <w:color w:val="0000EE"/>
                <w:w w:val="93"/>
              </w:rPr>
            </w:pPr>
            <w:hyperlink r:id="rId18">
              <w:r>
                <w:rPr>
                  <w:rFonts w:ascii="Arial" w:cs="Arial" w:eastAsia="Arial" w:hAnsi="Arial"/>
                  <w:sz w:val="18"/>
                  <w:szCs w:val="18"/>
                  <w:color w:val="0000EE"/>
                  <w:w w:val="93"/>
                </w:rPr>
                <w:t>Item 9A</w:t>
              </w:r>
            </w:hyperlink>
          </w:p>
        </w:tc>
        <w:tc>
          <w:tcPr>
            <w:tcW w:w="660" w:type="dxa"/>
            <w:vAlign w:val="bottom"/>
          </w:tcPr>
          <w:p>
            <w:pPr>
              <w:spacing w:after="0"/>
              <w:rPr>
                <w:sz w:val="17"/>
                <w:szCs w:val="17"/>
                <w:color w:val="auto"/>
              </w:rPr>
            </w:pPr>
          </w:p>
        </w:tc>
        <w:tc>
          <w:tcPr>
            <w:tcW w:w="10160" w:type="dxa"/>
            <w:vAlign w:val="bottom"/>
            <w:gridSpan w:val="28"/>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Controls and Procedures</w:t>
              </w:r>
            </w:hyperlink>
          </w:p>
        </w:tc>
      </w:tr>
      <w:tr>
        <w:trPr>
          <w:trHeight w:val="196"/>
        </w:trPr>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93"/>
              </w:rPr>
            </w:pPr>
            <w:hyperlink r:id="rId19">
              <w:r>
                <w:rPr>
                  <w:rFonts w:ascii="Arial" w:cs="Arial" w:eastAsia="Arial" w:hAnsi="Arial"/>
                  <w:sz w:val="18"/>
                  <w:szCs w:val="18"/>
                  <w:color w:val="0000EE"/>
                  <w:w w:val="93"/>
                </w:rPr>
                <w:t>Item 9B</w:t>
              </w:r>
            </w:hyperlink>
          </w:p>
        </w:tc>
        <w:tc>
          <w:tcPr>
            <w:tcW w:w="660" w:type="dxa"/>
            <w:vAlign w:val="bottom"/>
          </w:tcPr>
          <w:p>
            <w:pPr>
              <w:spacing w:after="0"/>
              <w:rPr>
                <w:sz w:val="17"/>
                <w:szCs w:val="17"/>
                <w:color w:val="auto"/>
              </w:rPr>
            </w:pP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9">
              <w:r>
                <w:rPr>
                  <w:rFonts w:ascii="Arial" w:cs="Arial" w:eastAsia="Arial" w:hAnsi="Arial"/>
                  <w:sz w:val="18"/>
                  <w:szCs w:val="18"/>
                  <w:color w:val="0000EE"/>
                </w:rPr>
                <w:t>Other Information</w:t>
              </w:r>
            </w:hyperlink>
          </w:p>
        </w:tc>
        <w:tc>
          <w:tcPr>
            <w:tcW w:w="8400" w:type="dxa"/>
            <w:vAlign w:val="bottom"/>
            <w:gridSpan w:val="21"/>
          </w:tcPr>
          <w:p>
            <w:pPr>
              <w:spacing w:after="0"/>
              <w:rPr>
                <w:sz w:val="17"/>
                <w:szCs w:val="17"/>
                <w:color w:val="auto"/>
              </w:rPr>
            </w:pPr>
          </w:p>
        </w:tc>
      </w:tr>
      <w:tr>
        <w:trPr>
          <w:trHeight w:val="412"/>
        </w:trPr>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r:id="rId20">
              <w:r>
                <w:rPr>
                  <w:rFonts w:ascii="Arial" w:cs="Arial" w:eastAsia="Arial" w:hAnsi="Arial"/>
                  <w:sz w:val="18"/>
                  <w:szCs w:val="18"/>
                  <w:b w:val="1"/>
                  <w:bCs w:val="1"/>
                  <w:color w:val="0000EE"/>
                </w:rPr>
                <w:t>Part III</w:t>
              </w:r>
            </w:hyperlink>
          </w:p>
        </w:tc>
        <w:tc>
          <w:tcPr>
            <w:tcW w:w="5320" w:type="dxa"/>
            <w:vAlign w:val="bottom"/>
            <w:gridSpan w:val="5"/>
          </w:tcPr>
          <w:p>
            <w:pPr>
              <w:spacing w:after="0"/>
              <w:rPr>
                <w:sz w:val="24"/>
                <w:szCs w:val="24"/>
                <w:color w:val="auto"/>
              </w:rPr>
            </w:pPr>
          </w:p>
        </w:tc>
      </w:tr>
      <w:tr>
        <w:trPr>
          <w:trHeight w:val="412"/>
        </w:trPr>
        <w:tc>
          <w:tcPr>
            <w:tcW w:w="1280" w:type="dxa"/>
            <w:vAlign w:val="bottom"/>
            <w:gridSpan w:val="5"/>
          </w:tcPr>
          <w:p>
            <w:pPr>
              <w:spacing w:after="0"/>
              <w:rPr>
                <w:rFonts w:ascii="Arial" w:cs="Arial" w:eastAsia="Arial" w:hAnsi="Arial"/>
                <w:sz w:val="18"/>
                <w:szCs w:val="18"/>
                <w:color w:val="0000EE"/>
              </w:rPr>
            </w:pPr>
            <w:hyperlink r:id="rId21">
              <w:r>
                <w:rPr>
                  <w:rFonts w:ascii="Arial" w:cs="Arial" w:eastAsia="Arial" w:hAnsi="Arial"/>
                  <w:sz w:val="18"/>
                  <w:szCs w:val="18"/>
                  <w:color w:val="0000EE"/>
                </w:rPr>
                <w:t>Item 10</w:t>
              </w:r>
            </w:hyperlink>
          </w:p>
        </w:tc>
        <w:tc>
          <w:tcPr>
            <w:tcW w:w="10160" w:type="dxa"/>
            <w:vAlign w:val="bottom"/>
            <w:gridSpan w:val="28"/>
          </w:tcPr>
          <w:p>
            <w:pPr>
              <w:spacing w:after="0"/>
              <w:rPr>
                <w:rFonts w:ascii="Arial" w:cs="Arial" w:eastAsia="Arial" w:hAnsi="Arial"/>
                <w:sz w:val="18"/>
                <w:szCs w:val="18"/>
                <w:color w:val="0000EE"/>
              </w:rPr>
            </w:pPr>
            <w:hyperlink r:id="rId21">
              <w:r>
                <w:rPr>
                  <w:rFonts w:ascii="Arial" w:cs="Arial" w:eastAsia="Arial" w:hAnsi="Arial"/>
                  <w:sz w:val="18"/>
                  <w:szCs w:val="18"/>
                  <w:color w:val="0000EE"/>
                </w:rPr>
                <w:t>Directors and Executive Officers of the Registrant</w:t>
              </w:r>
            </w:hyperlink>
          </w:p>
        </w:tc>
      </w:tr>
      <w:tr>
        <w:trPr>
          <w:trHeight w:val="196"/>
        </w:trPr>
        <w:tc>
          <w:tcPr>
            <w:tcW w:w="560" w:type="dxa"/>
            <w:vAlign w:val="bottom"/>
            <w:tcBorders>
              <w:top w:val="single" w:sz="8" w:color="0000EE"/>
            </w:tcBorders>
            <w:gridSpan w:val="3"/>
          </w:tcPr>
          <w:p>
            <w:pPr>
              <w:spacing w:after="0" w:line="196" w:lineRule="exact"/>
              <w:rPr>
                <w:rFonts w:ascii="Arial" w:cs="Arial" w:eastAsia="Arial" w:hAnsi="Arial"/>
                <w:sz w:val="18"/>
                <w:szCs w:val="18"/>
                <w:color w:val="0000EE"/>
                <w:w w:val="89"/>
              </w:rPr>
            </w:pPr>
            <w:hyperlink r:id="rId22">
              <w:r>
                <w:rPr>
                  <w:rFonts w:ascii="Arial" w:cs="Arial" w:eastAsia="Arial" w:hAnsi="Arial"/>
                  <w:sz w:val="18"/>
                  <w:szCs w:val="18"/>
                  <w:color w:val="0000EE"/>
                  <w:w w:val="89"/>
                </w:rPr>
                <w:t>Item 11</w:t>
              </w:r>
            </w:hyperlink>
          </w:p>
        </w:tc>
        <w:tc>
          <w:tcPr>
            <w:tcW w:w="720" w:type="dxa"/>
            <w:vAlign w:val="bottom"/>
            <w:gridSpan w:val="2"/>
          </w:tcPr>
          <w:p>
            <w:pPr>
              <w:spacing w:after="0"/>
              <w:rPr>
                <w:sz w:val="17"/>
                <w:szCs w:val="17"/>
                <w:color w:val="auto"/>
              </w:rPr>
            </w:pPr>
          </w:p>
        </w:tc>
        <w:tc>
          <w:tcPr>
            <w:tcW w:w="36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Executive Compensation</w:t>
              </w:r>
            </w:hyperlink>
          </w:p>
        </w:tc>
        <w:tc>
          <w:tcPr>
            <w:tcW w:w="6540" w:type="dxa"/>
            <w:vAlign w:val="bottom"/>
            <w:gridSpan w:val="14"/>
          </w:tcPr>
          <w:p>
            <w:pPr>
              <w:spacing w:after="0"/>
              <w:rPr>
                <w:sz w:val="17"/>
                <w:szCs w:val="17"/>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Item 12</w:t>
              </w:r>
            </w:hyperlink>
          </w:p>
        </w:tc>
        <w:tc>
          <w:tcPr>
            <w:tcW w:w="10160" w:type="dxa"/>
            <w:vAlign w:val="bottom"/>
            <w:gridSpan w:val="28"/>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Security Ownership of Certain Beneficial Owners and Management and Related Shareholder Matters</w:t>
              </w:r>
            </w:hyperlink>
          </w:p>
        </w:tc>
      </w:tr>
      <w:tr>
        <w:trPr>
          <w:trHeight w:val="196"/>
        </w:trPr>
        <w:tc>
          <w:tcPr>
            <w:tcW w:w="12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Item 13</w:t>
              </w:r>
            </w:hyperlink>
          </w:p>
        </w:tc>
        <w:tc>
          <w:tcPr>
            <w:tcW w:w="72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Certain Relationships and Related Transactions</w:t>
              </w:r>
            </w:hyperlink>
          </w:p>
        </w:tc>
        <w:tc>
          <w:tcPr>
            <w:tcW w:w="2880" w:type="dxa"/>
            <w:vAlign w:val="bottom"/>
            <w:gridSpan w:val="2"/>
          </w:tcPr>
          <w:p>
            <w:pPr>
              <w:spacing w:after="0"/>
              <w:rPr>
                <w:sz w:val="17"/>
                <w:szCs w:val="17"/>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6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340" w:type="dxa"/>
            <w:vAlign w:val="bottom"/>
            <w:gridSpan w:val="6"/>
          </w:tcPr>
          <w:p>
            <w:pPr>
              <w:spacing w:after="0" w:line="20" w:lineRule="exact"/>
              <w:rPr>
                <w:sz w:val="1"/>
                <w:szCs w:val="1"/>
                <w:color w:val="auto"/>
              </w:rPr>
            </w:pPr>
          </w:p>
        </w:tc>
      </w:tr>
      <w:tr>
        <w:trPr>
          <w:trHeight w:val="196"/>
        </w:trPr>
        <w:tc>
          <w:tcPr>
            <w:tcW w:w="1280" w:type="dxa"/>
            <w:vAlign w:val="bottom"/>
            <w:gridSpan w:val="5"/>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Item 14</w:t>
              </w:r>
            </w:hyperlink>
          </w:p>
        </w:tc>
        <w:tc>
          <w:tcPr>
            <w:tcW w:w="10160" w:type="dxa"/>
            <w:vAlign w:val="bottom"/>
            <w:gridSpan w:val="2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Principal Accountant Fees and Services</w:t>
              </w:r>
            </w:hyperlink>
          </w:p>
        </w:tc>
      </w:tr>
      <w:tr>
        <w:trPr>
          <w:trHeight w:val="412"/>
        </w:trPr>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20" w:type="dxa"/>
            <w:vAlign w:val="bottom"/>
            <w:gridSpan w:val="12"/>
          </w:tcPr>
          <w:p>
            <w:pPr>
              <w:jc w:val="center"/>
              <w:ind w:right="5340"/>
              <w:spacing w:after="0"/>
              <w:rPr>
                <w:rFonts w:ascii="Arial" w:cs="Arial" w:eastAsia="Arial" w:hAnsi="Arial"/>
                <w:sz w:val="18"/>
                <w:szCs w:val="18"/>
                <w:b w:val="1"/>
                <w:bCs w:val="1"/>
                <w:color w:val="0000EE"/>
              </w:rPr>
            </w:pPr>
            <w:hyperlink r:id="rId26">
              <w:r>
                <w:rPr>
                  <w:rFonts w:ascii="Arial" w:cs="Arial" w:eastAsia="Arial" w:hAnsi="Arial"/>
                  <w:sz w:val="18"/>
                  <w:szCs w:val="18"/>
                  <w:b w:val="1"/>
                  <w:bCs w:val="1"/>
                  <w:color w:val="0000EE"/>
                </w:rPr>
                <w:t>Part IV</w:t>
              </w:r>
            </w:hyperlink>
          </w:p>
        </w:tc>
      </w:tr>
      <w:tr>
        <w:trPr>
          <w:trHeight w:val="412"/>
        </w:trPr>
        <w:tc>
          <w:tcPr>
            <w:tcW w:w="1280" w:type="dxa"/>
            <w:vAlign w:val="bottom"/>
            <w:gridSpan w:val="5"/>
          </w:tcPr>
          <w:p>
            <w:pPr>
              <w:spacing w:after="0"/>
              <w:rPr>
                <w:rFonts w:ascii="Arial" w:cs="Arial" w:eastAsia="Arial" w:hAnsi="Arial"/>
                <w:sz w:val="18"/>
                <w:szCs w:val="18"/>
                <w:color w:val="0000EE"/>
              </w:rPr>
            </w:pPr>
            <w:hyperlink r:id="rId27">
              <w:r>
                <w:rPr>
                  <w:rFonts w:ascii="Arial" w:cs="Arial" w:eastAsia="Arial" w:hAnsi="Arial"/>
                  <w:sz w:val="18"/>
                  <w:szCs w:val="18"/>
                  <w:color w:val="0000EE"/>
                </w:rPr>
                <w:t>Item 15</w:t>
              </w:r>
            </w:hyperlink>
          </w:p>
        </w:tc>
        <w:tc>
          <w:tcPr>
            <w:tcW w:w="4260" w:type="dxa"/>
            <w:vAlign w:val="bottom"/>
            <w:gridSpan w:val="17"/>
          </w:tcPr>
          <w:p>
            <w:pPr>
              <w:spacing w:after="0"/>
              <w:rPr>
                <w:rFonts w:ascii="Arial" w:cs="Arial" w:eastAsia="Arial" w:hAnsi="Arial"/>
                <w:sz w:val="18"/>
                <w:szCs w:val="18"/>
                <w:color w:val="0000EE"/>
              </w:rPr>
            </w:pPr>
            <w:hyperlink r:id="rId27">
              <w:r>
                <w:rPr>
                  <w:rFonts w:ascii="Arial" w:cs="Arial" w:eastAsia="Arial" w:hAnsi="Arial"/>
                  <w:sz w:val="18"/>
                  <w:szCs w:val="18"/>
                  <w:color w:val="0000EE"/>
                </w:rPr>
                <w:t>Exhibits and Financial Statement Schedules</w:t>
              </w:r>
            </w:hyperlink>
          </w:p>
        </w:tc>
        <w:tc>
          <w:tcPr>
            <w:tcW w:w="560" w:type="dxa"/>
            <w:vAlign w:val="bottom"/>
            <w:tcBorders>
              <w:top w:val="single" w:sz="8" w:color="0000EE"/>
            </w:tcBorders>
            <w:gridSpan w:val="5"/>
          </w:tcPr>
          <w:p>
            <w:pPr>
              <w:spacing w:after="0"/>
              <w:rPr>
                <w:sz w:val="24"/>
                <w:szCs w:val="24"/>
                <w:color w:val="auto"/>
              </w:rPr>
            </w:pPr>
          </w:p>
        </w:tc>
        <w:tc>
          <w:tcPr>
            <w:tcW w:w="5340" w:type="dxa"/>
            <w:vAlign w:val="bottom"/>
            <w:gridSpan w:val="6"/>
          </w:tcPr>
          <w:p>
            <w:pPr>
              <w:spacing w:after="0"/>
              <w:rPr>
                <w:sz w:val="24"/>
                <w:szCs w:val="24"/>
                <w:color w:val="auto"/>
              </w:rPr>
            </w:pPr>
          </w:p>
        </w:tc>
      </w:tr>
      <w:tr>
        <w:trPr>
          <w:trHeight w:val="355"/>
        </w:trPr>
        <w:tc>
          <w:tcPr>
            <w:tcW w:w="4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6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80" w:type="dxa"/>
            <w:vAlign w:val="bottom"/>
            <w:tcBorders>
              <w:top w:val="single" w:sz="8" w:color="0000EE"/>
              <w:bottom w:val="single" w:sz="8" w:color="808080"/>
            </w:tcBorders>
          </w:tcPr>
          <w:p>
            <w:pPr>
              <w:spacing w:after="0"/>
              <w:rPr>
                <w:sz w:val="24"/>
                <w:szCs w:val="24"/>
                <w:color w:val="auto"/>
              </w:rPr>
            </w:pPr>
          </w:p>
        </w:tc>
        <w:tc>
          <w:tcPr>
            <w:tcW w:w="42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6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240" w:type="dxa"/>
            <w:vAlign w:val="bottom"/>
            <w:tcBorders>
              <w:top w:val="single" w:sz="8" w:color="0000EE"/>
              <w:bottom w:val="single" w:sz="8" w:color="808080"/>
            </w:tcBorders>
          </w:tcPr>
          <w:p>
            <w:pPr>
              <w:spacing w:after="0"/>
              <w:rPr>
                <w:sz w:val="24"/>
                <w:szCs w:val="24"/>
                <w:color w:val="auto"/>
              </w:rPr>
            </w:pPr>
          </w:p>
        </w:tc>
        <w:tc>
          <w:tcPr>
            <w:tcW w:w="820" w:type="dxa"/>
            <w:vAlign w:val="bottom"/>
            <w:tcBorders>
              <w:top w:val="single" w:sz="8" w:color="0000EE"/>
              <w:bottom w:val="single" w:sz="8" w:color="808080"/>
            </w:tcBorders>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 LOOKING STATEMENTS</w:t>
      </w:r>
    </w:p>
    <w:p>
      <w:pPr>
        <w:spacing w:after="0" w:line="22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Certain statements contained in this Form 10-K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the Section 27A of the Securities Act of 1933, as amended, and Section 21E of the Exchange Act of 1934, as amended,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as well as future growth rates and margins for certain of our products and services, future demand for our products and services, competitive factors, general economic conditions, cyclicality, economic conditions in the new and used truck and equipment markets, customer relations, relationships with vendors,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The Company does not intend to update these forward-looking statements.</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INCORPORATION BY REFERENCE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The Securities and Exchange Commission (“SEC”) allows us to disclose important information to you by referring you to other documents we have filed with the SEC. The information we refer to is “incorporated by reference” into this Form 10-K. Please read that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 USED IN THIS FORM 10-K</w:t>
      </w:r>
    </w:p>
    <w:p>
      <w:pPr>
        <w:spacing w:after="0" w:line="233"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as registered trademark of General Motors Corporation. Hino</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xml:space="preserve"> is a registered trademark of Nissan Diesel Motor Co., Ltd. Isuzu</w:t>
      </w:r>
      <w:r>
        <w:rPr>
          <w:rFonts w:ascii="Arial" w:cs="Arial" w:eastAsia="Arial" w:hAnsi="Arial"/>
          <w:sz w:val="26"/>
          <w:szCs w:val="26"/>
          <w:i w:val="1"/>
          <w:iCs w:val="1"/>
          <w:color w:val="auto"/>
          <w:vertAlign w:val="superscript"/>
        </w:rPr>
        <w:t>®</w:t>
      </w:r>
    </w:p>
    <w:p>
      <w:pPr>
        <w:sectPr>
          <w:pgSz w:w="11900" w:h="16853" w:orient="portrait"/>
          <w:cols w:equalWidth="0" w:num="1">
            <w:col w:w="11440"/>
          </w:cols>
          <w:pgMar w:left="240" w:top="337" w:right="219" w:bottom="0" w:gutter="0" w:footer="0" w:header="0"/>
        </w:sectPr>
      </w:pPr>
    </w:p>
    <w:bookmarkStart w:id="2" w:name="page3"/>
    <w:bookmarkEnd w:id="2"/>
    <w:p>
      <w:pPr>
        <w:spacing w:after="0" w:line="96" w:lineRule="exact"/>
        <w:rPr>
          <w:sz w:val="20"/>
          <w:szCs w:val="20"/>
          <w:color w:val="auto"/>
        </w:rPr>
      </w:pPr>
    </w:p>
    <w:p>
      <w:pPr>
        <w:ind w:right="140"/>
        <w:spacing w:after="0" w:line="211" w:lineRule="auto"/>
        <w:rPr>
          <w:sz w:val="20"/>
          <w:szCs w:val="20"/>
          <w:color w:val="auto"/>
        </w:rPr>
      </w:pPr>
      <w:r>
        <w:rPr>
          <w:rFonts w:ascii="Arial" w:cs="Arial" w:eastAsia="Arial" w:hAnsi="Arial"/>
          <w:sz w:val="17"/>
          <w:szCs w:val="17"/>
          <w:i w:val="1"/>
          <w:iCs w:val="1"/>
          <w:color w:val="auto"/>
        </w:rPr>
        <w:t>is a registered trademark of Isuzu Motors Limited. John Deere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Deere &amp; Company. Kenworth</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Inc. doing business as Kenworth Truck Company. Volvo</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Volvo Trademark Holding AB. Freightliner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Freightliner Corporation. Mack</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Mack Trucks, Inc. Navistar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Navistar International Corporation. Caterpillar</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Caterpillar, Inc. Cummins</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Cummins Engine Company, Inc. PacLease</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PACCAR Leasing Corporation. CitiCapital</w:t>
      </w:r>
      <w:r>
        <w:rPr>
          <w:rFonts w:ascii="Arial" w:cs="Arial" w:eastAsia="Arial" w:hAnsi="Arial"/>
          <w:sz w:val="28"/>
          <w:szCs w:val="28"/>
          <w:i w:val="1"/>
          <w:iCs w:val="1"/>
          <w:color w:val="auto"/>
          <w:vertAlign w:val="superscript"/>
        </w:rPr>
        <w:t>®</w:t>
      </w:r>
      <w:r>
        <w:rPr>
          <w:rFonts w:ascii="Arial" w:cs="Arial" w:eastAsia="Arial" w:hAnsi="Arial"/>
          <w:sz w:val="17"/>
          <w:szCs w:val="17"/>
          <w:i w:val="1"/>
          <w:iCs w:val="1"/>
          <w:color w:val="auto"/>
        </w:rPr>
        <w:t xml:space="preserve"> is a registered trademark of Citicorp.</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References herein to “the Company,” “Rush Enterprises,” “Rush,” “we,” “our” or “us” mean Rush Enterprises, Inc., a Texas corporation, its subsidiaries and Associated Acceptance, Inc., the insurance agency affiliated with the Company, unless the context requires otherwise.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Company Information</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Rush electronically files annual reports, quarterly reports, and special reports with the SEC. You may read and copy any of the materials that we have filed with the SEC at the SEC’s Public Reference Room at 450 Fifth Street, NW, Washington, DC 20549. You may obtain information about the Public Reference Room by calling the SEC at 1-800-SEC-0330. Our filings are also available to you on the SEC’s website at www.sec.gov.</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Rush makes certain of its SEC filings available, free of charge, through its website, including its annual reports on Form 10-K, quarterly reports on Form 10-Q, current reports on Form 8-K and all amendments to these reports. These filings are available as soon as reasonably practicable after such material is electronically filed with or furnished to the SEC. Rush’s website address is www.rushenterprises.com. The information contained on our website, or on other websites linked to our website, is not part of this document.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Rush Enterprises, Inc. was incorporated in Texas in 1965 and currently consists of two reportable segments: the Truck Segment and the Construction Equipment Segment.</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is a full-service, integrated retailer of premium transportation and construction equipment and related services. Our Rush Truck Centers primarily sell heavy-duty trucks manufactured by Peterbilt, a division of PACCAR, Inc.. Certain Rush Truck Centers sell medium-duty trucks manufactured by Peterbilt, GMC, Hino, UD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and financing, leasing and rental, and insurance services.</w:t>
      </w:r>
    </w:p>
    <w:p>
      <w:pPr>
        <w:spacing w:after="0" w:line="19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January 2005, the Company acquired certain assets of American Truck Source, Inc., including its Peterbilt truck dealerships in Texas and Tennessee for a total purchase price of $132.4 million. The acquisition provides the Company with rights to sell Peterbilt trucks and parts from new locations in Dallas, Fort Worth, Abilene and Tyler, Texas and Nashville, Tennessee. See Note 17 of the Notes to Consolidated Financial Statements for a detailed discussion of the allocation of the purchase price of the acquisition.</w:t>
      </w:r>
    </w:p>
    <w:p>
      <w:pPr>
        <w:spacing w:after="0" w:line="187"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Company also made several acquisitions of medium-duty truck stores during 2005. See Note 17 of the Notes to Consolidated Financial Statements for a detailed discussion of the allocation of the purchase price of these acquisitions.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40 Rush Truck Centers in Alabama, Arizona, California, Colorado, Florida, New Mexico, Oklahoma, Tennessee and Texas.</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Company’s Rush Equipment Center in Houston, Texas sells, leases and rents a full line of John Deere construction equipment as well as a variety of construction equipment trailers.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currently conducts business through numerous subsidiaries, all of which are wholly owned, directly or indirectly, by it. Its principal offices are located at 555 IH 35 South, New Braunfels, Texas 78130.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currently operate in the heavy-duty truck, medium-duty truck and construction equipment markets. There has historically been a high correlation in both of these markets between new product sales and the rate of change in U.S. industrial production and the U.S. gross domestic product.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Heavy-Duty Truck Market</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serves the southern U.S. retail heavy-duty truck market, which is affected by a number of factors relating to general economic conditions, including fuel prices, government regulation, interest rate fluctuations, economic recessions and customer business cycles. In addition, unit sales of new trucks have historically been subject to substantial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cyclical variation based on such general economic conditions. According to data published by A.C.T. Research Co., LLC (“A.C.T. Research”), a heavy-duty truck industry data and forecasting services provider, in recent years total domestic retail sales of new Class 8 trucks have ranged from a low of approximately</w:t>
      </w:r>
    </w:p>
    <w:p>
      <w:pPr>
        <w:sectPr>
          <w:pgSz w:w="11900" w:h="16935" w:orient="portrait"/>
          <w:cols w:equalWidth="0" w:num="1">
            <w:col w:w="11420"/>
          </w:cols>
          <w:pgMar w:left="240" w:top="129" w:right="239" w:bottom="0" w:gutter="0" w:footer="0" w:header="0"/>
        </w:sectPr>
      </w:pPr>
    </w:p>
    <w:bookmarkStart w:id="3" w:name="page4"/>
    <w:bookmarkEnd w:id="3"/>
    <w:p>
      <w:pPr>
        <w:spacing w:after="0" w:line="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140,000 in 2001 to a high of approximately 262,000 in 1999. Class 8 trucks are defined by the American Automobile Association as trucks with a minimum gross vehicle weight rating above 33,000 pounds. Domestic Class 8 unit sales are expected to increase to approximately 266,000 units during 2006 according to A.C.T. Research. The Company’s primary product line is Peterbilt heavy-duty trucks, which, according to A.C.T. Research, accounted for approximately 11.68% of all new heavy-duty truck sales in the U.S. during 2005. The Company’s share of the U.S. Class 8 truck sales market was approximately 3.9% in 2005.</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Typically, Class 8 trucks are assembled by manufacturers utilizing certain components manufactured by other companies, including engines, transmissions, axles, wheels and other components. As trucks and truck components have become increasingly complex, the ability to provide state-of-the-art service for a wide variety of truck equipment has become a competitive factor in the industry. The ability to provide such service requires a significant capital investment in diagnostic and other equipment, parts inventory and highly trained service personnel. Environmental Protection Agency (“EPA”) and U.S. Department of Transportation (“DOT”) regulatory guidelines for service processes, including body shop, paint work and waste disposal, require sophisticated operating and testing equipment to ensure compliance with environmental and safety standards. Additionally, we believe that more of our customers will lease or rent Class 8 trucks as fleets, particularly private fleets, and seek to establish full-service leases or rental contracts, which provide for turnkey service including parts, maintenance and, potentially, fuel, fuel tax reporting and other services. As a result, differentiation between truck dealers has become less dependent on pure price competition and is increasingly based on a dealer’s ability to offer a wide variety of services to their clients. Such services include: efficient, conveniently located and easily accessible truck service centers with an adequate supply of replacement parts; financing for truck purchases; leasing and rental programs; and the ability to accept multiple unit trade-ins related to large fleet purchases. We believe our one-stop center concept and the size and geographic diversity of our dealer network gives us a competitive advantage in providing these services.</w:t>
      </w:r>
    </w:p>
    <w:p>
      <w:pPr>
        <w:spacing w:after="0" w:line="16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EPA mandated that heavy-duty engine manufacturers meet new, stricter emissions guidelines regarding nitrous oxides for all engines built subsequent to October 1, 2002. These new guidelines increased the price of new heavy-duty trucks by approximately $3,000 to $8,000 per unit and reduced the operating efficiency and life cycle of heavy-duty trucks. In 2002, the heavy-duty truck industry experienced an increased demand for trucks, as it historically has in the months preceding the effective date of a change in EPA engine emission guidelines; this period of increased demand was followed by a decrease in demand in the months subsequent to the change.</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EPA has placed additional guidelines, further restricting the emissions of nitrous oxides, for all engines built subsequent to January 1, 2007. The Company believes that the 2007 change in emission guidelines will cause demand for heavy-duty trucks to remain high through 2006 as large fleets accelerate their normal purchase cycles to avoid purchasing 2007 engines. The Company expects a fall-off in demand for trucks in 2007 due to the emissions guidelines. The severity of the fall-off in demand for trucks in 2007 will depend upon several factors including, without limitation, new diesel engine prices, the results of tests on the new diesel engines designed to meet the 2007 standards, and projected maintenance and operation costs of the new diesel engines and general economic conditions. Industry expectations are for the new engines to add $6,000 to $8,000 to the cost of a new Class 8 truck and increase maintenance and operating costs as well.</w:t>
      </w:r>
    </w:p>
    <w:p>
      <w:pPr>
        <w:spacing w:after="0" w:line="18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According to A.C.T. Research’s current estimates, approximately 266,000 new Class 8 trucks will be sold in the United States in 2006, compared to approximately 259,000 new trucks sold in 2005. The 2005 new heavy-duty truck sales totals were the second highest new heavy-duty truck sales totals in history, falling just short of the 1999 record. In 2007, A.C.T. Research currently forecasts sales of Class 8 trucks to fall off to 179,000 units. However, A.C.T. Research and other industry experts expect Class 8 truck sales to rebound in 2008 and 2009. A.C.T. Research currently forecasts sales of Class 8 trucks in the U.S. to be approximately 234,000 in 2008 and 265,000 in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Medium-Duty Truck Market</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Several of our Rush Truck Centers sell medium-duty trucks manufactured by Peterbilt, GMC, Hino, UD or Isuzu, and provide parts and service for medium-duty trucks. Medium-duty trucks are principally used in short-haul, local markets as delivery vehicles. Medium-duty trucks typically operate locally and generally do not venture out of their service areas overnight. The nature of the medium-duty truck market promotes the use of our service facilities during our evening shift, which is traditionally a slow period for heavy-duty truck service.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500" w:firstLine="648"/>
        <w:spacing w:after="0" w:line="259" w:lineRule="auto"/>
        <w:rPr>
          <w:sz w:val="20"/>
          <w:szCs w:val="20"/>
          <w:color w:val="auto"/>
        </w:rPr>
      </w:pPr>
      <w:r>
        <w:rPr>
          <w:rFonts w:ascii="Arial" w:cs="Arial" w:eastAsia="Arial" w:hAnsi="Arial"/>
          <w:sz w:val="18"/>
          <w:szCs w:val="18"/>
          <w:color w:val="auto"/>
        </w:rPr>
        <w:t>A.C.T. Research estimates that U.S. retail sales of Class 5 through 7 medium-duty trucks totaled approximately 216,000 units in 2005 and are forecasting 2006 U.S. retail sales to be approximately 213,000 units. The Company plans to continue to expand its share of the medium-duty market by adding new product lines to existing dealerships, adding dealership locations and adding sales personnel. See Note 17 to the Company’s Consolidated Financial Statements for a discussion of the Company’s medium-duty acquisitions in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Construction Equipment Market</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Rush Equipment Center is an authorized John Deere construction equipment dealer. Our Rush Equipment Center serves Houston, Texas and the surrounding area. According to the data compiled by John Deere, approximately 2,700 units of construction equipment were put into use in our area of responsibility in 2005 compared to 2,256 in 2004. In 2006, we expect new construction equipment unit sales to increase approximately 5%, to 2,840 units, in our area of responsibility. John Deere’s market share in the Houston area was 19.9% in 2005 and 16.3% in 2004. Our Rush Equipment Center has the right to sell new John Deere construction equipment and parts within its assigned area of responsibility, which means competition within its market comes primarily from dealers of competing manufacturers and rental companies.</w:t>
      </w:r>
    </w:p>
    <w:p>
      <w:pPr>
        <w:spacing w:after="0" w:line="17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John Deere equipment users are a diverse group that includes residential and commercial construction businesses, independent rental companies, utility companies, government agencies, and various petrochemical, industrial and material supply businesses. Industry statistics suggest that a majority of all construction equipment is owned by a relatively small percentage of the customer base. Accordingly, John Deere and its dealer group, including the Rush Equipment Center, are aggressively developing more sophisticated ways to serve large equipment fleet owners.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factors affecting the construction equipment industry include the following:</w:t>
      </w:r>
    </w:p>
    <w:p>
      <w:pPr>
        <w:spacing w:after="0" w:line="230" w:lineRule="exact"/>
        <w:rPr>
          <w:sz w:val="20"/>
          <w:szCs w:val="20"/>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18"/>
          <w:szCs w:val="18"/>
          <w:color w:val="auto"/>
        </w:rPr>
        <w:t>levels of commercial, residential, and public construction activities;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1"/>
        </w:numPr>
        <w:rPr>
          <w:rFonts w:ascii="Arial" w:cs="Arial" w:eastAsia="Arial" w:hAnsi="Arial"/>
          <w:sz w:val="22"/>
          <w:szCs w:val="22"/>
          <w:color w:val="auto"/>
        </w:rPr>
      </w:pPr>
      <w:r>
        <w:rPr>
          <w:rFonts w:ascii="Arial" w:cs="Arial" w:eastAsia="Arial" w:hAnsi="Arial"/>
          <w:sz w:val="18"/>
          <w:szCs w:val="18"/>
          <w:color w:val="auto"/>
        </w:rPr>
        <w:t>state and federal highway and road construction appropriations.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ectPr>
          <w:pgSz w:w="11900" w:h="16843" w:orient="portrait"/>
          <w:cols w:equalWidth="0" w:num="1">
            <w:col w:w="11420"/>
          </w:cols>
          <w:pgMar w:left="240" w:top="125" w:right="239" w:bottom="0" w:gutter="0" w:footer="0" w:header="0"/>
        </w:sectPr>
      </w:pPr>
    </w:p>
    <w:bookmarkStart w:id="4" w:name="page5"/>
    <w:bookmarkEnd w:id="4"/>
    <w:p>
      <w:pPr>
        <w:spacing w:after="0" w:line="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i w:val="1"/>
          <w:iCs w:val="1"/>
          <w:color w:val="auto"/>
        </w:rPr>
        <w:t xml:space="preserve">Operating Strategy. </w:t>
      </w:r>
      <w:r>
        <w:rPr>
          <w:rFonts w:ascii="Arial" w:cs="Arial" w:eastAsia="Arial" w:hAnsi="Arial"/>
          <w:sz w:val="18"/>
          <w:szCs w:val="18"/>
          <w:color w:val="auto"/>
        </w:rPr>
        <w:t>Our strategy is to operate an integrated dealer network that primarily markets Peterbilt heavy-duty trucks, medium-duty trucks</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manufacturers and John Deere construction equipment and provides complementary products and services. Our strategy includes the following key elements:</w:t>
      </w:r>
    </w:p>
    <w:p>
      <w:pPr>
        <w:spacing w:after="0" w:line="208" w:lineRule="exact"/>
        <w:rPr>
          <w:sz w:val="20"/>
          <w:szCs w:val="20"/>
          <w:color w:val="auto"/>
        </w:rPr>
      </w:pPr>
    </w:p>
    <w:p>
      <w:pPr>
        <w:ind w:left="980" w:right="60" w:hanging="324"/>
        <w:spacing w:after="0" w:line="243" w:lineRule="auto"/>
        <w:tabs>
          <w:tab w:leader="none" w:pos="975" w:val="left"/>
        </w:tabs>
        <w:numPr>
          <w:ilvl w:val="0"/>
          <w:numId w:val="2"/>
        </w:numPr>
        <w:rPr>
          <w:rFonts w:ascii="Arial" w:cs="Arial" w:eastAsia="Arial" w:hAnsi="Arial"/>
          <w:sz w:val="22"/>
          <w:szCs w:val="22"/>
          <w:color w:val="auto"/>
        </w:rPr>
      </w:pPr>
      <w:r>
        <w:rPr>
          <w:rFonts w:ascii="Arial" w:cs="Arial" w:eastAsia="Arial" w:hAnsi="Arial"/>
          <w:sz w:val="18"/>
          <w:szCs w:val="18"/>
          <w:u w:val="single" w:color="auto"/>
          <w:color w:val="auto"/>
        </w:rPr>
        <w:t>One-Stop Centers</w:t>
      </w:r>
      <w:r>
        <w:rPr>
          <w:rFonts w:ascii="Arial" w:cs="Arial" w:eastAsia="Arial" w:hAnsi="Arial"/>
          <w:sz w:val="18"/>
          <w:szCs w:val="18"/>
          <w:color w:val="auto"/>
        </w:rPr>
        <w:t>. We have developed our truck and construction equipment dealerships as “one-stop centers” where, at one convenient location, our customers can do the following: purchase new and used trucks or construction equipment; finance, lease or rent trucks or construction equipment; purchase aftermarket parts and accessories; and have service performed by certified technicians. We believe that this full-service strategy also helps to mitigate cyclical economic fluctuations because the parts and service sales at our dealerships generally tend to be less volatile than our new and used truck and construction equipment sales.</w:t>
      </w:r>
    </w:p>
    <w:p>
      <w:pPr>
        <w:spacing w:after="0" w:line="229" w:lineRule="exact"/>
        <w:rPr>
          <w:rFonts w:ascii="Arial" w:cs="Arial" w:eastAsia="Arial" w:hAnsi="Arial"/>
          <w:sz w:val="22"/>
          <w:szCs w:val="22"/>
          <w:color w:val="auto"/>
        </w:rPr>
      </w:pPr>
    </w:p>
    <w:p>
      <w:pPr>
        <w:jc w:val="both"/>
        <w:ind w:left="980" w:right="360" w:hanging="324"/>
        <w:spacing w:after="0" w:line="238" w:lineRule="auto"/>
        <w:tabs>
          <w:tab w:leader="none" w:pos="975" w:val="left"/>
        </w:tabs>
        <w:numPr>
          <w:ilvl w:val="0"/>
          <w:numId w:val="2"/>
        </w:numPr>
        <w:rPr>
          <w:rFonts w:ascii="Arial" w:cs="Arial" w:eastAsia="Arial" w:hAnsi="Arial"/>
          <w:sz w:val="22"/>
          <w:szCs w:val="22"/>
          <w:color w:val="auto"/>
        </w:rPr>
      </w:pPr>
      <w:r>
        <w:rPr>
          <w:rFonts w:ascii="Arial" w:cs="Arial" w:eastAsia="Arial" w:hAnsi="Arial"/>
          <w:sz w:val="18"/>
          <w:szCs w:val="18"/>
          <w:u w:val="single" w:color="auto"/>
          <w:color w:val="auto"/>
        </w:rPr>
        <w:t>Branding Program</w:t>
      </w:r>
      <w:r>
        <w:rPr>
          <w:rFonts w:ascii="Arial" w:cs="Arial" w:eastAsia="Arial" w:hAnsi="Arial"/>
          <w:sz w:val="18"/>
          <w:szCs w:val="18"/>
          <w:color w:val="auto"/>
        </w:rPr>
        <w:t>. We employ a branding program for our dealerships through distinctive signage and uniform marketing programs to take advantage of our existing name recognition and to communicate the standardized high quality of our products and reliability of our services throughout our dealership network.</w:t>
      </w:r>
    </w:p>
    <w:p>
      <w:pPr>
        <w:spacing w:after="0" w:line="229" w:lineRule="exact"/>
        <w:rPr>
          <w:rFonts w:ascii="Arial" w:cs="Arial" w:eastAsia="Arial" w:hAnsi="Arial"/>
          <w:sz w:val="22"/>
          <w:szCs w:val="22"/>
          <w:color w:val="auto"/>
        </w:rPr>
      </w:pPr>
    </w:p>
    <w:p>
      <w:pPr>
        <w:ind w:left="980" w:hanging="324"/>
        <w:spacing w:after="0" w:line="243" w:lineRule="auto"/>
        <w:tabs>
          <w:tab w:leader="none" w:pos="975" w:val="left"/>
        </w:tabs>
        <w:numPr>
          <w:ilvl w:val="0"/>
          <w:numId w:val="2"/>
        </w:numPr>
        <w:rPr>
          <w:rFonts w:ascii="Arial" w:cs="Arial" w:eastAsia="Arial" w:hAnsi="Arial"/>
          <w:sz w:val="22"/>
          <w:szCs w:val="22"/>
          <w:color w:val="auto"/>
        </w:rPr>
      </w:pPr>
      <w:r>
        <w:rPr>
          <w:rFonts w:ascii="Arial" w:cs="Arial" w:eastAsia="Arial" w:hAnsi="Arial"/>
          <w:sz w:val="18"/>
          <w:szCs w:val="18"/>
          <w:u w:val="single" w:color="auto"/>
          <w:color w:val="auto"/>
        </w:rPr>
        <w:t>Management by Dealership Units</w:t>
      </w:r>
      <w:r>
        <w:rPr>
          <w:rFonts w:ascii="Arial" w:cs="Arial" w:eastAsia="Arial" w:hAnsi="Arial"/>
          <w:sz w:val="18"/>
          <w:szCs w:val="18"/>
          <w:color w:val="auto"/>
        </w:rPr>
        <w:t>. At each of our dealerships, we operate one or more of the following business units: new sales, used sales, parts, service, body shop, leasing, rental or financial services. Our general managers measure and manage the operations of each of our dealerships according to the specific business units operating at that location. We believe that this system enhances the profitability of all aspects of a dealership and increases our overall operating margins. Operating goals for each business unit at each of our dealerships are established annually and managers are rewarded for performance accordingly.</w:t>
      </w:r>
    </w:p>
    <w:p>
      <w:pPr>
        <w:spacing w:after="0" w:line="229" w:lineRule="exact"/>
        <w:rPr>
          <w:rFonts w:ascii="Arial" w:cs="Arial" w:eastAsia="Arial" w:hAnsi="Arial"/>
          <w:sz w:val="22"/>
          <w:szCs w:val="22"/>
          <w:color w:val="auto"/>
        </w:rPr>
      </w:pPr>
    </w:p>
    <w:p>
      <w:pPr>
        <w:ind w:left="980" w:hanging="324"/>
        <w:spacing w:after="0" w:line="259" w:lineRule="auto"/>
        <w:tabs>
          <w:tab w:leader="none" w:pos="975" w:val="left"/>
        </w:tabs>
        <w:numPr>
          <w:ilvl w:val="0"/>
          <w:numId w:val="2"/>
        </w:numPr>
        <w:rPr>
          <w:rFonts w:ascii="Arial" w:cs="Arial" w:eastAsia="Arial" w:hAnsi="Arial"/>
          <w:sz w:val="21"/>
          <w:szCs w:val="21"/>
          <w:color w:val="auto"/>
        </w:rPr>
      </w:pPr>
      <w:r>
        <w:rPr>
          <w:rFonts w:ascii="Arial" w:cs="Arial" w:eastAsia="Arial" w:hAnsi="Arial"/>
          <w:sz w:val="17"/>
          <w:szCs w:val="17"/>
          <w:u w:val="single" w:color="auto"/>
          <w:color w:val="auto"/>
        </w:rPr>
        <w:t>Integrated Management Information Systems</w:t>
      </w:r>
      <w:r>
        <w:rPr>
          <w:rFonts w:ascii="Arial" w:cs="Arial" w:eastAsia="Arial" w:hAnsi="Arial"/>
          <w:sz w:val="17"/>
          <w:szCs w:val="17"/>
          <w:color w:val="auto"/>
        </w:rPr>
        <w:t>. In order to efficiently operate separate business units within each dealership, we rely upon our management information systems to determine and monitor appropriate inventory levels and product mix at each Rush Truck Center. Each Rush Truck Center can access a centralized real-time inventory tracking system that is accessible simultaneously by all locations. Our automated parts reordering system assists each Rush Truck Center in maintaining the proper inventory levels and typically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0" w:right="160"/>
        <w:spacing w:after="0" w:line="286" w:lineRule="auto"/>
        <w:rPr>
          <w:sz w:val="20"/>
          <w:szCs w:val="20"/>
          <w:color w:val="auto"/>
        </w:rPr>
      </w:pPr>
      <w:r>
        <w:rPr>
          <w:rFonts w:ascii="Arial" w:cs="Arial" w:eastAsia="Arial" w:hAnsi="Arial"/>
          <w:sz w:val="17"/>
          <w:szCs w:val="17"/>
          <w:color w:val="auto"/>
        </w:rPr>
        <w:t>permits inventory delivery to each location, or directly to customers, within 24 hours from the time the order is placed. In addition, by actively monitoring market conditions, assessing product and expansion strategies and remaining abreast of changes within the market, we are able to proactively address market-by-market changes by realigning and, if necessary, adding product lines and models.</w:t>
      </w:r>
    </w:p>
    <w:p>
      <w:pPr>
        <w:spacing w:after="0" w:line="166" w:lineRule="exact"/>
        <w:rPr>
          <w:sz w:val="20"/>
          <w:szCs w:val="20"/>
          <w:color w:val="auto"/>
        </w:rPr>
      </w:pPr>
    </w:p>
    <w:p>
      <w:pPr>
        <w:jc w:val="both"/>
        <w:ind w:right="360" w:firstLine="648"/>
        <w:spacing w:after="0" w:line="286" w:lineRule="auto"/>
        <w:rPr>
          <w:sz w:val="20"/>
          <w:szCs w:val="20"/>
          <w:color w:val="auto"/>
        </w:rPr>
      </w:pPr>
      <w:r>
        <w:rPr>
          <w:rFonts w:ascii="Arial" w:cs="Arial" w:eastAsia="Arial" w:hAnsi="Arial"/>
          <w:sz w:val="17"/>
          <w:szCs w:val="17"/>
          <w:i w:val="1"/>
          <w:iCs w:val="1"/>
          <w:color w:val="auto"/>
        </w:rPr>
        <w:t xml:space="preserve">Growth Strategy. </w:t>
      </w:r>
      <w:r>
        <w:rPr>
          <w:rFonts w:ascii="Arial" w:cs="Arial" w:eastAsia="Arial" w:hAnsi="Arial"/>
          <w:sz w:val="17"/>
          <w:szCs w:val="17"/>
          <w:color w:val="auto"/>
        </w:rPr>
        <w:t>Through our expansion and acquisition initiatives, we have grown to operate a large, multistate, full-service network of truck</w:t>
      </w:r>
      <w:r>
        <w:rPr>
          <w:rFonts w:ascii="Arial" w:cs="Arial" w:eastAsia="Arial" w:hAnsi="Arial"/>
          <w:sz w:val="17"/>
          <w:szCs w:val="17"/>
          <w:i w:val="1"/>
          <w:iCs w:val="1"/>
          <w:color w:val="auto"/>
        </w:rPr>
        <w:t xml:space="preserve"> </w:t>
      </w:r>
      <w:r>
        <w:rPr>
          <w:rFonts w:ascii="Arial" w:cs="Arial" w:eastAsia="Arial" w:hAnsi="Arial"/>
          <w:sz w:val="17"/>
          <w:szCs w:val="17"/>
          <w:color w:val="auto"/>
        </w:rPr>
        <w:t>dealerships. As described below, we intend to continue to grow our business internally and through acquisitions by expanding into new geographic areas, expanding our product offerings and opening new one-stop truck and equipment centers in existing markets.</w:t>
      </w:r>
    </w:p>
    <w:p>
      <w:pPr>
        <w:spacing w:after="0" w:line="193" w:lineRule="exact"/>
        <w:rPr>
          <w:sz w:val="20"/>
          <w:szCs w:val="20"/>
          <w:color w:val="auto"/>
        </w:rPr>
      </w:pPr>
    </w:p>
    <w:p>
      <w:pPr>
        <w:ind w:left="980" w:right="180" w:hanging="324"/>
        <w:spacing w:after="0" w:line="245"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u w:val="single" w:color="auto"/>
          <w:color w:val="auto"/>
        </w:rPr>
        <w:t>Expansion Into New Geographic Areas.</w:t>
      </w:r>
      <w:r>
        <w:rPr>
          <w:rFonts w:ascii="Arial" w:cs="Arial" w:eastAsia="Arial" w:hAnsi="Arial"/>
          <w:sz w:val="18"/>
          <w:szCs w:val="18"/>
          <w:color w:val="auto"/>
        </w:rPr>
        <w:t xml:space="preserve"> We plan to continue to expand our Rush Truck Center network and build a Rush Equipment Center network by acquiring additional dealerships in geographic areas contiguous to our current operations. We have successfully expanded our presence from our Texas base into a coast-to-coast network of Rush Truck Centers. We believe the geographic diversity of our Rush Truck Center network has significantly expanded our customer base while reducing the effects of local economic cycles. Geographic diversification supports the sale of trucks and parts by allowing us to allocate our inventory among the geographic regions we serve based on market demand within these regions.</w:t>
      </w:r>
    </w:p>
    <w:p>
      <w:pPr>
        <w:spacing w:after="0" w:line="224" w:lineRule="exact"/>
        <w:rPr>
          <w:rFonts w:ascii="Arial" w:cs="Arial" w:eastAsia="Arial" w:hAnsi="Arial"/>
          <w:sz w:val="22"/>
          <w:szCs w:val="22"/>
          <w:color w:val="auto"/>
        </w:rPr>
      </w:pPr>
    </w:p>
    <w:p>
      <w:pPr>
        <w:ind w:left="980" w:right="340" w:hanging="324"/>
        <w:spacing w:after="0" w:line="297" w:lineRule="auto"/>
        <w:tabs>
          <w:tab w:leader="none" w:pos="975" w:val="left"/>
        </w:tabs>
        <w:numPr>
          <w:ilvl w:val="0"/>
          <w:numId w:val="3"/>
        </w:numPr>
        <w:rPr>
          <w:rFonts w:ascii="Arial" w:cs="Arial" w:eastAsia="Arial" w:hAnsi="Arial"/>
          <w:sz w:val="19"/>
          <w:szCs w:val="19"/>
          <w:color w:val="auto"/>
        </w:rPr>
      </w:pPr>
      <w:r>
        <w:rPr>
          <w:rFonts w:ascii="Arial" w:cs="Arial" w:eastAsia="Arial" w:hAnsi="Arial"/>
          <w:sz w:val="16"/>
          <w:szCs w:val="16"/>
          <w:u w:val="single" w:color="auto"/>
          <w:color w:val="auto"/>
        </w:rPr>
        <w:t>Expansion of Product Offerings.</w:t>
      </w:r>
      <w:r>
        <w:rPr>
          <w:rFonts w:ascii="Arial" w:cs="Arial" w:eastAsia="Arial" w:hAnsi="Arial"/>
          <w:sz w:val="16"/>
          <w:szCs w:val="16"/>
          <w:color w:val="auto"/>
        </w:rPr>
        <w:t xml:space="preserve"> We intend to continue to expand our product lines within our Rush Truck Centers and our Rush Equipment Center by adding product categories that are both complementary to our existing product lines and well suited to our operating model.</w:t>
      </w:r>
    </w:p>
    <w:p>
      <w:pPr>
        <w:spacing w:after="0" w:line="150" w:lineRule="exact"/>
        <w:rPr>
          <w:rFonts w:ascii="Arial" w:cs="Arial" w:eastAsia="Arial" w:hAnsi="Arial"/>
          <w:sz w:val="19"/>
          <w:szCs w:val="19"/>
          <w:color w:val="auto"/>
        </w:rPr>
      </w:pPr>
    </w:p>
    <w:p>
      <w:pPr>
        <w:ind w:left="980" w:right="520"/>
        <w:spacing w:after="0" w:line="277" w:lineRule="auto"/>
        <w:rPr>
          <w:rFonts w:ascii="Arial" w:cs="Arial" w:eastAsia="Arial" w:hAnsi="Arial"/>
          <w:sz w:val="19"/>
          <w:szCs w:val="19"/>
          <w:color w:val="auto"/>
        </w:rPr>
      </w:pPr>
      <w:r>
        <w:rPr>
          <w:rFonts w:ascii="Arial" w:cs="Arial" w:eastAsia="Arial" w:hAnsi="Arial"/>
          <w:sz w:val="18"/>
          <w:szCs w:val="18"/>
          <w:color w:val="auto"/>
        </w:rPr>
        <w:t>We believe that there are many additional product and service offerings that would complement our primary product lines. We expect any product category expansion that we pursue to satisfy our requirements that:</w:t>
      </w:r>
    </w:p>
    <w:p>
      <w:pPr>
        <w:spacing w:after="0" w:line="174" w:lineRule="exact"/>
        <w:rPr>
          <w:rFonts w:ascii="Arial" w:cs="Arial" w:eastAsia="Arial" w:hAnsi="Arial"/>
          <w:sz w:val="19"/>
          <w:szCs w:val="19"/>
          <w:color w:val="auto"/>
        </w:rPr>
      </w:pPr>
    </w:p>
    <w:p>
      <w:pPr>
        <w:ind w:left="1620" w:hanging="315"/>
        <w:spacing w:after="0"/>
        <w:tabs>
          <w:tab w:leader="none" w:pos="1620" w:val="left"/>
        </w:tabs>
        <w:numPr>
          <w:ilvl w:val="1"/>
          <w:numId w:val="3"/>
        </w:numPr>
        <w:rPr>
          <w:rFonts w:ascii="Arial" w:cs="Arial" w:eastAsia="Arial" w:hAnsi="Arial"/>
          <w:sz w:val="22"/>
          <w:szCs w:val="22"/>
          <w:color w:val="auto"/>
        </w:rPr>
      </w:pPr>
      <w:r>
        <w:rPr>
          <w:rFonts w:ascii="Arial" w:cs="Arial" w:eastAsia="Arial" w:hAnsi="Arial"/>
          <w:sz w:val="18"/>
          <w:szCs w:val="18"/>
          <w:color w:val="auto"/>
        </w:rPr>
        <w:t>the products are of a premium brand;</w:t>
      </w:r>
    </w:p>
    <w:p>
      <w:pPr>
        <w:spacing w:after="0" w:line="206" w:lineRule="exact"/>
        <w:rPr>
          <w:rFonts w:ascii="Arial" w:cs="Arial" w:eastAsia="Arial" w:hAnsi="Arial"/>
          <w:sz w:val="22"/>
          <w:szCs w:val="22"/>
          <w:color w:val="auto"/>
        </w:rPr>
      </w:pPr>
    </w:p>
    <w:p>
      <w:pPr>
        <w:ind w:left="1620" w:hanging="315"/>
        <w:spacing w:after="0"/>
        <w:tabs>
          <w:tab w:leader="none" w:pos="1620" w:val="left"/>
        </w:tabs>
        <w:numPr>
          <w:ilvl w:val="1"/>
          <w:numId w:val="3"/>
        </w:numPr>
        <w:rPr>
          <w:rFonts w:ascii="Arial" w:cs="Arial" w:eastAsia="Arial" w:hAnsi="Arial"/>
          <w:sz w:val="22"/>
          <w:szCs w:val="22"/>
          <w:color w:val="auto"/>
        </w:rPr>
      </w:pPr>
      <w:r>
        <w:rPr>
          <w:rFonts w:ascii="Arial" w:cs="Arial" w:eastAsia="Arial" w:hAnsi="Arial"/>
          <w:sz w:val="18"/>
          <w:szCs w:val="18"/>
          <w:color w:val="auto"/>
        </w:rPr>
        <w:t>the products provide opportunities for incremental income through related aftermarket sales, service or financing; and</w:t>
      </w:r>
    </w:p>
    <w:p>
      <w:pPr>
        <w:spacing w:after="0" w:line="206" w:lineRule="exact"/>
        <w:rPr>
          <w:rFonts w:ascii="Arial" w:cs="Arial" w:eastAsia="Arial" w:hAnsi="Arial"/>
          <w:sz w:val="22"/>
          <w:szCs w:val="22"/>
          <w:color w:val="auto"/>
        </w:rPr>
      </w:pPr>
    </w:p>
    <w:p>
      <w:pPr>
        <w:ind w:left="1620" w:hanging="315"/>
        <w:spacing w:after="0"/>
        <w:tabs>
          <w:tab w:leader="none" w:pos="1620" w:val="left"/>
        </w:tabs>
        <w:numPr>
          <w:ilvl w:val="1"/>
          <w:numId w:val="3"/>
        </w:numPr>
        <w:rPr>
          <w:rFonts w:ascii="Arial" w:cs="Arial" w:eastAsia="Arial" w:hAnsi="Arial"/>
          <w:sz w:val="22"/>
          <w:szCs w:val="22"/>
          <w:color w:val="auto"/>
        </w:rPr>
      </w:pPr>
      <w:r>
        <w:rPr>
          <w:rFonts w:ascii="Arial" w:cs="Arial" w:eastAsia="Arial" w:hAnsi="Arial"/>
          <w:sz w:val="18"/>
          <w:szCs w:val="18"/>
          <w:color w:val="auto"/>
        </w:rPr>
        <w:t>Rush operating controls can be implemented to enhance the financial performance of the business.</w:t>
      </w:r>
    </w:p>
    <w:p>
      <w:pPr>
        <w:spacing w:after="0" w:line="228" w:lineRule="exact"/>
        <w:rPr>
          <w:rFonts w:ascii="Arial" w:cs="Arial" w:eastAsia="Arial" w:hAnsi="Arial"/>
          <w:sz w:val="22"/>
          <w:szCs w:val="22"/>
          <w:color w:val="auto"/>
        </w:rPr>
      </w:pPr>
    </w:p>
    <w:p>
      <w:pPr>
        <w:ind w:left="980" w:right="40" w:hanging="324"/>
        <w:spacing w:after="0" w:line="243" w:lineRule="auto"/>
        <w:tabs>
          <w:tab w:leader="none" w:pos="975" w:val="left"/>
        </w:tabs>
        <w:numPr>
          <w:ilvl w:val="0"/>
          <w:numId w:val="3"/>
        </w:numPr>
        <w:rPr>
          <w:rFonts w:ascii="Arial" w:cs="Arial" w:eastAsia="Arial" w:hAnsi="Arial"/>
          <w:sz w:val="22"/>
          <w:szCs w:val="22"/>
          <w:color w:val="auto"/>
        </w:rPr>
      </w:pPr>
      <w:r>
        <w:rPr>
          <w:rFonts w:ascii="Arial" w:cs="Arial" w:eastAsia="Arial" w:hAnsi="Arial"/>
          <w:sz w:val="18"/>
          <w:szCs w:val="18"/>
          <w:u w:val="single" w:color="auto"/>
          <w:color w:val="auto"/>
        </w:rPr>
        <w:t>Open New Rush Truck and Equipment Centers in Existing Areas of Operation.</w:t>
      </w:r>
      <w:r>
        <w:rPr>
          <w:rFonts w:ascii="Arial" w:cs="Arial" w:eastAsia="Arial" w:hAnsi="Arial"/>
          <w:sz w:val="18"/>
          <w:szCs w:val="18"/>
          <w:color w:val="auto"/>
        </w:rPr>
        <w:t xml:space="preserve"> We believe that there are opportunities to increase our share of the heavy-duty truck market by introducing our one-stop centers to underserved markets within our current areas of operation. For example, we recently added a Rush Truck Center in Alice, Texas, to take better advantage of a high-density heavy-duty truck population within our existing area of operation. The introduction of additional one-stop centers enables us to enhance revenues from our existing customer base as well as increase the awareness of the “Rush” brand name for new customers.</w:t>
      </w:r>
    </w:p>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identifying new areas for expansion, we analyze the target market’s level of new truck registrations, customer buying and leasing trends and the existence of competing franchises. We also assess the potential performance of a parts and service center to determine whether a market is suitable for a Rush Truck Center. After a market has been strategically reviewed, we survey the region for a well-situated location. Whether we acquire existing dealerships or open a new Rush Truck Center, we will introduce our branding program and implement our integrated management system.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Dealerships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manage our dealerships as described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Truck Centers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Rush Truck Centers are responsible for sales of new and used heavy-duty and medium-duty trucks, as well as related parts and services.</w:t>
      </w:r>
    </w:p>
    <w:p>
      <w:pPr>
        <w:sectPr>
          <w:pgSz w:w="11900" w:h="16847" w:orient="portrait"/>
          <w:cols w:equalWidth="0" w:num="1">
            <w:col w:w="11400"/>
          </w:cols>
          <w:pgMar w:left="240" w:top="341" w:right="259" w:bottom="0" w:gutter="0" w:footer="0" w:header="0"/>
        </w:sectPr>
      </w:pPr>
    </w:p>
    <w:bookmarkStart w:id="5" w:name="page6"/>
    <w:bookmarkEnd w:id="5"/>
    <w:p>
      <w:pPr>
        <w:ind w:left="660"/>
        <w:spacing w:after="0"/>
        <w:rPr>
          <w:sz w:val="20"/>
          <w:szCs w:val="20"/>
          <w:color w:val="auto"/>
        </w:rPr>
      </w:pPr>
      <w:r>
        <w:rPr>
          <w:rFonts w:ascii="Arial" w:cs="Arial" w:eastAsia="Arial" w:hAnsi="Arial"/>
          <w:sz w:val="17"/>
          <w:szCs w:val="17"/>
          <w:u w:val="single" w:color="auto"/>
          <w:color w:val="auto"/>
        </w:rPr>
        <w:t>New Truck Sales</w:t>
      </w:r>
      <w:r>
        <w:rPr>
          <w:rFonts w:ascii="Arial" w:cs="Arial" w:eastAsia="Arial" w:hAnsi="Arial"/>
          <w:sz w:val="17"/>
          <w:szCs w:val="17"/>
          <w:color w:val="auto"/>
        </w:rPr>
        <w:t>.  New heavy-duty truck sales represent the largest portion of our revenue, accounting for approximately $1,074.4 million,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57.6%, of our total revenues for 2005. Rush Truck Centers primarily sell new Class 8 heavy-duty Peterbilt trucks, which constitute more than 86% of all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new truck revenue. The average delivery time for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custom-ordered truck can vary between 14 days to six months depending on vehicle specifications and demand. We also sell Class 8 heavy-duty trucks manufactured by Volvo Trucks of North America, Inc. at our Tulsa Rush Truck Center.</w:t>
      </w:r>
    </w:p>
    <w:p>
      <w:pPr>
        <w:spacing w:after="0" w:line="170"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Our Rush Truck Centers that sell new and used Class 8 heavy-duty trucks also sell Class 6 and Class 7 medium-duty Peterbilt trucks. Many Rush Truck Centers also sell medium-duty trucks manufactured by GMC, Hino, Isuzu and UD. Medium-duty truck sales accounted for approximately</w:t>
      </w:r>
    </w:p>
    <w:p>
      <w:pPr>
        <w:ind w:right="200"/>
        <w:spacing w:after="0" w:line="261" w:lineRule="auto"/>
        <w:rPr>
          <w:sz w:val="20"/>
          <w:szCs w:val="20"/>
          <w:color w:val="auto"/>
        </w:rPr>
      </w:pPr>
      <w:r>
        <w:rPr>
          <w:rFonts w:ascii="Arial" w:cs="Arial" w:eastAsia="Arial" w:hAnsi="Arial"/>
          <w:sz w:val="18"/>
          <w:szCs w:val="18"/>
          <w:color w:val="auto"/>
        </w:rPr>
        <w:t>$158.0 million, or 8.5%, of our total revenues for 2005. Our customers use heavy-duty and medium-duty trucks to haul various materials, including general freight, petroleum, wood products, refuse and construction materials.</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significant portion of our new truck sales are to fleet customers (customers who purchase more than five trucks in any 12-month period). Because of the size of our Rush Truck Center network, our strong relationships with our fleet customers and our ability to handle large quantities of used truck trade-ins, we are able to successfully market and sell to fleet customers nationwide. We believe that we have a competitive advantage over most other dealers in that we can absorb multiunit trade-ins often associated with fleet sales and effectively disperse the used trucks for resale throughout our dealership network. We believe that our attention to customer service and our broad range of trucking services, including our ability to offer truck financing and insurance to our customers, has resulted in a high level of customer loyalty.</w:t>
      </w:r>
    </w:p>
    <w:p>
      <w:pPr>
        <w:spacing w:after="0" w:line="193"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u w:val="single" w:color="auto"/>
          <w:color w:val="auto"/>
        </w:rPr>
        <w:t>Used Truck Sales</w:t>
      </w:r>
      <w:r>
        <w:rPr>
          <w:rFonts w:ascii="Arial" w:cs="Arial" w:eastAsia="Arial" w:hAnsi="Arial"/>
          <w:sz w:val="17"/>
          <w:szCs w:val="17"/>
          <w:color w:val="auto"/>
        </w:rPr>
        <w:t>. Used truck sales accounted for approximately $160.5 million, or 8.6%, of our total revenues for 2005. We primarily sell used Class 8 heavy-duty trucks, but we also sell used medium-duty trucks at several locations. We believe that we are well positioned to market used heavy-duty trucks due to our ability to recondition them for resale utilizing the parts and service departments of our Rush Truck Centers and our ability to move used trucks between Rush Truck Centers to satisfy customer demand. The majority of our used truck fleet consists of trucks taken as trade-ins from new truck customers, but we supplement our used truck fleet by purchasing used trucks from third parties for resale.</w:t>
      </w:r>
    </w:p>
    <w:p>
      <w:pPr>
        <w:spacing w:after="0" w:line="173"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u w:val="single" w:color="auto"/>
          <w:color w:val="auto"/>
        </w:rPr>
        <w:t>Truck Parts and Service</w:t>
      </w:r>
      <w:r>
        <w:rPr>
          <w:rFonts w:ascii="Arial" w:cs="Arial" w:eastAsia="Arial" w:hAnsi="Arial"/>
          <w:sz w:val="18"/>
          <w:szCs w:val="18"/>
          <w:color w:val="auto"/>
        </w:rPr>
        <w:t>. Truck-related parts and service revenues accounted for approximately $351.4 million, or 18.8%, of our total revenues for 2005. We are the sole authorized Peterbilt parts and accessories supplier in each of the geographic territories served by our Rush Truck Centers. The parts business enhances our sales and service functions and is a source of recurring revenue. Each Rush Truck Center carries a wide variety of Peterbilt and other truck parts in its inventory. Rush Truck Centers offer “menu” pricing of service and body shop functions. We also have field service trucks and technicians who are capable of making on-site repairs at our customers’ locations.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Rush Truck Centers also feature various combinations of fully equipped service and body shop facilities, the combination and configuration of which varies by location, capable of handling a broad range of truck repairs on most makes and classes of trucks. Each Rush Truck Center is a Peterbilt designated warranty service center and most are also authorized service centers for other manufacturers, including the following: Caterpillar, Cummins, Eaton Corporation and ArvinMeritor, Inc. We have more than 750 service and body shop bays, including 26 paint booths, throughout our Rush Truck Center network.</w:t>
      </w:r>
    </w:p>
    <w:p>
      <w:pPr>
        <w:spacing w:after="0" w:line="188"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We perform both warranty and nonwarranty service work. The cost of warranty work is reimbursed by the manufacturer at retail consumer rates. A majority of the service technicians at our Rush Truck Centers have been certified by various truck or component manufacturers.</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u w:val="single" w:color="auto"/>
          <w:color w:val="auto"/>
        </w:rPr>
        <w:t>Truck Leasing and Rental</w:t>
      </w:r>
      <w:r>
        <w:rPr>
          <w:rFonts w:ascii="Arial" w:cs="Arial" w:eastAsia="Arial" w:hAnsi="Arial"/>
          <w:sz w:val="17"/>
          <w:szCs w:val="17"/>
          <w:color w:val="auto"/>
        </w:rPr>
        <w:t>. Truck leasing and rental revenues accounted for approximately $33.9 million, or 1.8%, of our total revenues for 2005. We engage in full-service truck leasing under the PacLease trade name at nine of our Rush Truck Centers and are the largest PacLease dealer in the United States. Leasing and rental customers contribute to additional parts sales and service work at Rush Truck Centers because most of our leases require service and maintenance for the leased trucks to be performed at our facilities (or at facilities outside our service area, as we direct). Rented trucks are also generally serviced at our facilities. We have increased our lease and rental fleet from less than 100 trucks in 1993 to 1,798 trucks as of December 31, 2005. As of December 31, 2005, we owned approximately 55% of our lease and rental fleet, and leased the remaining trucks in our fleet primarily from PACCAR Financial Corporation (“PACCAR Financial”). Currently, the average age of the trucks in our lease and rental fleet is approximately 28 months. Generally, we hold trucks in our lease and rental fleet for approximately five years and then sell them through the used sales operations at our Rush Truck Centers. Historically, we have realized gains on the sale of used lease trucks in excess of the cost of the purchase option contained in our leases with PACCAR Financial or the book value of trucks owned by the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Rush Equipment Center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Rush Equipment Center in Houston, Texas is responsible for sales of new and used construction equipment and related parts and service.</w:t>
      </w:r>
    </w:p>
    <w:p>
      <w:pPr>
        <w:spacing w:after="0" w:line="237"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u w:val="single" w:color="auto"/>
          <w:color w:val="auto"/>
        </w:rPr>
        <w:t>New Construction Equipment Sales</w:t>
      </w:r>
      <w:r>
        <w:rPr>
          <w:rFonts w:ascii="Arial" w:cs="Arial" w:eastAsia="Arial" w:hAnsi="Arial"/>
          <w:sz w:val="16"/>
          <w:szCs w:val="16"/>
          <w:color w:val="auto"/>
        </w:rPr>
        <w:t>. New construction equipment sales accounted for approximately $38.2 million, or 2.0%, of our total revenues for 2005. Our Rush Equipment Center carries a complete line of John Deere construction equipment. A new piece of John Deere construction equipment typically ranges in price from $50,000 for a backhoe to $500,000 for an excavator. We carry a full line of complementary construction equipment manufactured by other suppliers to enhance our John Deere product line. We sell construction equipment to a diverse customer base including residential and commercial construction contractors, utility companies, government agencies, and various petrochemical, industrial and material supply businesses.</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believe that John Deere’s reputation for manufacturing high quality construction equipment attracts new and repeat customers who value lower maintenance and repair costs and a higher residual value at trade-in. We attempt to increase this brand loyalty with an operating strategy that is similar to the operating strategy used by our Rush Truck Centers and focuses on providing fast, reliable service. We believe that our operating strategy will enable us to both increase our customer base and generate repeat business for all product offerings.</w:t>
      </w:r>
    </w:p>
    <w:p>
      <w:pPr>
        <w:sectPr>
          <w:pgSz w:w="11900" w:h="16838" w:orient="portrait"/>
          <w:cols w:equalWidth="0" w:num="1">
            <w:col w:w="11420"/>
          </w:cols>
          <w:pgMar w:left="240" w:top="341" w:right="239" w:bottom="21" w:gutter="0" w:footer="0" w:header="0"/>
        </w:sectPr>
      </w:pPr>
    </w:p>
    <w:bookmarkStart w:id="6" w:name="page7"/>
    <w:bookmarkEnd w:id="6"/>
    <w:p>
      <w:pPr>
        <w:ind w:right="180" w:firstLine="648"/>
        <w:spacing w:after="0" w:line="259" w:lineRule="auto"/>
        <w:rPr>
          <w:sz w:val="20"/>
          <w:szCs w:val="20"/>
          <w:color w:val="auto"/>
        </w:rPr>
      </w:pPr>
      <w:r>
        <w:rPr>
          <w:rFonts w:ascii="Arial" w:cs="Arial" w:eastAsia="Arial" w:hAnsi="Arial"/>
          <w:sz w:val="18"/>
          <w:szCs w:val="18"/>
          <w:u w:val="single" w:color="auto"/>
          <w:color w:val="auto"/>
        </w:rPr>
        <w:t>Used Construction Equipment Sales</w:t>
      </w:r>
      <w:r>
        <w:rPr>
          <w:rFonts w:ascii="Arial" w:cs="Arial" w:eastAsia="Arial" w:hAnsi="Arial"/>
          <w:sz w:val="18"/>
          <w:szCs w:val="18"/>
          <w:color w:val="auto"/>
        </w:rPr>
        <w:t>. Used construction equipment sales accounted for approximately $3.5 million, or 0.2%, of our total revenues for 2005. We sell used construction equipment manufactured by several manufacturers, including John Deere, Case Corporation, Caterpillar, and Komatsu, Ltd. Our used construction equipment inventory is derived from trade-ins from our construction equipment customers and purchases from third parties.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u w:val="single" w:color="auto"/>
          <w:color w:val="auto"/>
        </w:rPr>
        <w:t>Construction Equipment Parts and Service</w:t>
      </w:r>
      <w:r>
        <w:rPr>
          <w:rFonts w:ascii="Arial" w:cs="Arial" w:eastAsia="Arial" w:hAnsi="Arial"/>
          <w:sz w:val="18"/>
          <w:szCs w:val="18"/>
          <w:color w:val="auto"/>
        </w:rPr>
        <w:t>. Construction equipment-related parts and service revenues accounted for approximately $14.5 million, or 0.8%, of our total revenues for 2005. Our Rush Equipment Center carries a wide variety of John Deere and other parts in its inventory, which consists of over 10,000 items from more than 15 suppliers. We are an authorized John Deere construction equipment parts and accessories supplier in the Houston, Texas area. We maintain a fully equipped service operation capable of handling repairs on John Deere construction equipment and most other brands of construction equipment at our Rush Equipment Center. We enhance our service presence with field service trucks and technicians who are capable of making on-site repairs at our customers’ locations.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Insurance Services</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sell a complete line of property and casualty insurance to our customers as well as to the general trucking public. Our agency is licensed to sell truck liability, general liability, collision and comprehensive, workers’ compensation, cargo, credit life and health and occupational accident insurance coverage throughout our operating territory. We serve as sales representatives for a number of leading insurance companies including the Great American Insurance Companies, Hartford Insurance Group and American General Financial Group. Our renewal rate during 2005 was 75%.</w:t>
      </w:r>
    </w:p>
    <w:p>
      <w:pPr>
        <w:spacing w:after="0" w:line="17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At our Rush Truck Centers and our Rush Equipment Center we have personnel responsible for arranging third-party financing for our product offerings. We also have licensed insurance agents at some of our dealerships in Arizona, California, Florida, New Mexico, Tennessee and Texas who arrange insurance for our customers. The sale of financial and insurance products accounted for approximately $15.4 million, or 0.8%, of our total revenue for 2005. Finance and insurance revenues have minimal direct costs and, therefore, contribute a disproportionate share of our operating profits.</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u w:val="single" w:color="auto"/>
          <w:color w:val="auto"/>
        </w:rPr>
        <w:t>New and Used Truck Financing</w:t>
      </w:r>
      <w:r>
        <w:rPr>
          <w:rFonts w:ascii="Arial" w:cs="Arial" w:eastAsia="Arial" w:hAnsi="Arial"/>
          <w:sz w:val="16"/>
          <w:szCs w:val="16"/>
          <w:color w:val="auto"/>
        </w:rPr>
        <w:t>. Primarily through General Electric Capital Corporation (“GE Capital”) and PACCAR Financial, we arranged customer financing of approximately $425.8 million in 2005, an increase of 77.6% from approximately $239.7 million in 2004. Generally, truck finance contracts are memorialized through the use of installment contracts, which are secured by the trucks financed, and require a down payment of 10% to 30% of the value of the financed truck, with the remaining balance financed over a two to five-year period. The majority of finance contracts are sold without recourse to the Company. The Company’s recourse liability related to finance contracts sold with recourse to the Company ranges from 5% to 100% of the outstanding amount of each note initiated on behalf of the finance company (see “Management’s Discussion and Analysis of Financial Condition and Results of Operations – Critical Accounting Policies”). The Company provides for an allowance for repossession losses and early repayment penalties.</w:t>
      </w:r>
    </w:p>
    <w:p>
      <w:pPr>
        <w:spacing w:after="0" w:line="16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u w:val="single" w:color="auto"/>
          <w:color w:val="auto"/>
        </w:rPr>
        <w:t>New and Used Construction Equipment</w:t>
      </w:r>
      <w:r>
        <w:rPr>
          <w:rFonts w:ascii="Arial" w:cs="Arial" w:eastAsia="Arial" w:hAnsi="Arial"/>
          <w:sz w:val="18"/>
          <w:szCs w:val="18"/>
          <w:color w:val="auto"/>
        </w:rPr>
        <w:t xml:space="preserve"> Financing. Through The CIT Group, Inc., CitiCapital, John Deere Credit and others, we arranged customer financing for approximately $26.0 million in 2005, an increase of 28.7% from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approximately $20.2 million in 2004. Generally, construction equipment finance contracts are memorialized through the use of installment or lease contracts, which are secured by the construction equipment financed, and generally require a down payment of 0% to 10% of the value of the financed piece of construction equipment, with the remaining balance being financed over a three to five-year period. All finance contracts for construction equipment are assigned without recourse.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established expansion and acquisition strategy and long history of operations in the heavy-duty truck business have resulted in a strong customer base that is diverse in terms of geography, industry and scale of operations. Rush Truck Centers’ customers include owner operators, regional and national truck fleets, corporations and local governments. During 2005, no single customer of our Rush Truck Centers accounted for more than 10% of our total truck sales by dollar volume. Our Rush Equipment Centers’ customer base is similarly diverse and, during 2005, no single Rush Equipment Center customer accounted for more than 10% of our total construction equipment sales by dollar volume. We generally promote our products and related services through direct customer contact by our sales personnel, advertisements in trade magazines and attendance at industry shows.</w:t>
      </w:r>
    </w:p>
    <w:p>
      <w:pPr>
        <w:spacing w:after="0" w:line="16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We believe that the consistently reliable service received by our customers, our longevity and our geographic diversity have resulted in increased market recognition of the “Rush” brand name and have served to reinforce customer loyalty. In an effort to enhance our name recognition and to communicate the standardized high level of quality products and services provided at our Rush Truck Centers and our Rush Equipment Center, we implement our “Rush” brand name concept at each of our dealerships. Each of our dealerships is identified as either a Rush Truck Center or Rush Equipment Center.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Management</w:t>
      </w:r>
    </w:p>
    <w:p>
      <w:pPr>
        <w:spacing w:after="0" w:line="22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 xml:space="preserve">Personnel. </w:t>
      </w:r>
      <w:r>
        <w:rPr>
          <w:rFonts w:ascii="Arial" w:cs="Arial" w:eastAsia="Arial" w:hAnsi="Arial"/>
          <w:sz w:val="17"/>
          <w:szCs w:val="17"/>
          <w:color w:val="auto"/>
        </w:rPr>
        <w:t>Each Rush Truck Center and the Rush Equipment Center is managed by a general manager who oversees the operations, personnel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financial performance of the location, subject to the direction of our corporate office. Additionally, each Rush Truck Center is typically staffed by a sales manager, parts manager, service manager, sales representatives, parts employees, and other service and makeready employees. The sales staff of each Rush Truck Center and the Rush Equipment Center is compensated on a salary plus commission basis, with a high percentage of their compensation consisting of commission, while the general manager, parts manager and service manager receive a combination of salary and performance bonus, with a high percentage of their compensation consisting of the performance bonus. We believe that our employees are among the highest paid in their respective industries which enables us to attract and retain qualified personnel.</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an annual basis, general managers prepare detailed monthly profit and loss forecasts based upon historical information and projected trends. A portion of each general manager’s performance bonus is based upon whether they meet or exceed their operating plans. During the year, general managers regularly review their facility’s progress with senior management and make appropriate adjustments as needed. Most of our employees receive annual performance evaluations.</w:t>
      </w:r>
    </w:p>
    <w:p>
      <w:pPr>
        <w:spacing w:after="0" w:line="187" w:lineRule="exact"/>
        <w:rPr>
          <w:sz w:val="20"/>
          <w:szCs w:val="20"/>
          <w:color w:val="auto"/>
        </w:rPr>
      </w:pPr>
    </w:p>
    <w:p>
      <w:pPr>
        <w:ind w:right="60" w:firstLine="648"/>
        <w:spacing w:after="0" w:line="381" w:lineRule="auto"/>
        <w:rPr>
          <w:sz w:val="20"/>
          <w:szCs w:val="20"/>
          <w:color w:val="auto"/>
        </w:rPr>
      </w:pPr>
      <w:r>
        <w:rPr>
          <w:rFonts w:ascii="Arial" w:cs="Arial" w:eastAsia="Arial" w:hAnsi="Arial"/>
          <w:sz w:val="15"/>
          <w:szCs w:val="15"/>
          <w:color w:val="auto"/>
        </w:rPr>
        <w:t>We have been successful in retaining our senior management and general managers. To promote communication and efficiency in operating standards, general managers and members of senior management attend several company-wide strategy sessions per year. In addition, management personnel</w:t>
      </w:r>
    </w:p>
    <w:p>
      <w:pPr>
        <w:sectPr>
          <w:pgSz w:w="11900" w:h="16838" w:orient="portrait"/>
          <w:cols w:equalWidth="0" w:num="1">
            <w:col w:w="11400"/>
          </w:cols>
          <w:pgMar w:left="240" w:top="125" w:right="259" w:bottom="0" w:gutter="0" w:footer="0" w:header="0"/>
        </w:sectPr>
      </w:pPr>
    </w:p>
    <w:bookmarkStart w:id="7" w:name="page8"/>
    <w:bookmarkEnd w:id="7"/>
    <w:p>
      <w:pPr>
        <w:jc w:val="both"/>
        <w:ind w:right="120"/>
        <w:spacing w:after="0" w:line="277" w:lineRule="auto"/>
        <w:rPr>
          <w:sz w:val="20"/>
          <w:szCs w:val="20"/>
          <w:color w:val="auto"/>
        </w:rPr>
      </w:pPr>
      <w:r>
        <w:rPr>
          <w:rFonts w:ascii="Arial" w:cs="Arial" w:eastAsia="Arial" w:hAnsi="Arial"/>
          <w:sz w:val="18"/>
          <w:szCs w:val="18"/>
          <w:color w:val="auto"/>
        </w:rPr>
        <w:t>attend various industry-sponsored leadership and management seminars and receive continuing education on the products we distribute, marketing strategies and management information systems.</w:t>
      </w:r>
    </w:p>
    <w:p>
      <w:pPr>
        <w:spacing w:after="0" w:line="170"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Members of senior management regularly travel to each location to provide on-site management and support. Each location is audited regularly for administrative record-keeping, human resources and environmental compliance matters. The Company has instituted succession planning pursuant to which employees in each Rush Truck Center and the Rush Equipment Center are groomed as assistant managers to assume management responsibilities in existing and future dealerships.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Purchasing and Suppliers. </w:t>
      </w:r>
      <w:r>
        <w:rPr>
          <w:rFonts w:ascii="Arial" w:cs="Arial" w:eastAsia="Arial" w:hAnsi="Arial"/>
          <w:sz w:val="17"/>
          <w:szCs w:val="17"/>
          <w:color w:val="auto"/>
        </w:rPr>
        <w:t>We believe that pricing is an important element of our marketing strategy. Because of our size, our Rush Truck Centers</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from volume purchases at favorable prices that permit them to achieve a competitive pricing position in the industry. We purchase our Peterbilt heavy-duty truck inventory and Peterbilt parts and accessories directly from PACCAR. All other manufacturers’ parts and accessories, including those of Caterpillar, Cummins and others, are purchased through wholesale vendors or from PACCAR, which buys such products in bulk for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resale to the Company and other Peterbilt dealers. All purchasing commitments are negotiated by personnel at our corporate headquarters. We have been able to negotiate favorable pricing levels and terms, which enables us to offer competitive prices for our products. We purchase all of our John Deere construction equipment inventory and John Deere parts directly from John Deere.</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Management Information Systems. </w:t>
      </w:r>
      <w:r>
        <w:rPr>
          <w:rFonts w:ascii="Arial" w:cs="Arial" w:eastAsia="Arial" w:hAnsi="Arial"/>
          <w:sz w:val="17"/>
          <w:szCs w:val="17"/>
          <w:color w:val="auto"/>
        </w:rPr>
        <w:t>Each Rush Truck Center and the Rush Equipment Center maintains a centralized real-time inventory tracking</w:t>
      </w:r>
      <w:r>
        <w:rPr>
          <w:rFonts w:ascii="Arial" w:cs="Arial" w:eastAsia="Arial" w:hAnsi="Arial"/>
          <w:sz w:val="17"/>
          <w:szCs w:val="17"/>
          <w:i w:val="1"/>
          <w:iCs w:val="1"/>
          <w:color w:val="auto"/>
        </w:rPr>
        <w:t xml:space="preserve"> </w:t>
      </w:r>
      <w:r>
        <w:rPr>
          <w:rFonts w:ascii="Arial" w:cs="Arial" w:eastAsia="Arial" w:hAnsi="Arial"/>
          <w:sz w:val="17"/>
          <w:szCs w:val="17"/>
          <w:color w:val="auto"/>
        </w:rPr>
        <w:t>system which is accessible simultaneously by all locations and by our corporate office. We utilize our management information systems to monitor the inventory level of trucks and parts at each of our dealerships. From information assimilated from management information systems, management has developed a model reflecting historic sales levels of different product lines. This model enables management to identify the appropriate level and combination of inventory and forms the basis of our operating plan. Our management information systems and databases are also used to monitor market conditions and sales information and assess product and expansion strategies.</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Information received from state and regulatory agencies, manufacturers, industry analysts and industry contacts allows us to determine market share statistics and gross volume sales numbers for our products as well as those of competitors. This information impacts ongoing operations because management remains aware of changes within the markets we service and is able to react accordingly by realigning product lines and by adding new product lines and models.</w:t>
      </w:r>
    </w:p>
    <w:p>
      <w:pPr>
        <w:spacing w:after="0" w:line="18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Distribution and Inventory Management. </w:t>
      </w:r>
      <w:r>
        <w:rPr>
          <w:rFonts w:ascii="Arial" w:cs="Arial" w:eastAsia="Arial" w:hAnsi="Arial"/>
          <w:sz w:val="16"/>
          <w:szCs w:val="16"/>
          <w:color w:val="auto"/>
        </w:rPr>
        <w:t>We utilize a real-time inventory tracking system to maintain a close link between each Rush Truck Center.</w:t>
      </w:r>
      <w:r>
        <w:rPr>
          <w:rFonts w:ascii="Arial" w:cs="Arial" w:eastAsia="Arial" w:hAnsi="Arial"/>
          <w:sz w:val="16"/>
          <w:szCs w:val="16"/>
          <w:i w:val="1"/>
          <w:iCs w:val="1"/>
          <w:color w:val="auto"/>
        </w:rPr>
        <w:t xml:space="preserve"> </w:t>
      </w:r>
      <w:r>
        <w:rPr>
          <w:rFonts w:ascii="Arial" w:cs="Arial" w:eastAsia="Arial" w:hAnsi="Arial"/>
          <w:sz w:val="16"/>
          <w:szCs w:val="16"/>
          <w:color w:val="auto"/>
        </w:rPr>
        <w:t>This link allows for timely and cost-effective sharing of managerial and sales information as well as the prompt transfer of inventory among various locations. The transfer of inventory reduces delays in delivery, helps maximize inventory turns and assists in controlling problems created by overstock and understock situations. We are linked directly to our major suppliers, including PACCAR (Peterbilt), GMC, and John Deere, via real-time communication links for purposes of ordering and inventory management. These automated reordering and communication systems allow us to maintain proper inventory levels and permit us to have inventory delivered to our locations, or directly to customers, typically within 24 hours of an order being placed.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Dispositions</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October 2005, the Company purchased certain assets of TEC of California, Inc., which consisted of GMC, Isuzu and Hino medium-duty franchises. The newly acquired lines were added to the Company’s existing medium-duty truck store in Fontana, California. The transaction was valued at approximately $3.4 million, with the purchase price paid in cash.</w:t>
      </w:r>
    </w:p>
    <w:p>
      <w:pPr>
        <w:spacing w:after="0" w:line="18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In September 2005, the Company purchased certain assets of Hayes Leasing Company, Inc., which consisted of GMC and UD medium-duty franchises. The newly acquired lines were added to the Company’s existing medium-duty truck store in Dallas, Texas. The transaction was valued at approximately $3.4 million, with the purchase price paid in cash.</w:t>
      </w:r>
    </w:p>
    <w:p>
      <w:pPr>
        <w:spacing w:after="0" w:line="181"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September 2005, the Company purchased certain assets of Barrett Trucks, LLC., which consisted of a GMC and Isuzu medium-duty dealership in Texarkana, Texas. The Company added Peterbilt trucks to the dealership and is operating the facility as a full-service Rush Truck Center offering heavy-duty and medium-duty trucks, parts and service. The transaction was valued at approximately $626,000, with the purchase price paid in cash.</w:t>
      </w:r>
    </w:p>
    <w:p>
      <w:pPr>
        <w:spacing w:after="0" w:line="147"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In July 2005, the Company purchased certain assets of Fountain Motor Co., Inc., which consisted of a GMC and Isuzu medium-duty dealership in Orlando, Florida. The Company added Peterbilt trucks and UD products to the dealership and is operating the facility as a full-service Rush Truck Center offering heavy-duty and medium-duty trucks, parts and service. The transaction was valued at approximately $2.8 million, with the purchase price paid in cash.</w:t>
      </w:r>
    </w:p>
    <w:p>
      <w:pPr>
        <w:spacing w:after="0" w:line="18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January 2005, the Company acquired certain assets of ATS, including its Peterbilt truck dealerships in Texas and Tennessee, for a total purchase price of $132.4 million. The acquisition provides the Company with rights to sell Peterbilt trucks and parts at new locations in Dallas, Fort Worth, Abilene and Tyler, Texas and Nashville, Tennessee. The transaction was financed with cash of $77.8 million, expansion of the Company’s existing floor plan agreement for truck inventory of $34.6 million, and the issuance of debt of approximately $20.0 million to finance the purchase of real estate and certain vehicles used in ATS’s leasing operations. Of the $77.8 million paid in cash, $21.9 million was for the purchase of a note receivable from the selling shareholders of ATS. This $21.9 million was immediately repaid by the selling shareholders at closing, resulting in net cash used in the acquisition of $55.9 million.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November 2003, the Company sold certain assets of our wholly owned subsidiary, Rush Truck Centers of Louisiana, Inc. The transaction was valued at approximately $5.5 million and paid in cash. The Company recognized a gain on sale of assets of approximately $1.6 million in the fourth quarter of 2003.</w:t>
      </w:r>
    </w:p>
    <w:p>
      <w:pPr>
        <w:sectPr>
          <w:pgSz w:w="11900" w:h="16838" w:orient="portrait"/>
          <w:cols w:equalWidth="0" w:num="1">
            <w:col w:w="11420"/>
          </w:cols>
          <w:pgMar w:left="240" w:top="125" w:right="239" w:bottom="15" w:gutter="0" w:footer="0" w:header="0"/>
        </w:sectPr>
      </w:pPr>
    </w:p>
    <w:bookmarkStart w:id="8" w:name="page9"/>
    <w:bookmarkEnd w:id="8"/>
    <w:p>
      <w:pPr>
        <w:ind w:right="320" w:firstLine="648"/>
        <w:spacing w:after="0" w:line="277" w:lineRule="auto"/>
        <w:rPr>
          <w:sz w:val="20"/>
          <w:szCs w:val="20"/>
          <w:color w:val="auto"/>
        </w:rPr>
      </w:pPr>
      <w:r>
        <w:rPr>
          <w:rFonts w:ascii="Arial" w:cs="Arial" w:eastAsia="Arial" w:hAnsi="Arial"/>
          <w:sz w:val="18"/>
          <w:szCs w:val="18"/>
          <w:color w:val="auto"/>
        </w:rPr>
        <w:t>In April 2003, the Company purchased substantially all of the assets of Peterbilt of Mobile, Inc., a Peterbilt dealership in Mobile, Alabama. The transaction was valued at approximately $1.4 million, with the purchase price paid in cash.</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February 2003, the Company acquired the common stock of Orange County Truck and Trailers, Inc., a Peterbilt dealer in central Florida. The acquisition provided Rush with the right to sell Peterbilt trucks and parts in central Florida from locations in Orlando, Haines City, and Tampa, Florida. The transaction was valued at approximately $5.4 million, with the purchase price paid in cash.</w:t>
      </w:r>
    </w:p>
    <w:p>
      <w:pPr>
        <w:spacing w:after="0" w:line="18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On November 12, 2002, the Company decided to discontinue its Retail Segment (“D&amp;D”), which operated three farm and ranch retail stores in Seguin, Hockley and Denton, Texas. The Company decided that the retail segment did not fit into its long-term plans of growing its core heavy-duty truck and construction equipment businesses. The Denton store was closed in December 2002, the Hockley store began liquidating inventory during November 2002 and completed the liquidation on March 9, 2003. The Company sold the Seguin store and Hockley real estate during the fourth quarter of 2004.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There is, and will continue to be, significant competition both within our current markets and in new markets we may enter. We anticipate that competition between us and other dealers will continue to increase in our current markets and on a national level based on the following:</w:t>
      </w:r>
    </w:p>
    <w:p>
      <w:pPr>
        <w:spacing w:after="0" w:line="151" w:lineRule="exact"/>
        <w:rPr>
          <w:sz w:val="20"/>
          <w:szCs w:val="20"/>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accessibility of dealership locations;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number of dealership locations;</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price, value, quality and design of the products sold; and</w:t>
      </w:r>
    </w:p>
    <w:p>
      <w:pPr>
        <w:spacing w:after="0" w:line="206" w:lineRule="exact"/>
        <w:rPr>
          <w:rFonts w:ascii="Arial" w:cs="Arial" w:eastAsia="Arial" w:hAnsi="Arial"/>
          <w:sz w:val="22"/>
          <w:szCs w:val="22"/>
          <w:color w:val="auto"/>
        </w:rPr>
      </w:pPr>
    </w:p>
    <w:p>
      <w:pPr>
        <w:ind w:left="980" w:hanging="324"/>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18"/>
          <w:szCs w:val="18"/>
          <w:color w:val="auto"/>
        </w:rPr>
        <w:t>attention to customer service (including technical service).</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new truck products compete with trucks made by other manufacturers and sold through competing independent and factory-owned truck dealerships, including trucks manufactured by Navistar, Mack, Freightliner, Kenworth, Volvo, Ford Motor Company, Western Star Truck Holdings, Ltd., and other manufacturers. Kenworth heavy-duty trucks are also manufactured by PACCAR, Peterbilt’s parent company, but are distributed through a different network of competing dealers. Our construction equipment products compete with construction equipment manufactured by Case Corporation, Caterpillar, Komatsu Ltd. and other manufacturers. We believe that our dealerships are able to compete with manufacturer-dealers, independent dealers and wholesalers, rental service companies and industrial auctioneers in distributing our products because of the following: the overall quality and reputation of the products we sell; “Rush” brand name recognition and reputation for quality service; and our ability to provide comprehensive parts and service support, as sell as financing, insurance and other customer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Dealership Agreements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i w:val="1"/>
          <w:iCs w:val="1"/>
          <w:color w:val="auto"/>
        </w:rPr>
        <w:t xml:space="preserve">Peterbilt. </w:t>
      </w:r>
      <w:r>
        <w:rPr>
          <w:rFonts w:ascii="Arial" w:cs="Arial" w:eastAsia="Arial" w:hAnsi="Arial"/>
          <w:sz w:val="18"/>
          <w:szCs w:val="18"/>
          <w:color w:val="auto"/>
        </w:rPr>
        <w:t>We have entered into nonexclusive dealership agreements with Peterbilt which authorize us to act as a dealer of Peterbilt heavy-duty</w:t>
      </w:r>
      <w:r>
        <w:rPr>
          <w:rFonts w:ascii="Arial" w:cs="Arial" w:eastAsia="Arial" w:hAnsi="Arial"/>
          <w:sz w:val="18"/>
          <w:szCs w:val="18"/>
          <w:i w:val="1"/>
          <w:iCs w:val="1"/>
          <w:color w:val="auto"/>
        </w:rPr>
        <w:t xml:space="preserve"> </w:t>
      </w:r>
      <w:r>
        <w:rPr>
          <w:rFonts w:ascii="Arial" w:cs="Arial" w:eastAsia="Arial" w:hAnsi="Arial"/>
          <w:sz w:val="18"/>
          <w:szCs w:val="18"/>
          <w:color w:val="auto"/>
        </w:rPr>
        <w:t>trucks. Our areas of responsibility currently encompass areas in the states of Alabama, Arizona, California, Colorado, Florida, New Mexico, Oklahoma, Tennessee and Texas. These dealership agreements have current terms expiring between March 2006 and January 2008 and impose certain operational obligations and financial requirements upon us and our dealerships. The Company’s dealership agreements with Peterbilt may be terminable by Peterbilt in the event the aggregate voting power of W. Marvin Rush and his family decreases below 30% with respect to the election of directors. These agreements also grant Peterbilt rights of first refusal under certain circumstances relating to any sale or transfer of our dealership locations or if certain Rush family members desire to sell more than 100,000 shares of our voting common stock within a 12-month period to anyone other than family members or certain other specified persons.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Any termination or non-renewal of these dealership agreements by Peterbilt must follow certain guidelines established by both state and federal legislation designed to protect dealers from arbitrary termination or non-renewal of franchise agreements. The Automobile Dealers Day in Court Act and other similar state laws provide that the termination or non-renewal of a dealership agreement must be done in “good faith” and upon a showing of “good cause” by the manufacturer for such termination or non-renewal, as such terms have been defined by statute and interpreted in case law.</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i w:val="1"/>
          <w:iCs w:val="1"/>
          <w:color w:val="auto"/>
        </w:rPr>
        <w:t xml:space="preserve">Other Truck Suppliers. </w:t>
      </w:r>
      <w:r>
        <w:rPr>
          <w:rFonts w:ascii="Arial" w:cs="Arial" w:eastAsia="Arial" w:hAnsi="Arial"/>
          <w:sz w:val="18"/>
          <w:szCs w:val="18"/>
          <w:color w:val="auto"/>
        </w:rPr>
        <w:t>In addition to our truck dealership agreements with Peterbilt, we are also an authorized dealer of trucks manufactured by</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manufacturers at the following locations: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7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Rush Truck Center</w:t>
            </w:r>
          </w:p>
        </w:tc>
        <w:tc>
          <w:tcPr>
            <w:tcW w:w="3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Heavy-Duty</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9"/>
              </w:rPr>
              <w:t>Medium-Duty</w:t>
            </w:r>
          </w:p>
        </w:tc>
        <w:tc>
          <w:tcPr>
            <w:tcW w:w="0" w:type="dxa"/>
            <w:vAlign w:val="bottom"/>
          </w:tcPr>
          <w:p>
            <w:pPr>
              <w:spacing w:after="0"/>
              <w:rPr>
                <w:sz w:val="1"/>
                <w:szCs w:val="1"/>
                <w:color w:val="auto"/>
              </w:rPr>
            </w:pPr>
          </w:p>
        </w:tc>
      </w:tr>
      <w:tr>
        <w:trPr>
          <w:trHeight w:val="171"/>
        </w:trPr>
        <w:tc>
          <w:tcPr>
            <w:tcW w:w="2760" w:type="dxa"/>
            <w:vAlign w:val="bottom"/>
            <w:gridSpan w:val="6"/>
            <w:vMerge w:val="continue"/>
          </w:tcPr>
          <w:p>
            <w:pPr>
              <w:spacing w:after="0"/>
              <w:rPr>
                <w:sz w:val="14"/>
                <w:szCs w:val="14"/>
                <w:color w:val="auto"/>
              </w:rPr>
            </w:pPr>
          </w:p>
        </w:tc>
        <w:tc>
          <w:tcPr>
            <w:tcW w:w="35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Truck Lines Sold</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3"/>
              </w:rPr>
              <w:t>Truck Lines Sold</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Alabama:</w:t>
            </w:r>
          </w:p>
        </w:tc>
        <w:tc>
          <w:tcPr>
            <w:tcW w:w="3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Mobile</w:t>
            </w:r>
          </w:p>
        </w:tc>
        <w:tc>
          <w:tcPr>
            <w:tcW w:w="2100" w:type="dxa"/>
            <w:vAlign w:val="bottom"/>
            <w:tcBorders>
              <w:top w:val="single" w:sz="8" w:color="CCEEFF"/>
            </w:tcBorders>
            <w:gridSpan w:val="3"/>
          </w:tcPr>
          <w:p>
            <w:pPr>
              <w:spacing w:after="0"/>
              <w:rPr>
                <w:sz w:val="18"/>
                <w:szCs w:val="18"/>
                <w:color w:val="auto"/>
              </w:rPr>
            </w:pPr>
          </w:p>
        </w:tc>
        <w:tc>
          <w:tcPr>
            <w:tcW w:w="3560" w:type="dxa"/>
            <w:vAlign w:val="bottom"/>
            <w:tcBorders>
              <w:top w:val="single" w:sz="8" w:color="CCEEFF"/>
            </w:tcBorders>
            <w:gridSpan w:val="2"/>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Peterbilt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gridSpan w:val="5"/>
          </w:tcPr>
          <w:p>
            <w:pPr>
              <w:spacing w:after="0" w:line="176" w:lineRule="exact"/>
              <w:rPr>
                <w:sz w:val="20"/>
                <w:szCs w:val="20"/>
                <w:color w:val="auto"/>
              </w:rPr>
            </w:pPr>
            <w:r>
              <w:rPr>
                <w:rFonts w:ascii="Arial" w:cs="Arial" w:eastAsia="Arial" w:hAnsi="Arial"/>
                <w:sz w:val="18"/>
                <w:szCs w:val="18"/>
                <w:b w:val="1"/>
                <w:bCs w:val="1"/>
                <w:i w:val="1"/>
                <w:iCs w:val="1"/>
                <w:color w:val="auto"/>
              </w:rPr>
              <w:t>Arizona:</w:t>
            </w:r>
          </w:p>
        </w:tc>
        <w:tc>
          <w:tcPr>
            <w:tcW w:w="3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Phoenix</w:t>
            </w:r>
          </w:p>
        </w:tc>
        <w:tc>
          <w:tcPr>
            <w:tcW w:w="35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GMC, HINO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Tucson</w:t>
            </w: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40" w:type="dxa"/>
            <w:vAlign w:val="bottom"/>
            <w:gridSpan w:val="5"/>
          </w:tcPr>
          <w:p>
            <w:pPr>
              <w:spacing w:after="0" w:line="176" w:lineRule="exact"/>
              <w:rPr>
                <w:sz w:val="20"/>
                <w:szCs w:val="20"/>
                <w:color w:val="auto"/>
              </w:rPr>
            </w:pPr>
            <w:r>
              <w:rPr>
                <w:rFonts w:ascii="Arial" w:cs="Arial" w:eastAsia="Arial" w:hAnsi="Arial"/>
                <w:sz w:val="18"/>
                <w:szCs w:val="18"/>
                <w:b w:val="1"/>
                <w:bCs w:val="1"/>
                <w:i w:val="1"/>
                <w:iCs w:val="1"/>
                <w:color w:val="auto"/>
              </w:rPr>
              <w:t>California:</w:t>
            </w:r>
          </w:p>
        </w:tc>
        <w:tc>
          <w:tcPr>
            <w:tcW w:w="3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El Centro</w:t>
            </w:r>
          </w:p>
        </w:tc>
        <w:tc>
          <w:tcPr>
            <w:tcW w:w="35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Escondido</w:t>
            </w: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HINO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Fontana Heavy-Duty</w:t>
            </w:r>
          </w:p>
        </w:tc>
        <w:tc>
          <w:tcPr>
            <w:tcW w:w="35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Fontana Medium-Duty</w:t>
            </w: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None</w:t>
            </w: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HINO, UD, GMC, Isuzu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Pico Rivera</w:t>
            </w:r>
          </w:p>
        </w:tc>
        <w:tc>
          <w:tcPr>
            <w:tcW w:w="35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auto"/>
              </w:rPr>
              <w:t>San Diego</w:t>
            </w:r>
          </w:p>
        </w:tc>
        <w:tc>
          <w:tcPr>
            <w:tcW w:w="356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Sylmar</w:t>
            </w:r>
          </w:p>
        </w:tc>
        <w:tc>
          <w:tcPr>
            <w:tcW w:w="35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Peterbilt</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0" w:type="dxa"/>
            <w:vAlign w:val="bottom"/>
          </w:tcPr>
          <w:p>
            <w:pPr>
              <w:spacing w:after="0"/>
              <w:rPr>
                <w:sz w:val="1"/>
                <w:szCs w:val="1"/>
                <w:color w:val="auto"/>
              </w:rPr>
            </w:pPr>
          </w:p>
        </w:tc>
      </w:tr>
    </w:tbl>
    <w:p>
      <w:pPr>
        <w:sectPr>
          <w:pgSz w:w="11900" w:h="16838" w:orient="portrait"/>
          <w:cols w:equalWidth="0" w:num="1">
            <w:col w:w="11380"/>
          </w:cols>
          <w:pgMar w:left="240" w:top="125" w:right="2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0" w:type="dxa"/>
            <w:vAlign w:val="bottom"/>
          </w:tcPr>
          <w:p>
            <w:pPr>
              <w:spacing w:after="0"/>
              <w:rPr>
                <w:sz w:val="19"/>
                <w:szCs w:val="19"/>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b w:val="1"/>
                <w:bCs w:val="1"/>
                <w:i w:val="1"/>
                <w:iCs w:val="1"/>
                <w:color w:val="auto"/>
              </w:rPr>
              <w:t>Colorado:</w:t>
            </w:r>
          </w:p>
        </w:tc>
        <w:tc>
          <w:tcPr>
            <w:tcW w:w="2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Denver</w:t>
            </w:r>
          </w:p>
        </w:tc>
        <w:tc>
          <w:tcPr>
            <w:tcW w:w="2080" w:type="dxa"/>
            <w:vAlign w:val="bottom"/>
            <w:tcBorders>
              <w:top w:val="single" w:sz="8" w:color="CCEEFF"/>
            </w:tcBorders>
            <w:gridSpan w:val="5"/>
          </w:tcPr>
          <w:p>
            <w:pPr>
              <w:spacing w:after="0"/>
              <w:rPr>
                <w:sz w:val="18"/>
                <w:szCs w:val="18"/>
                <w:color w:val="auto"/>
              </w:rPr>
            </w:pPr>
          </w:p>
        </w:tc>
        <w:tc>
          <w:tcPr>
            <w:tcW w:w="2160" w:type="dxa"/>
            <w:vAlign w:val="bottom"/>
            <w:tcBorders>
              <w:top w:val="single" w:sz="8" w:color="CCEEFF"/>
            </w:tcBorders>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38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Greeley</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276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Florida:</w:t>
            </w:r>
          </w:p>
        </w:tc>
        <w:tc>
          <w:tcPr>
            <w:tcW w:w="2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Haines City</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Orlando</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Peterbilt, UD, GMC, Isuzu</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Tampa</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Winter Garden</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276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New Mexico:</w:t>
            </w:r>
          </w:p>
        </w:tc>
        <w:tc>
          <w:tcPr>
            <w:tcW w:w="2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380" w:type="dxa"/>
            <w:vAlign w:val="bottom"/>
            <w:shd w:val="clear" w:color="auto" w:fill="CCEEFF"/>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vMerge w:val="continue"/>
          </w:tcPr>
          <w:p>
            <w:pPr>
              <w:spacing w:after="0"/>
              <w:rPr>
                <w:sz w:val="20"/>
                <w:szCs w:val="20"/>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Albuquerque</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UD</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80" w:type="dxa"/>
            <w:vAlign w:val="bottom"/>
          </w:tcPr>
          <w:p>
            <w:pPr>
              <w:jc w:val="right"/>
              <w:ind w:right="670"/>
              <w:spacing w:after="0"/>
              <w:rPr>
                <w:sz w:val="20"/>
                <w:szCs w:val="20"/>
                <w:color w:val="auto"/>
              </w:rPr>
            </w:pPr>
            <w:r>
              <w:rPr>
                <w:rFonts w:ascii="Arial" w:cs="Arial" w:eastAsia="Arial" w:hAnsi="Arial"/>
                <w:sz w:val="18"/>
                <w:szCs w:val="18"/>
                <w:color w:val="auto"/>
                <w:w w:val="99"/>
              </w:rPr>
              <w:t>11</w:t>
            </w:r>
          </w:p>
        </w:tc>
        <w:tc>
          <w:tcPr>
            <w:tcW w:w="4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90"/>
        </w:trPr>
        <w:tc>
          <w:tcPr>
            <w:tcW w:w="3420" w:type="dxa"/>
            <w:vAlign w:val="bottom"/>
            <w:gridSpan w:val="9"/>
            <w:vMerge w:val="restart"/>
          </w:tcPr>
          <w:p>
            <w:pPr>
              <w:ind w:left="660"/>
              <w:spacing w:after="0"/>
              <w:rPr>
                <w:sz w:val="20"/>
                <w:szCs w:val="20"/>
                <w:color w:val="auto"/>
              </w:rPr>
            </w:pPr>
            <w:r>
              <w:rPr>
                <w:rFonts w:ascii="Arial" w:cs="Arial" w:eastAsia="Arial" w:hAnsi="Arial"/>
                <w:sz w:val="14"/>
                <w:szCs w:val="14"/>
                <w:b w:val="1"/>
                <w:bCs w:val="1"/>
                <w:color w:val="auto"/>
              </w:rPr>
              <w:t>Rush Truck Center</w:t>
            </w:r>
          </w:p>
        </w:tc>
        <w:tc>
          <w:tcPr>
            <w:tcW w:w="2160" w:type="dxa"/>
            <w:vAlign w:val="bottom"/>
          </w:tcPr>
          <w:p>
            <w:pPr>
              <w:jc w:val="center"/>
              <w:ind w:left="891"/>
              <w:spacing w:after="0"/>
              <w:rPr>
                <w:sz w:val="20"/>
                <w:szCs w:val="20"/>
                <w:color w:val="auto"/>
              </w:rPr>
            </w:pPr>
            <w:r>
              <w:rPr>
                <w:rFonts w:ascii="Arial" w:cs="Arial" w:eastAsia="Arial" w:hAnsi="Arial"/>
                <w:sz w:val="14"/>
                <w:szCs w:val="14"/>
                <w:b w:val="1"/>
                <w:bCs w:val="1"/>
                <w:color w:val="auto"/>
                <w:w w:val="96"/>
              </w:rPr>
              <w:t>Heavy-Duty</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9"/>
              </w:rPr>
              <w:t>Medium-Duty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20" w:type="dxa"/>
            <w:vAlign w:val="bottom"/>
            <w:gridSpan w:val="9"/>
            <w:vMerge w:val="continue"/>
          </w:tcPr>
          <w:p>
            <w:pPr>
              <w:spacing w:after="0"/>
              <w:rPr>
                <w:sz w:val="14"/>
                <w:szCs w:val="14"/>
                <w:color w:val="auto"/>
              </w:rPr>
            </w:pPr>
          </w:p>
        </w:tc>
        <w:tc>
          <w:tcPr>
            <w:tcW w:w="2160" w:type="dxa"/>
            <w:vAlign w:val="bottom"/>
          </w:tcPr>
          <w:p>
            <w:pPr>
              <w:jc w:val="center"/>
              <w:ind w:left="891"/>
              <w:spacing w:after="0"/>
              <w:rPr>
                <w:sz w:val="20"/>
                <w:szCs w:val="20"/>
                <w:color w:val="auto"/>
              </w:rPr>
            </w:pPr>
            <w:r>
              <w:rPr>
                <w:rFonts w:ascii="Arial" w:cs="Arial" w:eastAsia="Arial" w:hAnsi="Arial"/>
                <w:sz w:val="14"/>
                <w:szCs w:val="14"/>
                <w:b w:val="1"/>
                <w:bCs w:val="1"/>
                <w:color w:val="auto"/>
                <w:w w:val="93"/>
              </w:rPr>
              <w:t>Truck Lines Sold</w:t>
            </w: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3"/>
              </w:rPr>
              <w:t>Truck Lines Sold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Borders>
              <w:top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84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8"/>
              </w:rPr>
              <w:t>Oklahoma:</w:t>
            </w:r>
          </w:p>
        </w:tc>
        <w:tc>
          <w:tcPr>
            <w:tcW w:w="1920" w:type="dxa"/>
            <w:vAlign w:val="bottom"/>
            <w:tcBorders>
              <w:bottom w:val="single" w:sz="8" w:color="CCEEFF"/>
            </w:tcBorders>
            <w:gridSpan w:val="3"/>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Tulsa</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2"/>
              </w:rPr>
              <w:t>Peterbilt, Volvo</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Oklahoma City</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GMC, HINO</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Ardmore</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vMerge w:val="continue"/>
          </w:tcPr>
          <w:p>
            <w:pPr>
              <w:spacing w:after="0"/>
              <w:rPr>
                <w:sz w:val="15"/>
                <w:szCs w:val="15"/>
                <w:color w:val="auto"/>
              </w:rPr>
            </w:pPr>
          </w:p>
        </w:tc>
        <w:tc>
          <w:tcPr>
            <w:tcW w:w="2760" w:type="dxa"/>
            <w:vAlign w:val="bottom"/>
            <w:gridSpan w:val="8"/>
          </w:tcPr>
          <w:p>
            <w:pPr>
              <w:spacing w:after="0" w:line="176" w:lineRule="exact"/>
              <w:rPr>
                <w:sz w:val="20"/>
                <w:szCs w:val="20"/>
                <w:color w:val="auto"/>
              </w:rPr>
            </w:pPr>
            <w:r>
              <w:rPr>
                <w:rFonts w:ascii="Arial" w:cs="Arial" w:eastAsia="Arial" w:hAnsi="Arial"/>
                <w:sz w:val="18"/>
                <w:szCs w:val="18"/>
                <w:b w:val="1"/>
                <w:bCs w:val="1"/>
                <w:i w:val="1"/>
                <w:iCs w:val="1"/>
                <w:color w:val="auto"/>
              </w:rPr>
              <w:t>Tennessee:</w:t>
            </w:r>
          </w:p>
        </w:tc>
        <w:tc>
          <w:tcPr>
            <w:tcW w:w="2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0" w:type="dxa"/>
            <w:vAlign w:val="bottom"/>
            <w:vMerge w:val="restart"/>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Nashville</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60" w:type="dxa"/>
            <w:vAlign w:val="bottom"/>
            <w:vMerge w:val="continue"/>
          </w:tcPr>
          <w:p>
            <w:pPr>
              <w:spacing w:after="0"/>
              <w:rPr>
                <w:sz w:val="17"/>
                <w:szCs w:val="17"/>
                <w:color w:val="auto"/>
              </w:rPr>
            </w:pPr>
          </w:p>
        </w:tc>
        <w:tc>
          <w:tcPr>
            <w:tcW w:w="4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0"/>
              </w:rPr>
              <w:t>Texas:</w:t>
            </w:r>
          </w:p>
        </w:tc>
        <w:tc>
          <w:tcPr>
            <w:tcW w:w="2280" w:type="dxa"/>
            <w:vAlign w:val="bottom"/>
            <w:tcBorders>
              <w:bottom w:val="single" w:sz="8" w:color="CCEEFF"/>
            </w:tcBorders>
            <w:gridSpan w:val="7"/>
            <w:shd w:val="clear" w:color="auto" w:fill="CCEEFF"/>
          </w:tcPr>
          <w:p>
            <w:pPr>
              <w:spacing w:after="0"/>
              <w:rPr>
                <w:sz w:val="17"/>
                <w:szCs w:val="17"/>
                <w:color w:val="auto"/>
              </w:rPr>
            </w:pPr>
          </w:p>
        </w:tc>
        <w:tc>
          <w:tcPr>
            <w:tcW w:w="2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380" w:type="dxa"/>
            <w:vAlign w:val="bottom"/>
            <w:tcBorders>
              <w:bottom w:val="single" w:sz="8" w:color="CCEEFF"/>
            </w:tcBorders>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Alice</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Austin</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HINO, UD, GMC, Isuzu</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Dallas Heavy-Duty</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Dallas Medium-Duty</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2"/>
              </w:rPr>
              <w:t>None</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Peterbilt, HINO, UD, GMC</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El Paso</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3"/>
              </w:rPr>
              <w:t>Peterbilt, GMC</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Fort Worth</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UD</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Houston</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Laredo</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Lufkin</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Pharr</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Peterbilt, HINO</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San Antonio</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4"/>
              </w:rPr>
              <w:t>Peterbilt, GMC, HINO</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Sealy</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tcPr>
          <w:p>
            <w:pPr>
              <w:spacing w:after="0"/>
              <w:rPr>
                <w:sz w:val="20"/>
                <w:szCs w:val="20"/>
                <w:color w:val="auto"/>
              </w:rPr>
            </w:pPr>
            <w:r>
              <w:rPr>
                <w:rFonts w:ascii="Arial" w:cs="Arial" w:eastAsia="Arial" w:hAnsi="Arial"/>
                <w:sz w:val="18"/>
                <w:szCs w:val="18"/>
                <w:color w:val="auto"/>
              </w:rPr>
              <w:t>Texarkana</w:t>
            </w:r>
          </w:p>
        </w:tc>
        <w:tc>
          <w:tcPr>
            <w:tcW w:w="2160" w:type="dxa"/>
            <w:vAlign w:val="bottom"/>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Arial" w:cs="Arial" w:eastAsia="Arial" w:hAnsi="Arial"/>
                <w:sz w:val="18"/>
                <w:szCs w:val="18"/>
                <w:color w:val="auto"/>
                <w:w w:val="92"/>
              </w:rPr>
              <w:t>Peterbilt, GMC, Isuzu</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76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Tyler</w:t>
            </w:r>
          </w:p>
        </w:tc>
        <w:tc>
          <w:tcPr>
            <w:tcW w:w="2160" w:type="dxa"/>
            <w:vAlign w:val="bottom"/>
            <w:shd w:val="clear" w:color="auto" w:fill="CCEEFF"/>
          </w:tcPr>
          <w:p>
            <w:pPr>
              <w:jc w:val="center"/>
              <w:ind w:left="871"/>
              <w:spacing w:after="0"/>
              <w:rPr>
                <w:sz w:val="20"/>
                <w:szCs w:val="20"/>
                <w:color w:val="auto"/>
              </w:rPr>
            </w:pPr>
            <w:r>
              <w:rPr>
                <w:rFonts w:ascii="Arial" w:cs="Arial" w:eastAsia="Arial" w:hAnsi="Arial"/>
                <w:sz w:val="18"/>
                <w:szCs w:val="18"/>
                <w:color w:val="auto"/>
                <w:w w:val="90"/>
              </w:rPr>
              <w:t>Peterbilt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-3862705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-3862705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Sales of non-Peterbilt medium-duty trucks accounted for less than 3.7% of our total revenues for 2005. These dealership agreements have current terms expiring between June 2006 and October 2010. These dealership agreements impose operating requirements upon us and require consent from the affected supplier for sale or transfer of such dealership agreement.</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 xml:space="preserve">John Deere. </w:t>
      </w:r>
      <w:r>
        <w:rPr>
          <w:rFonts w:ascii="Arial" w:cs="Arial" w:eastAsia="Arial" w:hAnsi="Arial"/>
          <w:sz w:val="18"/>
          <w:szCs w:val="18"/>
          <w:color w:val="auto"/>
        </w:rPr>
        <w:t>We have entered into a nonexclusive dealership agreement with John Deere which authorizes us to act as a dealer of John Deere</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utility and forestry equipment. This John Deere dealership agreement has no specified term or duration. Our current area of responsibility for the sale of John Deere construction equipment is the greater Houston, Texas metropolitan area. The John Deere dealership agreement imposes operational obligations and financial requirements of the Company. Like the dealership agreements with Peterbilt, the dealership agreement with John Deere is terminable if W. Marvin Rush’s percentage ownership of the Company falls below 25%, grants limited rights of first refusal and imposes certain financial requirements upon us and our dealership.</w:t>
      </w:r>
    </w:p>
    <w:p>
      <w:pPr>
        <w:spacing w:after="0" w:line="1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Other Construction Equipment Suppliers. </w:t>
      </w:r>
      <w:r>
        <w:rPr>
          <w:rFonts w:ascii="Arial" w:cs="Arial" w:eastAsia="Arial" w:hAnsi="Arial"/>
          <w:sz w:val="18"/>
          <w:szCs w:val="18"/>
          <w:color w:val="auto"/>
        </w:rPr>
        <w:t>In addition to John Deere, we are an authorized dealer for suppliers of other construction equipment.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such arrangements vary, but most of these dealership agreements contain termination provisions allowing the supplier to terminate the agreement after a specified notice period (usually 180 days).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Floor Plan Financing</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Trucks. </w:t>
      </w:r>
      <w:r>
        <w:rPr>
          <w:rFonts w:ascii="Arial" w:cs="Arial" w:eastAsia="Arial" w:hAnsi="Arial"/>
          <w:sz w:val="18"/>
          <w:szCs w:val="18"/>
          <w:color w:val="auto"/>
        </w:rPr>
        <w:t>We finance substantially all of our new truck inventory and the loan value of our used truck inventory under a floor plan arrangement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GE Capital. As of December 31, 2005, we had approximately $302.8 million outstanding under our GE Capital floor plan arrangement. Our GE Capital floor plan financing agreement provides for a three-year revolving credit facility which expires in September 2008. The current interest rate is the LIBOR rate plus 1.68%.</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Construction Equipment. </w:t>
      </w:r>
      <w:r>
        <w:rPr>
          <w:rFonts w:ascii="Arial" w:cs="Arial" w:eastAsia="Arial" w:hAnsi="Arial"/>
          <w:sz w:val="18"/>
          <w:szCs w:val="18"/>
          <w:color w:val="auto"/>
        </w:rPr>
        <w:t>We finance substantially all of our new construction equipment inventory under floor plan facilities with John Deere and</w:t>
      </w:r>
      <w:r>
        <w:rPr>
          <w:rFonts w:ascii="Arial" w:cs="Arial" w:eastAsia="Arial" w:hAnsi="Arial"/>
          <w:sz w:val="18"/>
          <w:szCs w:val="18"/>
          <w:i w:val="1"/>
          <w:iCs w:val="1"/>
          <w:color w:val="auto"/>
        </w:rPr>
        <w:t xml:space="preserve"> </w:t>
      </w:r>
      <w:r>
        <w:rPr>
          <w:rFonts w:ascii="Arial" w:cs="Arial" w:eastAsia="Arial" w:hAnsi="Arial"/>
          <w:sz w:val="18"/>
          <w:szCs w:val="18"/>
          <w:color w:val="auto"/>
        </w:rPr>
        <w:t>CitiCapital. Our John Deere facility has no set expiration date and its interest rate is the prime rate plus 1.5%. Our CitiCapital facility expires February 2007 and the current interest rate is the 30-day LIBOR rate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324" w:right="219" w:bottom="667" w:gutter="0" w:footer="0" w:header="0"/>
        </w:sectPr>
      </w:pPr>
    </w:p>
    <w:bookmarkStart w:id="10" w:name="page11"/>
    <w:bookmarkEnd w:id="10"/>
    <w:p>
      <w:pPr>
        <w:ind w:right="40"/>
        <w:spacing w:after="0" w:line="277" w:lineRule="auto"/>
        <w:rPr>
          <w:sz w:val="20"/>
          <w:szCs w:val="20"/>
          <w:color w:val="auto"/>
        </w:rPr>
      </w:pPr>
      <w:r>
        <w:rPr>
          <w:rFonts w:ascii="Arial" w:cs="Arial" w:eastAsia="Arial" w:hAnsi="Arial"/>
          <w:sz w:val="18"/>
          <w:szCs w:val="18"/>
          <w:color w:val="auto"/>
        </w:rPr>
        <w:t>plus 3.0%. As of December 31, 2005, we had $3.1 million outstanding under the floor plan arrangement with John Deere and $10.1 million outstanding under the floor plan arrangement with CitiCapital.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manufacturers we represent provide retail purchasers of their products with a limited warranty against defects in materials and workmanship, excluding certain specified components that are separately warranted by the suppliers of such components. We do not undertake to provide any warranty to our customers.</w:t>
      </w:r>
    </w:p>
    <w:p>
      <w:pPr>
        <w:spacing w:after="0" w:line="181"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We generally sell used trucks and construction equipment in “as is” condition without manufacturer’s warranty, although manufacturers sometimes will provide a limited warranty on their used products if such products have been properly reconditioned prior to resale or if the manufacturer’s warranty on such product is transferable and has not expired. We do not provide any warranty on used trucks or used construction equipment.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Peterbilt, John Deere, Volvo, GMC, Hino, Isuzu and UD trademarks and trade names, which are used in connection with our marketing and sales efforts, are subject to limited licenses included in our dealership agreements with each manufacturer. The licenses are for the same periods as our dealership agreements. These trademarks and trade names are recognized internationally and are important in the marketing of our products. Each licensor engages in a continuous program of trademark and trade name protection. We hold registered trademarks from the U.S. Patent and Trademark Office for the names “Rush Enterprises,” “Rush Truck Center” and “Rush Equipment Center.” We currently have a trademark application for “Chrome Country” pending before the U.S. Patent and Trademark Office.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December 31, 2005, the Company had 2,507 employees. The Company has no contracts or collective bargaining agreements with labor unions and has never experienced work stoppages. The Company consider our relations with our employees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Company’s heavy-duty truck business is moderately seasonal. Seasonal effects on new truck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truck parts and service operations historically have experienced higher sales volumes in the second and third quarters.</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Seasonal effects in the construction equipment business are primarily driven by the weather. Seasonal effects on construction equipment sales related to the seasonal purchasing patterns of any single customer type are mitigated by the Company’s diverse customer base that includes contractors for residential and commercial construction, utility companies, federal, state and local government agencies, and various petrochemical, industrial and material supply type businesses that require construction equipment in their daily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On December 31, 2005, the Company’s backlog of truck orders was approximately $584.0 million as compared to a backlog of truck orders of approximately $324.0 million on December 31, 2004. The Company includes only confirmed orders in its backlog. It currently takes between 14 days and six months for the Company to receive delivery of a truck once a customer special order is placed depending on the truck specifications and demand for the particular model ordered. The Company sells the majority of its new trucks by customer special order, with the remainder sold out of inventory. </w:t>
      </w:r>
      <w:r>
        <w:rPr>
          <w:rFonts w:ascii="Arial" w:cs="Arial" w:eastAsia="Arial" w:hAnsi="Arial"/>
          <w:sz w:val="15"/>
          <w:szCs w:val="15"/>
          <w:color w:val="auto"/>
        </w:rPr>
        <w:t>Orders from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number of the Company’s major fleet customers are included in the Company’s backlog as of December 31, 2005.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Standards and Other Governmental Regulations</w:t>
      </w:r>
    </w:p>
    <w:p>
      <w:pPr>
        <w:spacing w:after="0" w:line="22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operations are subject to numerous federal, state and local laws and regulations, including laws and regulations designed to protect the environment by regulating the discharge of materials into the environment. EPA emission guidelines have a major impact on our operations. The EPA mandated that diesel engine manufacturers meet new, stricter emissions guidelines regarding nitrous oxides for all engines built subsequent to October 1, 2002 and the EPA has placed additional guidelines, further restricting the emissions of nitrous oxides for all diesel engines built subsequent to January 1, 2007. In early 2002, the heavy-duty truck industry experienced an increased demand for trucks, as it historically has in the months preceding the effective date of a change in EPA emission guidelines; this period of increased demand was followed by a decrease in demand in the months subsequent to the change. The Company believes that the 2007 emission guidelines will cause demand for heavy-duty trucks to remain high through 2006 as some purchasers accelerate their normal purchase cycles to avoid purchasing 2007 engines. The Company expects a decrease in demand for trucks in the first half of 2007 due to the emissions guidelines. The severity of the decrease in demand for trucks in 2007 will depend upon several factors including, without limitation, new diesel engine prices, the results of tests on the new diesel engines designed to meet the 2007 standards and projected maintenance and operation costs of the new diesel engines and general economic conditions. Industry expectations are for the new engines to add $6,000 to $8,000 to the cost of a new Class 8 truck and increase maintenance and operating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An investment in our common stock is subject to risks inherent to our business. In addition to the other information contained in this Form 10-K, we recommend that you carefully consider the following risk factors in evaluating our business. If any of the following risks actually occur, our financial condition and results of operations could be materially and adversely affected. If this were to happen, the value of our common stock could decline significantly, and you could lose all or part of your investment. Please note that additional risks not presently known to us or that we currently deem immaterial may also impair our business and operations. This report is qualified in its entirety by these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ectPr>
          <w:pgSz w:w="11900" w:h="16838" w:orient="portrait"/>
          <w:cols w:equalWidth="0" w:num="1">
            <w:col w:w="11420"/>
          </w:cols>
          <w:pgMar w:left="240" w:top="125" w:right="239" w:bottom="0" w:gutter="0" w:footer="0" w:header="0"/>
        </w:sectPr>
      </w:pPr>
    </w:p>
    <w:bookmarkStart w:id="11" w:name="page12"/>
    <w:bookmarkEnd w:id="11"/>
    <w:p>
      <w:pPr>
        <w:spacing w:after="0"/>
        <w:rPr>
          <w:sz w:val="20"/>
          <w:szCs w:val="20"/>
          <w:color w:val="auto"/>
        </w:rPr>
      </w:pPr>
      <w:r>
        <w:rPr>
          <w:rFonts w:ascii="Arial" w:cs="Arial" w:eastAsia="Arial" w:hAnsi="Arial"/>
          <w:sz w:val="17"/>
          <w:szCs w:val="17"/>
          <w:i w:val="1"/>
          <w:iCs w:val="1"/>
          <w:color w:val="auto"/>
        </w:rPr>
        <w:t>We are substantially dependent upon PACCAR for the supply of Peterbilt trucks and parts, the sale of which generate substantially all of our revenues.</w:t>
      </w:r>
    </w:p>
    <w:p>
      <w:pPr>
        <w:spacing w:after="0" w:line="237"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currently operate as a dealer of Peterbilt trucks and parts pursuant to dealership agreements with Peterbilt. Peterbilt is a division of PACCAR. During 2005, a significant portion of our revenues resulted from sales of trucks purchased from Peterbilt and parts purchased from PACCAR. Due to our dependence on PACCAR and its Peterbilt division, we believe that the long-term success of our Rush Truck Centers depends, in large part, on the following:</w:t>
      </w:r>
    </w:p>
    <w:p>
      <w:pPr>
        <w:spacing w:after="0" w:line="15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maintaining our relationship with PACCAR;</w:t>
      </w:r>
    </w:p>
    <w:p>
      <w:pPr>
        <w:spacing w:after="0" w:line="228" w:lineRule="exact"/>
        <w:rPr>
          <w:rFonts w:ascii="Arial" w:cs="Arial" w:eastAsia="Arial" w:hAnsi="Arial"/>
          <w:sz w:val="22"/>
          <w:szCs w:val="22"/>
          <w:color w:val="auto"/>
        </w:rPr>
      </w:pPr>
    </w:p>
    <w:p>
      <w:pPr>
        <w:ind w:left="660" w:right="62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manufacture and delivery of competitively-priced, high quality Peterbilt trucks and parts by PACCAR in quantities sufficient to meet our requirements;</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PACCAR’s consent to our future acquisition of Peterbilt dealerships;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overall success of PACCAR and Peterbilt;</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PACCAR’s promotion of its Peterbilt division;</w:t>
      </w:r>
    </w:p>
    <w:p>
      <w:pPr>
        <w:spacing w:after="0" w:line="228" w:lineRule="exact"/>
        <w:rPr>
          <w:rFonts w:ascii="Arial" w:cs="Arial" w:eastAsia="Arial" w:hAnsi="Arial"/>
          <w:sz w:val="22"/>
          <w:szCs w:val="22"/>
          <w:color w:val="auto"/>
        </w:rPr>
      </w:pPr>
    </w:p>
    <w:p>
      <w:pPr>
        <w:ind w:left="660" w:right="520" w:hanging="328"/>
        <w:spacing w:after="0" w:line="232" w:lineRule="auto"/>
        <w:tabs>
          <w:tab w:leader="none" w:pos="655"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goodwill associated with the Peterbilt trademark, which can be adversely affected by decisions made by PACCAR and the owners of other Peterbilt dealerships; and</w:t>
      </w:r>
    </w:p>
    <w:p>
      <w:pPr>
        <w:spacing w:after="0" w:line="208"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management of the Peterbilt dealership system by PACCAR.</w:t>
      </w:r>
    </w:p>
    <w:p>
      <w:pPr>
        <w:spacing w:after="0" w:line="201"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18"/>
          <w:szCs w:val="18"/>
          <w:color w:val="auto"/>
        </w:rPr>
        <w:t>We have no control over the management or operation of PACCAR or Peterbilt dealerships that we do not own.</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Our dealership agreements may be terminable upon a change of control and we cannot control whether or not our largest shareholder and management maintain their current positions.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We have entered into nonexclusive dealership agreements with Peterbilt that authorize us to act as a dealer of Peterbilt trucks. Peterbilt may terminate our dealership agreements in the event of a change of control of the Company or if we violate any number of provisions in the dealership agreements. Under our Peterbilt dealership agreements, a change of control occurs if (i) with respect to the election of directors, the aggregate voting power held by W. Marvin Rush, W. M. “Rusty” Rush, W. Marvin Rush’s family members and other Rush executives decreases below 30% (such persons currently control 31.3% of the voting power with respect to the election of directors); or (ii) any person or entity other than W. Marvin Rush, W. M. “Rusty” Rush and other Rush executives or any person or entity who has been approved in writing by PACCAR, either (x) owns common stock with a greater percentage of the voting power with respect to the election of our directors than W. Marvin Rush and W. M. “Rusty” Rush and other Rush executives, in the aggregate, or</w:t>
      </w:r>
    </w:p>
    <w:p>
      <w:pPr>
        <w:spacing w:after="0" w:line="3" w:lineRule="exact"/>
        <w:rPr>
          <w:sz w:val="20"/>
          <w:szCs w:val="20"/>
          <w:color w:val="auto"/>
        </w:rPr>
      </w:pPr>
    </w:p>
    <w:p>
      <w:pPr>
        <w:ind w:firstLine="8"/>
        <w:spacing w:after="0" w:line="288"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holds the office of Chairman of the Board, President or Chief Executive Officer of the Company. We have no control over the transfer or disposition by W. Marvin Rush or by his estate of his common stock. If W. Marvin Rush were to sell his class B common stock or bequest his class B common stock to nonfamily members or if his estate is required to liquidate his class B common stock to pay estate taxes or otherwise, the change of control provisions of the Peterbilt dealership agreements may be triggered and cause us to lose our critical right to sell Peterbilt products. Our John Deere dealership agreement and some of our medium-duty truck dealership agreements are also terminable if the voting power of W. Marvin Rush and his family falls below certain percentages, typically 25%. If our dealership agreements with any manufacturer we currently represent are terminated, we will lose the right to purchase such manufacturer’s products and the right to use certain trademarks, which would have a material adverse effect on our operations, revenues and profitability.</w:t>
      </w:r>
    </w:p>
    <w:p>
      <w:pPr>
        <w:spacing w:after="0" w:line="1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If state dealer laws are repealed or weakened, our dealerships will be more susceptible to termination, nonrenewal or renegotiation of their dealership agreements.</w:t>
      </w:r>
    </w:p>
    <w:p>
      <w:pPr>
        <w:spacing w:after="0" w:line="170"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Our dealership agreements impose certain operational obligations and financial requirements on us. State dealer laws generally provide that a manufacturer may not terminate or refuse to renew a dealership agreement unless it has first provided the dealer with written notice setting forth good cause and stating the grounds for termination or nonrenewal. Manufacturers’ lobbying efforts may lead to the repeal or revision of state dealer laws. If dealer laws are repealed in the states in which we operate dealerships, our manufacturers may be able to terminate our dealership agreements without providing advance notice, an opportunity to cure or a showing of good cause. Without the protection of state dealer laws, or if such laws are weakened, we will be subject to higher risk of termination or non-renewal of our dealership agreements. Termination or non-renewal of our dealership agreements could have a material adverse effect on our operations, revenues and profitability.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dealership agreements have relatively short terms which could result in non-renewal or imposition of less favorable terms upon renewal.</w:t>
      </w:r>
    </w:p>
    <w:p>
      <w:pPr>
        <w:spacing w:after="0" w:line="225"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Our Peterbilt dealership agreements have current terms expiring between March 2006 and January 2008. Our Volvo dealership agreement has a current terms expiring August 2010. Our dealership agreements with GMC, Hino, UD and Isuzu for the sale of medium-duty trucks have current terms expiring between June 2006 and October 2010. Upon expiration of each agreement, we must request and negotiate a renewal. In many states state dealer franchise laws restrict the manufacturer’s ability to refuse to renew dealership agreements or to impose new terms upon renewal. To the extent such laws do permit non-renewal or imposition of new terms, the relatively short terms will give the manufacturers the opportunity to exercise such rights. Any non-renewal or imposition of less favorable terms upon renewal could have an adverse impact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depend on relationships with component suppliers for sales incentives, discounts and similar programs which are material to our operations.</w:t>
      </w:r>
    </w:p>
    <w:p>
      <w:pPr>
        <w:spacing w:after="0" w:line="237"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Each heavy-duty truck we sell is custom-built and each of our customers can choose components from any one of several component suppliers to construct their truck. Therefore, our dealerships depend on the component suppliers for sales incentives, discounts, warranties and other programs that are intended to promote our use of their components. Most of the incentives and discounts are individually negotiated and not always the same as those made available to our competitors. These incentives and discounts are material to our operations. A reduction or discontinuation of a component supplier’s incentive program could materially adversely affect our profitability.</w:t>
      </w:r>
    </w:p>
    <w:p>
      <w:pPr>
        <w:sectPr>
          <w:pgSz w:w="11900" w:h="16838" w:orient="portrait"/>
          <w:cols w:equalWidth="0" w:num="1">
            <w:col w:w="11400"/>
          </w:cols>
          <w:pgMar w:left="240" w:top="125"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63765" cy="4763"/>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7267575" cy="10795"/>
                    </a:xfrm>
                    <a:prstGeom prst="rect">
                      <a:avLst/>
                    </a:prstGeom>
                    <a:noFill/>
                  </pic:spPr>
                </pic:pic>
              </a:graphicData>
            </a:graphic>
          </wp:anchor>
        </w:drawing>
        <w:t>Substantial competition may affect our profitability.</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face vigorous competition for customers and for suitable dealership locations. We compete with a large number of independent and factory-owned dealers, some of which operate in more than one location, but most of which operate in a single location. There is significant competition both within the markets we currently serve and in markets that we may enter. Moreover, our Peterbilt dealership arrangements with PACCAR do not contractually provide us with exclusive dealerships in any territory. PACCAR could elect to create additional Peterbilt dealers in our market areas in the future. While Peterbilt dealership agreements, including ours, restrict dealers from operating sales or service facilities outside their assigned territory, such agreements do not restrict fleet or other sales or marketing activity outside the assigned territory. Accordingly, we engage in fleet sales and other marketing activities outside our assigned territories and other Peterbilt dealers may engage in similar activities within our territories. Dealer competition continues to increase and is affected by a number of factors including the accessibility of dealership locations, the number of dealership locations, product pricing, product value, product quality, product design and customer service (including technical service). We anticipate that we will continue to face strong competition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required to obtain additional financing to maintain adequate inventory levels.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heavy-duty truck business requires inventories of trucks held for sale to be maintained at dealer locations in order to facilitate immediate sales to customers on demand. We generally purchase truck inventories with the assistance of a floor plan financing agreement through GE Capital that provides for payment at the earlier of the time of sale for each truck financed or at a fixed date following delivery. In the event that our financing becomes insufficient to satisfy its future requirements, we would need to obtain similar financing from other sources. There is no assurance that such additional floor plan financing or alternate financing could be obtained or, if obtained, that it will be on commercially reasonable terms.</w:t>
      </w:r>
    </w:p>
    <w:p>
      <w:pPr>
        <w:spacing w:after="0" w:line="17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If we lose key personnel or are unable to attract additional qualified personnel, our business could be adversely affected because we rely on the industry knowledge and relationships of our key personnel.</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believe that our success depends significantly upon the efforts and abilities of our executive management and key employees, including, in particular, W. Marvin Rush and W. M. ”Rusty” Rush. Additionally, our business is dependent upon our ability to continue to attract and retain qualified personnel, such as executive officers, managers and sales personnel. We have entered into employment agreements with certain executive officers. The loss of the services of one or more members of our senior management team, including, in particular, W. Marvin Rush or W. M. ”Rusty” Rush, could have a material adverse effect on us and materially impair the efficiency and productivity of our operations. In addition, the loss of any of our key employees or the failure to attract additional qualified executive officers, managers and sales personnel could have a material adverse effect on our business and may materially impact the ability of our dealerships to conduct their operations in accordance with our business strategy.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dollar amount of our backlog, as stated at any given time, is not necessarily indicative of our future earnings.</w:t>
      </w:r>
    </w:p>
    <w:p>
      <w:pPr>
        <w:spacing w:after="0" w:line="225"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As of December 31, 2005, our backlog of new truck orders was approximately $584.0 million. Our backlog is determined quarterly by multiplying the number of new trucks for each particular type of truck on order at our Rush Truck Centers by the recent average selling price for that type of truck.</w:t>
      </w:r>
    </w:p>
    <w:p>
      <w:pPr>
        <w:spacing w:after="0" w:line="124" w:lineRule="exact"/>
        <w:rPr>
          <w:sz w:val="20"/>
          <w:szCs w:val="20"/>
          <w:color w:val="auto"/>
        </w:rPr>
      </w:pPr>
    </w:p>
    <w:p>
      <w:pPr>
        <w:jc w:val="both"/>
        <w:ind w:right="140" w:firstLine="648"/>
        <w:spacing w:after="0" w:line="279" w:lineRule="auto"/>
        <w:rPr>
          <w:sz w:val="20"/>
          <w:szCs w:val="20"/>
          <w:color w:val="auto"/>
        </w:rPr>
      </w:pPr>
      <w:r>
        <w:rPr>
          <w:rFonts w:ascii="Arial" w:cs="Arial" w:eastAsia="Arial" w:hAnsi="Arial"/>
          <w:sz w:val="17"/>
          <w:szCs w:val="17"/>
          <w:color w:val="auto"/>
        </w:rPr>
        <w:t xml:space="preserve">We only include confirmed orders in our backlog. However, such orders are subject to cancellation. In the event of order cancellation, we have no contractual right to the total revenues reflected in our backlog. It currently takes between 14 days and six months for us to receive delivery of a truck once a customer special order is placed depending on the truck specifications and demand for the particular model ordered. </w:t>
      </w:r>
      <w:r>
        <w:rPr>
          <w:rFonts w:ascii="Arial" w:cs="Arial" w:eastAsia="Arial" w:hAnsi="Arial"/>
          <w:sz w:val="16"/>
          <w:szCs w:val="16"/>
          <w:color w:val="auto"/>
        </w:rPr>
        <w:t>We sell the majority of our new heavy-duty trucks by customer special order, with the remainder sold out of inventory. Orders from a number of our major fleet customers are included in our backlog as of December 31, 2005. There can be no assurance that our major fleet customers will not cancel these orders.</w:t>
      </w:r>
    </w:p>
    <w:p>
      <w:pPr>
        <w:spacing w:after="0" w:line="174"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Reductions in backlog due to cancellation by a customer or for other reasons adversely affect, potentially to a material extent, the revenue and profit we actually receive from orders projected in our backlog. If we were to experience significant cancellations of orders in our backlog, our financial condition could be significantly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If Texas law were changed to impose the Texas franchise tax or new taxes on the assets or income of our subsidiary limited partnership, the amount of taxes we pay could increase significantly.</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Under current law, Texas imposes a franchise tax (which is based in part on net income) on corporations and limited liability companies that conduct business in Texas, but the Texas franchise tax is not currently imposed on limited partnerships that conduct business in Texas or on corporations and limited liability companies that are limited partners in such limited partnerships if the limited partners do not otherwise conduct business in Texas. A substantial portion of our assets located in Texas are held in Rush Truck Centers of Texas, L.P., a limited partnership, the limited partners of whom are subsidiary corporations. As a result, no Texas franchise tax is currently imposed on the assets or income of Rush Truck Centers of Texas, L.P.</w:t>
      </w:r>
    </w:p>
    <w:p>
      <w:pPr>
        <w:spacing w:after="0" w:line="15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On November 22, 2005, the Supreme Court of Texas held that the system for funding Texas public schools violates the provision of the Texas Constitution prohibiting a state property tax. In response to this recent decision, the Governor of Texas has said that he will call a special session of the Texas Legislature to address the constitutional deficiencies in the current public school finance system and has further stated that the entire tax system needs substantial reform. In past sessions of the Texas Legislature, several bills to address the public school finance system were introduced that would have subjected limited partnerships to the Texas franchise tax or would have subjected corporations and limited liability companies that are limited partners in limited partnerships to the Texas franchise tax, even if such corporations and limited liability companies did not otherwise conduct business in Texas. If such a bill is enacted by the Texas Legislature or new laws are enacted that subject the assets or income of our subsidiary limited partnership to new taxes, whether enacted in the anticipated special session or in any later session, the amount of taxes we pay will increase significantly.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dealerships are subject to federal, state and local environmental regulations that may result in claims and liabilities, which could be material.</w:t>
      </w:r>
    </w:p>
    <w:p>
      <w:pPr>
        <w:spacing w:after="0" w:line="23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are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and other materials; and the investigation and remediation of contamination. As with truck or construction equipment dealerships generally, and service, parts and body</w:t>
      </w:r>
    </w:p>
    <w:p>
      <w:pPr>
        <w:sectPr>
          <w:pgSz w:w="11900" w:h="16838" w:orient="portrait"/>
          <w:cols w:equalWidth="0" w:num="1">
            <w:col w:w="11420"/>
          </w:cols>
          <w:pgMar w:left="240" w:top="706" w:right="239" w:bottom="0" w:gutter="0" w:footer="0" w:header="0"/>
        </w:sectPr>
      </w:pPr>
    </w:p>
    <w:bookmarkStart w:id="13" w:name="page14"/>
    <w:bookmarkEnd w:id="13"/>
    <w:p>
      <w:pPr>
        <w:spacing w:after="0" w:line="289" w:lineRule="auto"/>
        <w:rPr>
          <w:sz w:val="20"/>
          <w:szCs w:val="20"/>
          <w:color w:val="auto"/>
        </w:rPr>
      </w:pPr>
      <w:r>
        <w:rPr>
          <w:rFonts w:ascii="Arial" w:cs="Arial" w:eastAsia="Arial" w:hAnsi="Arial"/>
          <w:sz w:val="16"/>
          <w:szCs w:val="16"/>
          <w:color w:val="auto"/>
        </w:rPr>
        <w:t>shop operations in particular, our business involves the use, storage, handling and contracting for recycling or disposal of hazardous materials or wastes and other environmentally sensitive materials. Operations involving the management of hazardous and nonhazardous materials are subject to requirements of the Resource Conservation and Recovery Act, or RCRA, and comparable state statutes. Our business also involves the operation of storage tanks containing such materials. Storage tanks are subject to periodic testing, containment, upgrading and removal under RCRA and comparable statutes. Furthermore, investigation or remediation may be necessary in the event of leaks or other discharges from current or former underground or aboveground storage tanks. We may also have liability in connection with materials that were sent to third-party recycling, treatment, or disposal facilities under the Comprehensive Environmental Response, Compensation and Liability Act, and comparable state statutes, which impose liability for investigation and remediation of contamination without regard to fault or the legality of the conduct that contributed to the contamination. Similar to many of our competitors, we have incurred and will continue to incur, capital and operating expenditures and other costs in complying with such laws and regulations.</w:t>
      </w:r>
    </w:p>
    <w:p>
      <w:pPr>
        <w:spacing w:after="0" w:line="16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Soil and groundwater contamination is known to exist at some of our current properties.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controlled by a single shareholder and his affiliates.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 Marvin Rush owns approximately 0.01% of our issued and outstanding shares of class A common stock and 34.9% of our issued and outstanding class B common stock. As a result of such ownership, Mr. Rush will have the power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effectively control us, including the election of directors, the determination of matters requiring shareholder approval and other matters pertaining to corporate governance.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class A common stock has limited voting power.</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Each share of class A common stock ranks substantially equal to each share of class B common stock with respect to receipt of any dividends or distributions declared on shares of common stock and the right to receive proceeds on liquidation or dissolution of us after payment of our indebtedness and liquidation preference payments to holders of preferred shares. However, holders of class A common stock have 1/20th of one vote per share on all matters requiring a shareholder vote, while holders of class B common stock have one full vote per share.</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Our dealership agreements and our shareholder rights plan could discourage another company from acquiring us and impede our ability to issue additional stock to raise capital or as consideration for future acquisitions.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A number of our dealership agreements impose restrictions on the sale and transfer of our common stock. These restrictions also may prevent or deter prospective acquirers from acquiring control of us and, therefore, may adversely impact the value of our common stock. For example, under the Peterbilt dealership agreements, except as may be otherwise approved from time to time by Peterbilt, W. Marvin Rush, W. M. “Rusty” Rush, W. Marvin Rush’s family members and other of our executives, in the aggregate, are required to retain a control of at least 30% of the voting power of our outstanding shares and voting power equal or superior to that of any other person or group. To reduce the risk of a change of control that might materially adversely affect our business or rights under our Peterbilt dealership agreements, we have adopted a shareholder rights plan, commonly referred to as a “poison pill.”</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W. Marvin Rush and members of his immediate family have granted Peterbilt a right of first refusal to purchase their respective shares of common stock in the event that any of such individuals desire to transfer in excess of 100,000 shares in any 12-month period to any person other than an immediate family member, an associate or a Dealer Principal (as defined in the Peterbilt dealership agreements). This right of first refusal, the number of shares owned by W. Marvin Rush, our adoption of the rights plan and the requirement in our dealership agreements that certain dealer principals retain a controlling interest in us, combined with the ability of the Board of Directors to issue shares of preferred stock without further vote or action by the shareholders, may discourage, delay or prevent a change in control without further action by our shareholders, which could adversely affect the market price of our common stock or prevent or delay a merger or acquisition that our shareholders may consider favorable. We do not have the right to waive the right of first refusal or the terms of its dealership agreements in order to accept a favorable offer, but our Board of Directors may redeem the rights under the rights plan to accept a favorable offer.</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Actions by our shareholders or prospective shareholders that would violate any of the above restrictions on our dealership agreements are generally outside our control. If we are unable to renegotiate these restrictions, we may be forced to terminate or sell one or more of our dealerships, which could have a material adverse effect on us. This may also inhibit our ability to acquire additional dealerships. These restrictions also may impede our ability to raise required capital or to issue our stock as consideration for future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 Rush Truck Center or Rush Equipment Center may be comprised of one or more locations, generally in close proximity, in the same metropolitan area. The following is a list of the Company’s Rush Truck Center and Rush Equipment Center locations as of January 1, 2006:</w:t>
      </w:r>
    </w:p>
    <w:p>
      <w:pPr>
        <w:sectPr>
          <w:pgSz w:w="11900" w:h="16838" w:orient="portrait"/>
          <w:cols w:equalWidth="0" w:num="1">
            <w:col w:w="11420"/>
          </w:cols>
          <w:pgMar w:left="240" w:top="125"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Property</w:t>
            </w:r>
          </w:p>
        </w:tc>
        <w:tc>
          <w:tcPr>
            <w:tcW w:w="1780" w:type="dxa"/>
            <w:vAlign w:val="bottom"/>
          </w:tcPr>
          <w:p>
            <w:pPr>
              <w:ind w:left="62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Owned or</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 of Activity and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Leased</w:t>
            </w: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Acquired or</w:t>
            </w:r>
          </w:p>
        </w:tc>
        <w:tc>
          <w:tcPr>
            <w:tcW w:w="3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Material Lease Expiration Dates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Occupied</w:t>
            </w: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Rush Truck Centers</w:t>
            </w:r>
          </w:p>
        </w:tc>
        <w:tc>
          <w:tcPr>
            <w:tcW w:w="3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Alabama:</w:t>
            </w: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Mobile</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Theodore, Alabama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Arizona:</w:t>
            </w: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Phoenix</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Phoenix, Arizona</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body,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Leasing, Phoenix</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Phoenix, Arizona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Leasing, parts and service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Tucson</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Tucson, Arizona</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Flagstaff</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Flagstaff, Arizona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Parts and service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Chandler</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Chandler, Arizona</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California:</w:t>
            </w: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Rush Truck Center of Pico Rivera</w:t>
            </w: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Pico Rivera, California</w:t>
            </w:r>
          </w:p>
        </w:tc>
        <w:tc>
          <w:tcPr>
            <w:tcW w:w="178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89"/>
              </w:rPr>
              <w:t>1994</w:t>
            </w:r>
          </w:p>
        </w:tc>
        <w:tc>
          <w:tcPr>
            <w:tcW w:w="30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w w:val="93"/>
              </w:rPr>
              <w:t>New, used, parts, service, body and financial (lease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term expires 6/30/2007)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Leasing, Pico Rivera</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Pico Rivera, California</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Leasing, parts and service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Rush Truck Center of Fontana</w:t>
            </w: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Fontana, California</w:t>
            </w:r>
          </w:p>
        </w:tc>
        <w:tc>
          <w:tcPr>
            <w:tcW w:w="178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89"/>
              </w:rPr>
              <w:t>1994</w:t>
            </w:r>
          </w:p>
        </w:tc>
        <w:tc>
          <w:tcPr>
            <w:tcW w:w="30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New, used, parts, service, financial and leasing</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(heavy-duty only)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Truck Center of Fontana</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Fontana, California</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2003</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w w:val="98"/>
              </w:rPr>
              <w:t>(medium-duty only) (lease term expires 9/1/2023)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Sylmar</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Sylmar, California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Truck Center of San Diego</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San Diego, California</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1999</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New, used, parts, service body and financial (lease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term expires 5/31/2009)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Leasing, San Diego</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San Diego, California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Leasing, parts and service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Escondido</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Escondido, California</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financial and leasing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El Centro</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El Centro, California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financial and leasing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Colorado:</w:t>
            </w: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Denver</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Denver, Colorado</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2000</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Greeley</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Greeley, Colorado</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1997</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Florida:</w:t>
            </w: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Truck Center of Winter Garden</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Winter Garden, Florida</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2003</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New, used, parts, service and financial (lease 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expires 9/14/2009)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Rush Truck Center of Haines City</w:t>
            </w: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Lake Hamilton, Florida</w:t>
            </w:r>
          </w:p>
        </w:tc>
        <w:tc>
          <w:tcPr>
            <w:tcW w:w="178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89"/>
              </w:rPr>
              <w:t>2003</w:t>
            </w:r>
          </w:p>
        </w:tc>
        <w:tc>
          <w:tcPr>
            <w:tcW w:w="30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w w:val="93"/>
              </w:rPr>
              <w:t>New, used, parts, service, body and financial (lease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term expires 1/31/2014)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Truck Center of Tampa</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Tampa, Florida</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2003</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New, used, parts, service and financial (lease 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expires 5/31/2009)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Rush Truck Center of Orlando</w:t>
            </w: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Orlando, Florida</w:t>
            </w:r>
          </w:p>
        </w:tc>
        <w:tc>
          <w:tcPr>
            <w:tcW w:w="178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89"/>
              </w:rPr>
              <w:t>2005</w:t>
            </w:r>
          </w:p>
        </w:tc>
        <w:tc>
          <w:tcPr>
            <w:tcW w:w="30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w w:val="93"/>
              </w:rPr>
              <w:t>New, used, parts, service, body and financial (lease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term expires 7/31/07)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500" w:type="dxa"/>
            <w:vAlign w:val="bottom"/>
            <w:gridSpan w:val="2"/>
          </w:tcPr>
          <w:p>
            <w:pPr>
              <w:jc w:val="right"/>
              <w:ind w:right="748"/>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500" w:type="dxa"/>
            <w:vAlign w:val="bottom"/>
            <w:tcBorders>
              <w:bottom w:val="single" w:sz="8" w:color="808080"/>
            </w:tcBorders>
            <w:gridSpan w:val="2"/>
          </w:tcPr>
          <w:p>
            <w:pPr>
              <w:spacing w:after="0"/>
              <w:rPr>
                <w:sz w:val="10"/>
                <w:szCs w:val="10"/>
                <w:color w:val="auto"/>
              </w:rPr>
            </w:pPr>
          </w:p>
        </w:tc>
        <w:tc>
          <w:tcPr>
            <w:tcW w:w="30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Owned or</w:t>
            </w: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3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 of Activity and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Property</w:t>
            </w:r>
          </w:p>
        </w:tc>
        <w:tc>
          <w:tcPr>
            <w:tcW w:w="178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Acquired or</w:t>
            </w:r>
          </w:p>
        </w:tc>
        <w:tc>
          <w:tcPr>
            <w:tcW w:w="3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gridSpan w:val="3"/>
            <w:vMerge w:val="continue"/>
          </w:tcPr>
          <w:p>
            <w:pPr>
              <w:spacing w:after="0"/>
              <w:rPr>
                <w:sz w:val="14"/>
                <w:szCs w:val="14"/>
                <w:color w:val="auto"/>
              </w:rPr>
            </w:pPr>
          </w:p>
        </w:tc>
        <w:tc>
          <w:tcPr>
            <w:tcW w:w="1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Leased</w:t>
            </w: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Occupied</w:t>
            </w:r>
          </w:p>
        </w:tc>
        <w:tc>
          <w:tcPr>
            <w:tcW w:w="3020" w:type="dxa"/>
            <w:vAlign w:val="bottom"/>
          </w:tcPr>
          <w:p>
            <w:pPr>
              <w:jc w:val="center"/>
              <w:spacing w:after="0"/>
              <w:rPr>
                <w:sz w:val="20"/>
                <w:szCs w:val="20"/>
                <w:color w:val="auto"/>
              </w:rPr>
            </w:pPr>
            <w:r>
              <w:rPr>
                <w:rFonts w:ascii="Arial" w:cs="Arial" w:eastAsia="Arial" w:hAnsi="Arial"/>
                <w:sz w:val="14"/>
                <w:szCs w:val="14"/>
                <w:b w:val="1"/>
                <w:bCs w:val="1"/>
                <w:color w:val="auto"/>
                <w:w w:val="94"/>
              </w:rPr>
              <w:t>Material Lease Expiration Dates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i w:val="1"/>
                <w:iCs w:val="1"/>
                <w:color w:val="auto"/>
              </w:rPr>
              <w:t>New Mexico</w:t>
            </w:r>
            <w:r>
              <w:rPr>
                <w:rFonts w:ascii="Arial" w:cs="Arial" w:eastAsia="Arial" w:hAnsi="Arial"/>
                <w:sz w:val="14"/>
                <w:szCs w:val="14"/>
                <w:i w:val="1"/>
                <w:iCs w:val="1"/>
                <w:color w:val="auto"/>
              </w:rPr>
              <w:t>:</w:t>
            </w:r>
          </w:p>
        </w:tc>
        <w:tc>
          <w:tcPr>
            <w:tcW w:w="300" w:type="dxa"/>
            <w:vAlign w:val="bottom"/>
            <w:tcBorders>
              <w:top w:val="single" w:sz="8" w:color="CCEEFF"/>
            </w:tcBorders>
            <w:shd w:val="clear" w:color="auto" w:fill="CCEEFF"/>
          </w:tcPr>
          <w:p>
            <w:pPr>
              <w:spacing w:after="0"/>
              <w:rPr>
                <w:sz w:val="12"/>
                <w:szCs w:val="12"/>
                <w:color w:val="auto"/>
              </w:rPr>
            </w:pPr>
          </w:p>
        </w:tc>
        <w:tc>
          <w:tcPr>
            <w:tcW w:w="178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30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Albuquerque</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Albuquerque, New Mexico</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2003</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Las Cruces</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Las Cruces, New Mexico</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2001</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Parts and service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gridSpan w:val="2"/>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Oklahoma:</w:t>
            </w: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Rush Truck Center of Tulsa</w:t>
            </w: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Tulsa, Oklahoma</w:t>
            </w:r>
          </w:p>
        </w:tc>
        <w:tc>
          <w:tcPr>
            <w:tcW w:w="178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89"/>
              </w:rPr>
              <w:t>1998</w:t>
            </w:r>
          </w:p>
        </w:tc>
        <w:tc>
          <w:tcPr>
            <w:tcW w:w="30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w w:val="93"/>
              </w:rPr>
              <w:t>New, used, parts, service, body and financial (lease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term expires 10/1/2023)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Oklahoma City</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Oklahoma City, Oklahoma</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1995</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Ardmore</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Ardmore, Oklahoma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2003</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and service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Perfection Equipment, Inc.</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Oklahoma City, Oklahoma</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2001</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Truck parts, service and upfitting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Perfection Equipment, Inc.</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Oklahoma City, Oklahoma</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Truck parts, service and upfitting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gridSpan w:val="2"/>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Tennessee:</w:t>
            </w: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Truck Center of Nashville</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Smyrna, Tennessee</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2005</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used, parts, service, body, financial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leasing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gridSpan w:val="2"/>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Texas:</w:t>
            </w: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Rush Truck Center of San Antonio</w:t>
            </w: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San Antonio, Texas</w:t>
            </w:r>
          </w:p>
        </w:tc>
        <w:tc>
          <w:tcPr>
            <w:tcW w:w="178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89"/>
              </w:rPr>
              <w:t>1973</w:t>
            </w:r>
          </w:p>
        </w:tc>
        <w:tc>
          <w:tcPr>
            <w:tcW w:w="30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New, used, parts, service, body, financial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leasing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Houston</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Houston, Texas</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2000</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Leasing, Houston</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Houston, Texas</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1988</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Leasing, parts, service and World Wide Tires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Sealy</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Sealy, Texas</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2000</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Laredo</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Laredo, Texas</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Truck Center of Lufkin</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Lufkin, Texas</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1992</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New, used, parts, service, body and financial (lease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term expires 9/30/2006)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Pharr</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Pharr, Texas</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1997</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Austin</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Austin, Texas</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2004</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El Paso</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El Paso, Texas</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2001</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Truck Center of Dallas</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Dallas, Texas</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2004</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New, used, parts, service, financial (medium-duty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only)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gridSpan w:val="2"/>
          </w:tcPr>
          <w:p>
            <w:pPr>
              <w:spacing w:after="0" w:line="130" w:lineRule="exact"/>
              <w:rPr>
                <w:sz w:val="20"/>
                <w:szCs w:val="20"/>
                <w:color w:val="auto"/>
              </w:rPr>
            </w:pPr>
            <w:r>
              <w:rPr>
                <w:rFonts w:ascii="Arial" w:cs="Arial" w:eastAsia="Arial" w:hAnsi="Arial"/>
                <w:sz w:val="14"/>
                <w:szCs w:val="14"/>
                <w:color w:val="auto"/>
              </w:rPr>
              <w:t>Rush Truck Center of Dallas</w:t>
            </w:r>
          </w:p>
        </w:tc>
        <w:tc>
          <w:tcPr>
            <w:tcW w:w="1780" w:type="dxa"/>
            <w:vAlign w:val="bottom"/>
          </w:tcPr>
          <w:p>
            <w:pPr>
              <w:spacing w:after="0" w:line="130" w:lineRule="exact"/>
              <w:rPr>
                <w:sz w:val="20"/>
                <w:szCs w:val="20"/>
                <w:color w:val="auto"/>
              </w:rPr>
            </w:pPr>
            <w:r>
              <w:rPr>
                <w:rFonts w:ascii="Arial" w:cs="Arial" w:eastAsia="Arial" w:hAnsi="Arial"/>
                <w:sz w:val="14"/>
                <w:szCs w:val="14"/>
                <w:color w:val="auto"/>
              </w:rPr>
              <w:t>Irving, Texas</w:t>
            </w:r>
          </w:p>
        </w:tc>
        <w:tc>
          <w:tcPr>
            <w:tcW w:w="1780" w:type="dxa"/>
            <w:vAlign w:val="bottom"/>
            <w:gridSpan w:val="3"/>
          </w:tcPr>
          <w:p>
            <w:pPr>
              <w:ind w:left="300"/>
              <w:spacing w:after="0" w:line="130" w:lineRule="exact"/>
              <w:rPr>
                <w:sz w:val="20"/>
                <w:szCs w:val="20"/>
                <w:color w:val="auto"/>
              </w:rPr>
            </w:pPr>
            <w:r>
              <w:rPr>
                <w:rFonts w:ascii="Arial" w:cs="Arial" w:eastAsia="Arial" w:hAnsi="Arial"/>
                <w:sz w:val="14"/>
                <w:szCs w:val="14"/>
                <w:color w:val="auto"/>
              </w:rPr>
              <w:t>Owned</w:t>
            </w:r>
          </w:p>
        </w:tc>
        <w:tc>
          <w:tcPr>
            <w:tcW w:w="1200" w:type="dxa"/>
            <w:vAlign w:val="bottom"/>
          </w:tcPr>
          <w:p>
            <w:pPr>
              <w:jc w:val="center"/>
              <w:spacing w:after="0" w:line="130" w:lineRule="exact"/>
              <w:rPr>
                <w:sz w:val="20"/>
                <w:szCs w:val="20"/>
                <w:color w:val="auto"/>
              </w:rPr>
            </w:pPr>
            <w:r>
              <w:rPr>
                <w:rFonts w:ascii="Arial" w:cs="Arial" w:eastAsia="Arial" w:hAnsi="Arial"/>
                <w:sz w:val="14"/>
                <w:szCs w:val="14"/>
                <w:color w:val="auto"/>
                <w:w w:val="89"/>
              </w:rPr>
              <w:t>2005</w:t>
            </w:r>
          </w:p>
        </w:tc>
        <w:tc>
          <w:tcPr>
            <w:tcW w:w="30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New, used, parts, service, body and financial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(heavy-duty only)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Fort Worth</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Fort Worth, Texas</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and service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Tyler</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Tyler, Texas</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Abilene</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Abilene, Texas</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Parts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Rush Truck Center of Texarkana</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Texarkana, Texas</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2005</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Rush Truck Center of Alice</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Alice, Texas</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2006</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used, parts, service and financial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tcPr>
          <w:p>
            <w:pPr>
              <w:spacing w:after="0" w:line="149" w:lineRule="exact"/>
              <w:rPr>
                <w:sz w:val="20"/>
                <w:szCs w:val="20"/>
                <w:color w:val="auto"/>
              </w:rPr>
            </w:pPr>
            <w:r>
              <w:rPr>
                <w:rFonts w:ascii="Arial" w:cs="Arial" w:eastAsia="Arial" w:hAnsi="Arial"/>
                <w:sz w:val="14"/>
                <w:szCs w:val="14"/>
                <w:color w:val="auto"/>
              </w:rPr>
              <w:t>World Wide Tires</w:t>
            </w:r>
          </w:p>
        </w:tc>
        <w:tc>
          <w:tcPr>
            <w:tcW w:w="1780" w:type="dxa"/>
            <w:vAlign w:val="bottom"/>
          </w:tcPr>
          <w:p>
            <w:pPr>
              <w:spacing w:after="0" w:line="149" w:lineRule="exact"/>
              <w:rPr>
                <w:sz w:val="20"/>
                <w:szCs w:val="20"/>
                <w:color w:val="auto"/>
              </w:rPr>
            </w:pPr>
            <w:r>
              <w:rPr>
                <w:rFonts w:ascii="Arial" w:cs="Arial" w:eastAsia="Arial" w:hAnsi="Arial"/>
                <w:sz w:val="14"/>
                <w:szCs w:val="14"/>
                <w:color w:val="auto"/>
              </w:rPr>
              <w:t>Kyle, Texas</w:t>
            </w:r>
          </w:p>
        </w:tc>
        <w:tc>
          <w:tcPr>
            <w:tcW w:w="1780" w:type="dxa"/>
            <w:vAlign w:val="bottom"/>
            <w:gridSpan w:val="3"/>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2004</w:t>
            </w:r>
          </w:p>
        </w:tc>
        <w:tc>
          <w:tcPr>
            <w:tcW w:w="30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Tires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World Wide Tires</w:t>
            </w:r>
          </w:p>
        </w:tc>
        <w:tc>
          <w:tcPr>
            <w:tcW w:w="1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Crockett, Texas</w:t>
            </w:r>
          </w:p>
        </w:tc>
        <w:tc>
          <w:tcPr>
            <w:tcW w:w="178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4"/>
                <w:szCs w:val="14"/>
                <w:color w:val="auto"/>
              </w:rPr>
              <w:t>Leased</w:t>
            </w:r>
          </w:p>
        </w:tc>
        <w:tc>
          <w:tcPr>
            <w:tcW w:w="1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1999</w:t>
            </w: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Tires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gridSpan w:val="2"/>
          </w:tcPr>
          <w:p>
            <w:pPr>
              <w:spacing w:after="0"/>
              <w:rPr>
                <w:sz w:val="12"/>
                <w:szCs w:val="12"/>
                <w:color w:val="auto"/>
              </w:rPr>
            </w:pPr>
          </w:p>
        </w:tc>
        <w:tc>
          <w:tcPr>
            <w:tcW w:w="1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Rush Equipment Center</w:t>
            </w:r>
          </w:p>
        </w:tc>
        <w:tc>
          <w:tcPr>
            <w:tcW w:w="1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20" w:type="dxa"/>
            <w:vAlign w:val="bottom"/>
            <w:gridSpan w:val="2"/>
          </w:tcPr>
          <w:p>
            <w:pPr>
              <w:spacing w:after="0"/>
              <w:rPr>
                <w:sz w:val="12"/>
                <w:szCs w:val="12"/>
                <w:color w:val="auto"/>
              </w:rPr>
            </w:pPr>
          </w:p>
        </w:tc>
        <w:tc>
          <w:tcPr>
            <w:tcW w:w="1780" w:type="dxa"/>
            <w:vAlign w:val="bottom"/>
          </w:tcPr>
          <w:p>
            <w:pPr>
              <w:spacing w:after="0"/>
              <w:rPr>
                <w:sz w:val="12"/>
                <w:szCs w:val="12"/>
                <w:color w:val="auto"/>
              </w:rPr>
            </w:pPr>
          </w:p>
        </w:tc>
        <w:tc>
          <w:tcPr>
            <w:tcW w:w="1780" w:type="dxa"/>
            <w:vAlign w:val="bottom"/>
            <w:gridSpan w:val="3"/>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Rush Equipment Center of Houston</w:t>
            </w:r>
          </w:p>
        </w:tc>
        <w:tc>
          <w:tcPr>
            <w:tcW w:w="1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Houston, Texas</w:t>
            </w:r>
          </w:p>
        </w:tc>
        <w:tc>
          <w:tcPr>
            <w:tcW w:w="1780" w:type="dxa"/>
            <w:vAlign w:val="bottom"/>
            <w:gridSpan w:val="3"/>
            <w:shd w:val="clear" w:color="auto" w:fill="CCEEFF"/>
          </w:tcPr>
          <w:p>
            <w:pPr>
              <w:ind w:left="300"/>
              <w:spacing w:after="0" w:line="130" w:lineRule="exact"/>
              <w:rPr>
                <w:sz w:val="20"/>
                <w:szCs w:val="20"/>
                <w:color w:val="auto"/>
              </w:rPr>
            </w:pPr>
            <w:r>
              <w:rPr>
                <w:rFonts w:ascii="Arial" w:cs="Arial" w:eastAsia="Arial" w:hAnsi="Arial"/>
                <w:sz w:val="14"/>
                <w:szCs w:val="14"/>
                <w:color w:val="auto"/>
              </w:rPr>
              <w:t>Owned</w:t>
            </w:r>
          </w:p>
        </w:tc>
        <w:tc>
          <w:tcPr>
            <w:tcW w:w="120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89"/>
              </w:rPr>
              <w:t>1997</w:t>
            </w:r>
          </w:p>
        </w:tc>
        <w:tc>
          <w:tcPr>
            <w:tcW w:w="300" w:type="dxa"/>
            <w:vAlign w:val="bottom"/>
            <w:shd w:val="clear" w:color="auto" w:fill="CCEEFF"/>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New, used, parts, service, leasing and rental, and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4"/>
                <w:szCs w:val="14"/>
                <w:color w:val="auto"/>
              </w:rPr>
              <w:t>financial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-4814570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-4814570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Company’s administrative offices are currently situated in approximately 38,000 square feet of leased space in New Braunfels, Texas. The Company leases a hangar in New Braunfels, Texas for the corporate aircraft. The Company</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04" w:right="219" w:bottom="545" w:gutter="0" w:footer="0" w:header="0"/>
        </w:sectPr>
      </w:pPr>
    </w:p>
    <w:bookmarkStart w:id="15" w:name="page16"/>
    <w:bookmarkEnd w:id="15"/>
    <w:p>
      <w:pPr>
        <w:ind w:right="80"/>
        <w:spacing w:after="0" w:line="259" w:lineRule="auto"/>
        <w:rPr>
          <w:sz w:val="20"/>
          <w:szCs w:val="20"/>
          <w:color w:val="auto"/>
        </w:rPr>
      </w:pPr>
      <w:r>
        <w:rPr>
          <w:rFonts w:ascii="Arial" w:cs="Arial" w:eastAsia="Arial" w:hAnsi="Arial"/>
          <w:sz w:val="18"/>
          <w:szCs w:val="18"/>
          <w:color w:val="auto"/>
        </w:rPr>
        <w:t>also acquired undeveloped land in Fort Worth and Temple, Texas and two residential properties from ATS in January 2005. The administrative offices of the Company’s insurance services division occupy 3,750 square feet of leased space in San Antonio, Texas and 2,000 square feet of leased space in Winter Garden, Florida. The Company also owns and operates a hunting ranch of approximately 6,500 acres in Cotulla, Texas. The Company uses the ranch for client development purposes and sells hunting trips on the ranch.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29"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No matters were submitted to a vote of the Company’s shareholders during the fourth quarter of the fiscal year ended December 31, 2005.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National Market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t>
      </w:r>
      <w:r>
        <w:rPr>
          <w:rFonts w:ascii="Arial" w:cs="Arial" w:eastAsia="Arial" w:hAnsi="Arial"/>
          <w:sz w:val="17"/>
          <w:szCs w:val="17"/>
          <w:color w:val="auto"/>
        </w:rPr>
        <w:t>under the symbols RUSHA and RUSHB.</w:t>
      </w:r>
    </w:p>
    <w:p>
      <w:pPr>
        <w:spacing w:after="0" w:line="124" w:lineRule="exact"/>
        <w:rPr>
          <w:sz w:val="20"/>
          <w:szCs w:val="20"/>
          <w:color w:val="auto"/>
        </w:rPr>
      </w:pPr>
    </w:p>
    <w:p>
      <w:pPr>
        <w:ind w:right="600" w:firstLine="648"/>
        <w:spacing w:after="0" w:line="280" w:lineRule="auto"/>
        <w:rPr>
          <w:sz w:val="20"/>
          <w:szCs w:val="20"/>
          <w:color w:val="auto"/>
        </w:rPr>
      </w:pPr>
      <w:r>
        <w:rPr>
          <w:rFonts w:ascii="Arial" w:cs="Arial" w:eastAsia="Arial" w:hAnsi="Arial"/>
          <w:sz w:val="18"/>
          <w:szCs w:val="18"/>
          <w:color w:val="auto"/>
        </w:rPr>
        <w:t>The following table sets forth the high and low sales prices for the Class A Common Stock and Class B Common Stock for the fiscal periods indicated and as quoted on The NASDAQ National Market</w:t>
      </w:r>
      <w:r>
        <w:rPr>
          <w:rFonts w:ascii="Arial" w:cs="Arial" w:eastAsia="Arial" w:hAnsi="Arial"/>
          <w:sz w:val="30"/>
          <w:szCs w:val="30"/>
          <w:color w:val="auto"/>
          <w:vertAlign w:val="superscript"/>
        </w:rPr>
        <w:t>®</w:t>
      </w:r>
      <w:r>
        <w:rPr>
          <w:rFonts w:ascii="Arial" w:cs="Arial" w:eastAsia="Arial" w:hAnsi="Arial"/>
          <w:sz w:val="17"/>
          <w:szCs w:val="17"/>
          <w:color w:val="auto"/>
        </w:rPr>
        <w:t>.</w:t>
      </w:r>
    </w:p>
    <w:p>
      <w:pPr>
        <w:spacing w:after="0" w:line="36"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Fiscal 2005:</w:t>
            </w: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16.65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16.82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17.45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16.64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Fiscal 2004:</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A Common Stock</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12.30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13.79</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14.08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16.50</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Class B Common Stock</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12.40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14.05</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 of March 3, 2006, there were approximately 53 record holders of the Class A Common Stock and approximately 58 record holders of the Class B Common Stock and approximately 3,460 beneficial holders of the Class A Common Stock and approximately 670 beneficial holders of the Class B Common Stock.</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intends to retain any earnings of the Company to support operations and to finance expansion and does not intend to pay cash dividends in the foreseeable future. Any future determination as to the payment of dividends will be at the discretion of the Board of Directors of the Company and will depend on the Company’s financial condition, results of operations, capital requirements and such other factors as the Board of Directors deems relevant.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sold any securities in the last three years that were not registered under the Securities Act.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 shares of the Company’s Class A Common Stock or Class B Common Stock were purchased by or on behalf of the Company or any affiliated purchaser in the fourth quarter of 2005.</w:t>
      </w:r>
    </w:p>
    <w:p>
      <w:pPr>
        <w:sectPr>
          <w:pgSz w:w="11900" w:h="16838" w:orient="portrait"/>
          <w:cols w:equalWidth="0" w:num="1">
            <w:col w:w="11400"/>
          </w:cols>
          <w:pgMar w:left="240" w:top="125" w:right="259" w:bottom="45" w:gutter="0" w:footer="0" w:header="0"/>
        </w:sectPr>
      </w:pPr>
    </w:p>
    <w:bookmarkStart w:id="16" w:name="page17"/>
    <w:bookmarkEnd w:id="16"/>
    <w:p>
      <w:pPr>
        <w:spacing w:after="0" w:line="6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Information regarding the Company’s equity compensation plans is incorporated by reference from Item 12, “Security Ownership of Certain Beneficial Owners and Management and Related Shareholder Matters,” of this annual report on Form 10-K, and should be considered an integral part of this Item 5.</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 xml:space="preserve">The information below was derived from the audited consolidated financial statements included in this report and reports we have previously filed with the SEC. This information should be read together with those consolidated financial statements and the notes to those consolidated financial statements. These historical results are not necessarily indicative of the results to be expected in the future. </w:t>
      </w:r>
      <w:r>
        <w:rPr>
          <w:rFonts w:ascii="Arial" w:cs="Arial" w:eastAsia="Arial" w:hAnsi="Arial"/>
          <w:sz w:val="16"/>
          <w:szCs w:val="16"/>
          <w:color w:val="auto"/>
        </w:rPr>
        <w:t>The selected financial data presented below may not be</w:t>
      </w:r>
      <w:r>
        <w:rPr>
          <w:rFonts w:ascii="Arial" w:cs="Arial" w:eastAsia="Arial" w:hAnsi="Arial"/>
          <w:sz w:val="17"/>
          <w:szCs w:val="17"/>
          <w:color w:val="auto"/>
        </w:rPr>
        <w:t xml:space="preserve"> </w:t>
      </w:r>
      <w:r>
        <w:rPr>
          <w:rFonts w:ascii="Arial" w:cs="Arial" w:eastAsia="Arial" w:hAnsi="Arial"/>
          <w:sz w:val="16"/>
          <w:szCs w:val="16"/>
          <w:color w:val="auto"/>
        </w:rPr>
        <w:t>comparable between periods in all material respects or indicative of the Company’s future financial position or results of operations due primarily to acquisitions and discontinued operations which occurred during the periods presented. See Note 17 to the Company’s Consolidated Financial Statements for a discussion of such acquisitions and Note 3 to the Company’s Consolidated Financial Statements for a discussion of such discontinued operations. The selected financial data presented below should be read in conjunction with the Company’s other financial information included elsewhere herein.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2001</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96"/>
              </w:rPr>
              <w:t>2004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gridSpan w:val="7"/>
          </w:tcPr>
          <w:p>
            <w:pPr>
              <w:jc w:val="center"/>
              <w:ind w:left="352"/>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SUMMARY OF INCOME STATEMENT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New and used truck sales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438,143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488,456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501,757</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738,225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Parts and service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188,566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211,478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249,818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285,206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365,908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Construction equipment sales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31,666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24,324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28,263</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32,305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Lease and rental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25,040</w:t>
            </w: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25,277</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25,847</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27,193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and insurance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5,448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2,164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3,361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4,141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691,513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757,147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815,332</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1,094,979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1,864,770</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Cost of products sold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562,316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615,942</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662,082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909,837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1,582,078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129,197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141,205</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153,250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185,142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282,692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101,832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111,721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124,207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141,947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8,594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18,189</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20,890</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34,076</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Gain on sale of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Income from continuing operations before income taxes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71,138</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3,996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5,818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11,574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9,450</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17,176</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(loss) from discontinued operations, net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(2,731)</w:t>
            </w:r>
          </w:p>
        </w:tc>
        <w:tc>
          <w:tcPr>
            <w:tcW w:w="260" w:type="dxa"/>
            <w:vAlign w:val="bottom"/>
          </w:tcPr>
          <w:p>
            <w:pPr>
              <w:spacing w:after="0"/>
              <w:rPr>
                <w:sz w:val="18"/>
                <w:szCs w:val="18"/>
                <w:color w:val="auto"/>
              </w:rPr>
            </w:pPr>
          </w:p>
        </w:tc>
        <w:tc>
          <w:tcPr>
            <w:tcW w:w="1180" w:type="dxa"/>
            <w:vAlign w:val="bottom"/>
            <w:gridSpan w:val="2"/>
          </w:tcPr>
          <w:p>
            <w:pPr>
              <w:jc w:val="right"/>
              <w:ind w:right="148"/>
              <w:spacing w:after="0"/>
              <w:rPr>
                <w:sz w:val="20"/>
                <w:szCs w:val="20"/>
                <w:color w:val="auto"/>
              </w:rPr>
            </w:pPr>
            <w:r>
              <w:rPr>
                <w:rFonts w:ascii="Arial" w:cs="Arial" w:eastAsia="Arial" w:hAnsi="Arial"/>
                <w:sz w:val="18"/>
                <w:szCs w:val="18"/>
                <w:color w:val="auto"/>
              </w:rPr>
              <w:t>(10,472)</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(621)</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0.43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0.67</w:t>
            </w:r>
          </w:p>
        </w:tc>
        <w:tc>
          <w:tcPr>
            <w:tcW w:w="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0.23</w:t>
            </w:r>
          </w:p>
        </w:tc>
        <w:tc>
          <w:tcPr>
            <w:tcW w:w="3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(0.12)</w:t>
            </w:r>
          </w:p>
        </w:tc>
        <w:tc>
          <w:tcPr>
            <w:tcW w:w="28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0.63</w:t>
            </w:r>
          </w:p>
        </w:tc>
        <w:tc>
          <w:tcPr>
            <w:tcW w:w="240" w:type="dxa"/>
            <w:vAlign w:val="bottom"/>
            <w:tcBorders>
              <w:top w:val="single" w:sz="8" w:color="CCEEFF"/>
              <w:bottom w:val="single" w:sz="8" w:color="CCEEFF"/>
            </w:tcBorders>
          </w:tcPr>
          <w:p>
            <w:pPr>
              <w:spacing w:after="0"/>
              <w:rPr>
                <w:sz w:val="18"/>
                <w:szCs w:val="18"/>
                <w:color w:val="auto"/>
              </w:rPr>
            </w:pPr>
          </w:p>
        </w:tc>
        <w:tc>
          <w:tcPr>
            <w:tcW w:w="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3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 – Diluted</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0.42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0.60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14,004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14,004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14,042</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rPr>
              <w:t>Diluted weighted average shares and assumed</w:t>
            </w: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vMerge w:val="restart"/>
          </w:tcPr>
          <w:p>
            <w:pPr>
              <w:jc w:val="right"/>
              <w:ind w:right="210"/>
              <w:spacing w:after="0"/>
              <w:rPr>
                <w:sz w:val="20"/>
                <w:szCs w:val="20"/>
                <w:color w:val="auto"/>
              </w:rPr>
            </w:pPr>
            <w:r>
              <w:rPr>
                <w:rFonts w:ascii="Arial" w:cs="Arial" w:eastAsia="Arial" w:hAnsi="Arial"/>
                <w:sz w:val="18"/>
                <w:szCs w:val="18"/>
                <w:color w:val="auto"/>
              </w:rPr>
              <w:t>14,166</w:t>
            </w:r>
          </w:p>
        </w:tc>
        <w:tc>
          <w:tcPr>
            <w:tcW w:w="260" w:type="dxa"/>
            <w:vAlign w:val="bottom"/>
          </w:tcPr>
          <w:p>
            <w:pPr>
              <w:spacing w:after="0"/>
              <w:rPr>
                <w:sz w:val="15"/>
                <w:szCs w:val="15"/>
                <w:color w:val="auto"/>
              </w:rPr>
            </w:pPr>
          </w:p>
        </w:tc>
        <w:tc>
          <w:tcPr>
            <w:tcW w:w="1180" w:type="dxa"/>
            <w:vAlign w:val="bottom"/>
            <w:gridSpan w:val="2"/>
            <w:vMerge w:val="restart"/>
          </w:tcPr>
          <w:p>
            <w:pPr>
              <w:jc w:val="right"/>
              <w:ind w:right="208"/>
              <w:spacing w:after="0"/>
              <w:rPr>
                <w:sz w:val="20"/>
                <w:szCs w:val="20"/>
                <w:color w:val="auto"/>
              </w:rPr>
            </w:pPr>
            <w:r>
              <w:rPr>
                <w:rFonts w:ascii="Arial" w:cs="Arial" w:eastAsia="Arial" w:hAnsi="Arial"/>
                <w:sz w:val="18"/>
                <w:szCs w:val="18"/>
                <w:color w:val="auto"/>
              </w:rPr>
              <w:t>14,461</w:t>
            </w:r>
          </w:p>
        </w:tc>
        <w:tc>
          <w:tcPr>
            <w:tcW w:w="100" w:type="dxa"/>
            <w:vAlign w:val="bottom"/>
          </w:tcPr>
          <w:p>
            <w:pPr>
              <w:spacing w:after="0"/>
              <w:rPr>
                <w:sz w:val="15"/>
                <w:szCs w:val="15"/>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15,024</w:t>
            </w: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16,607</w:t>
            </w:r>
          </w:p>
        </w:tc>
        <w:tc>
          <w:tcPr>
            <w:tcW w:w="240" w:type="dxa"/>
            <w:vAlign w:val="bottom"/>
          </w:tcPr>
          <w:p>
            <w:pPr>
              <w:spacing w:after="0"/>
              <w:rPr>
                <w:sz w:val="15"/>
                <w:szCs w:val="15"/>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24,957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conversions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23</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gridSpan w:val="4"/>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2001</w:t>
            </w:r>
          </w:p>
        </w:tc>
        <w:tc>
          <w:tcPr>
            <w:tcW w:w="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96"/>
              </w:rPr>
              <w:t>2004</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DATA</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Number of locations —</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Unit truck sales —</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60"/>
              <w:spacing w:after="0"/>
              <w:rPr>
                <w:sz w:val="20"/>
                <w:szCs w:val="20"/>
                <w:color w:val="auto"/>
              </w:rPr>
            </w:pPr>
            <w:r>
              <w:rPr>
                <w:rFonts w:ascii="Arial" w:cs="Arial" w:eastAsia="Arial" w:hAnsi="Arial"/>
                <w:sz w:val="18"/>
                <w:szCs w:val="18"/>
                <w:color w:val="auto"/>
              </w:rPr>
              <w:t>New trucks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4,245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4,717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7,140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Used trucks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2,111</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Total unit trucks sales</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6,152</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6,828</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6,956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finance contracts sold (in thousands)</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149,906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144,134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165,137</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259,898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Truck lease and rental units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1,427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2001</w:t>
            </w:r>
          </w:p>
        </w:tc>
        <w:tc>
          <w:tcPr>
            <w:tcW w:w="3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2002</w:t>
            </w: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2003</w:t>
            </w: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96"/>
              </w:rPr>
              <w:t>2004</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Working capital</w:t>
            </w: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7,050</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8"/>
              <w:spacing w:after="0"/>
              <w:rPr>
                <w:sz w:val="20"/>
                <w:szCs w:val="20"/>
                <w:color w:val="auto"/>
              </w:rPr>
            </w:pPr>
            <w:r>
              <w:rPr>
                <w:rFonts w:ascii="Arial" w:cs="Arial" w:eastAsia="Arial" w:hAnsi="Arial"/>
                <w:sz w:val="18"/>
                <w:szCs w:val="18"/>
                <w:color w:val="auto"/>
              </w:rPr>
              <w:t>7,995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14,113</w:t>
            </w:r>
          </w:p>
        </w:tc>
        <w:tc>
          <w:tcPr>
            <w:tcW w:w="240" w:type="dxa"/>
            <w:vAlign w:val="bottom"/>
          </w:tcPr>
          <w:p>
            <w:pPr>
              <w:spacing w:after="0"/>
              <w:rPr>
                <w:sz w:val="18"/>
                <w:szCs w:val="18"/>
                <w:color w:val="auto"/>
              </w:rPr>
            </w:pP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138,241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84,155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115,333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189,792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included in assets held for sale</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2"/>
          </w:tcPr>
          <w:p>
            <w:pPr>
              <w:jc w:val="right"/>
              <w:ind w:right="210"/>
              <w:spacing w:after="0"/>
              <w:rPr>
                <w:sz w:val="20"/>
                <w:szCs w:val="20"/>
                <w:color w:val="auto"/>
              </w:rPr>
            </w:pPr>
            <w:r>
              <w:rPr>
                <w:rFonts w:ascii="Arial" w:cs="Arial" w:eastAsia="Arial" w:hAnsi="Arial"/>
                <w:sz w:val="18"/>
                <w:szCs w:val="18"/>
                <w:color w:val="auto"/>
              </w:rPr>
              <w:t>30,150</w:t>
            </w:r>
          </w:p>
        </w:tc>
        <w:tc>
          <w:tcPr>
            <w:tcW w:w="26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gridSpan w:val="2"/>
          </w:tcPr>
          <w:p>
            <w:pPr>
              <w:jc w:val="right"/>
              <w:ind w:right="208"/>
              <w:spacing w:after="0"/>
              <w:rPr>
                <w:sz w:val="20"/>
                <w:szCs w:val="20"/>
                <w:color w:val="auto"/>
              </w:rPr>
            </w:pPr>
            <w:r>
              <w:rPr>
                <w:rFonts w:ascii="Arial" w:cs="Arial" w:eastAsia="Arial" w:hAnsi="Arial"/>
                <w:sz w:val="18"/>
                <w:szCs w:val="18"/>
                <w:color w:val="auto"/>
              </w:rPr>
              <w:t>10,218</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2,496</w:t>
            </w:r>
          </w:p>
        </w:tc>
        <w:tc>
          <w:tcPr>
            <w:tcW w:w="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-2689225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-2689225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25" w:right="219" w:bottom="0" w:gutter="0" w:footer="0" w:header="0"/>
        </w:sectPr>
      </w:pPr>
    </w:p>
    <w:bookmarkStart w:id="17" w:name="page18"/>
    <w:bookmarkEnd w:id="17"/>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Fixed assets included in assets held for sale</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13,821</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6,744</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6,328</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338,811</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345,110</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366,878</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565,933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840,234</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Floor plan financing</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85,300</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89,288</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108,235</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168,002</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315,985</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Line-of-credit Borrowings</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22,459</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22,395</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17,732</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2,434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including Current portion</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98,170</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94,916</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90,028</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96,056</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133,152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Capital lease obligations, including Current portion</w:t>
            </w:r>
          </w:p>
        </w:tc>
        <w:tc>
          <w:tcPr>
            <w:tcW w:w="16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16,905</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81,439</w:t>
            </w:r>
          </w:p>
        </w:tc>
        <w:tc>
          <w:tcPr>
            <w:tcW w:w="14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79,695</w:t>
            </w:r>
          </w:p>
        </w:tc>
        <w:tc>
          <w:tcPr>
            <w:tcW w:w="14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88,706</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222,807</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273,620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American Truck Source, Inc.</w:t>
      </w:r>
    </w:p>
    <w:p>
      <w:pPr>
        <w:spacing w:after="0" w:line="229"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In January 2005, the Company acquired certain assets of ATS, including its Peterbilt truck dealerships in Texas and Tennessee, for a total purchase price of $132.4 million. The acquisition provides the Company with rights to sell Peterbilt trucks and parts at new locations in Dallas, Fort Worth, Abilene and Tyler, Texas and Nashville, Tennessee. The transaction was financed with cash of $77.8 million, expansion of the Company’s existing floor plan agreement for truck inventory of $34.6 million, and the issuance of debt of approximately $20.0 million to finance the purchase of real estate and certain vehicles used in ATS’s leasing operations. Of the $77.8 million paid in cash, $21.9 million was for the purchase of a note receivable from the selling shareholders of ATS. This $21.9 million was immediately repaid by the selling shareholders at closing, resulting in net cash used in the acquisition of $55.9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is a full-service, integrated retailer of premium transportation and construction equipment and related services. The Company’s Rush Truck Centers sell heavy-duty trucks manufactured by Peterbilt Motors Company, a division of PACCAR, Inc. Certain Rush Truck Centers sell medium-duty trucks manufactured by Peterbilt, GMC, Hino, UD or Isuzu. The Company also operates a John Deere construction equipment dealership at its Rush Equipment Center in Houston, Texas. Through its strategically located network of Rush Truck Centers and its Rush Equipment Center, the Company provides one-stop service for the needs of its customers, including retail sales of new and used trucks and construction equipment, aftermarket parts sales, service and repair facilities, and financing, leasing and rental, and insurance services.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40 Rush Truck Centers in Alabama, Arizona, California, Colorado, Florida, New Mexico, Oklahoma, Tennessee and Texas.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and Rush Equipment Center as we extend our geographic focus through strategic acquisitions of new locations and expansions of our existing facilities.</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i w:val="1"/>
          <w:iCs w:val="1"/>
          <w:color w:val="auto"/>
        </w:rPr>
        <w:t xml:space="preserve">Rush Truck Centers. </w:t>
      </w:r>
      <w:r>
        <w:rPr>
          <w:rFonts w:ascii="Arial" w:cs="Arial" w:eastAsia="Arial" w:hAnsi="Arial"/>
          <w:sz w:val="17"/>
          <w:szCs w:val="17"/>
          <w:color w:val="auto"/>
        </w:rPr>
        <w:t>Since commencing operations as a Peterbilt heavy-duty truck dealer over 39 years ago, we have grown to operate 35 full-service Rush Truck Centers, two Rush Truck Centers that offer parts and service, and two Rush Truck Centers that only sell parts. Our Rush Truck Centers are located in Alabama, Arizona, California, Colorado, Florida, New Mexico, Oklahoma, Tennessee and Texas. Our full-service Rush Truck Centers sell new Peterbilt Class 8 trucks and provide parts and service, including body shop service at certain locations, to owners of Class 8 trucks. Our full-service Rush Truck Centers also sell Peterbilt medium-duty trucks and medium-duty trucks manufactured by GMC, Hino, UD, or Isuzu, depending upon the location of the Rush Truck Center, and provide parts and service, including body shop service at certain locations, to owners of medium-duty trucks. Our Rush Truck Centers are strategically located to serve customers traveling from California to Florida across the southern U.S. and to take advantage of ever increasing cross-border traffic between the United States and Mexico resulting from implementation of NAFTA.</w:t>
      </w:r>
    </w:p>
    <w:p>
      <w:pPr>
        <w:spacing w:after="0" w:line="17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i w:val="1"/>
          <w:iCs w:val="1"/>
          <w:color w:val="auto"/>
        </w:rPr>
        <w:t xml:space="preserve">Rush Equipment Center. </w:t>
      </w:r>
      <w:r>
        <w:rPr>
          <w:rFonts w:ascii="Arial" w:cs="Arial" w:eastAsia="Arial" w:hAnsi="Arial"/>
          <w:sz w:val="18"/>
          <w:szCs w:val="18"/>
          <w:color w:val="auto"/>
        </w:rPr>
        <w:t>Our Rush Equipment Center in Houston, Texas, provides a full line of construction equipment, including John Deere</w:t>
      </w:r>
      <w:r>
        <w:rPr>
          <w:rFonts w:ascii="Arial" w:cs="Arial" w:eastAsia="Arial" w:hAnsi="Arial"/>
          <w:sz w:val="18"/>
          <w:szCs w:val="18"/>
          <w:i w:val="1"/>
          <w:iCs w:val="1"/>
          <w:color w:val="auto"/>
        </w:rPr>
        <w:t xml:space="preserve"> </w:t>
      </w:r>
      <w:r>
        <w:rPr>
          <w:rFonts w:ascii="Arial" w:cs="Arial" w:eastAsia="Arial" w:hAnsi="Arial"/>
          <w:sz w:val="18"/>
          <w:szCs w:val="18"/>
          <w:color w:val="auto"/>
        </w:rPr>
        <w:t>backhoe loaders, hydraulic excavators, crawler-dozers and four-wheel drive loaders.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Leasing and Rental Services. </w:t>
      </w:r>
      <w:r>
        <w:rPr>
          <w:rFonts w:ascii="Arial" w:cs="Arial" w:eastAsia="Arial" w:hAnsi="Arial"/>
          <w:sz w:val="18"/>
          <w:szCs w:val="18"/>
          <w:color w:val="auto"/>
        </w:rPr>
        <w:t>Through certain of our Rush Truck Centers and four stand-alone Rush Truck Leasing stores, we provide a broad line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selections for lease or rent, including Class 6, Class 7 and Class 8 trucks, heavy-duty cranes and refuse haulers. Our lease and rental fleets are offered on a daily, monthly or long-term basis.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Financial and Insurance Services. </w:t>
      </w:r>
      <w:r>
        <w:rPr>
          <w:rFonts w:ascii="Arial" w:cs="Arial" w:eastAsia="Arial" w:hAnsi="Arial"/>
          <w:sz w:val="18"/>
          <w:szCs w:val="18"/>
          <w:color w:val="auto"/>
        </w:rPr>
        <w:t>Through our dealerships we offer third-party financing to assist customers in purchasing new and used trucks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equipment. Additionally, we sell a complete line of property and casualty insurance, including collision and liability insurance on trucks, cargo insurance and credit life insurance.</w:t>
      </w:r>
    </w:p>
    <w:p>
      <w:pPr>
        <w:spacing w:after="0" w:line="181"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i w:val="1"/>
          <w:iCs w:val="1"/>
          <w:color w:val="auto"/>
        </w:rPr>
        <w:t xml:space="preserve">Perfection Equipment. </w:t>
      </w:r>
      <w:r>
        <w:rPr>
          <w:rFonts w:ascii="Arial" w:cs="Arial" w:eastAsia="Arial" w:hAnsi="Arial"/>
          <w:sz w:val="16"/>
          <w:szCs w:val="16"/>
          <w:color w:val="auto"/>
        </w:rPr>
        <w:t>Our Perfection Equipment subsidiary operates out of two locations in Oklahoma City. Perfection Equipment offers</w:t>
      </w:r>
      <w:r>
        <w:rPr>
          <w:rFonts w:ascii="Arial" w:cs="Arial" w:eastAsia="Arial" w:hAnsi="Arial"/>
          <w:sz w:val="16"/>
          <w:szCs w:val="16"/>
          <w:i w:val="1"/>
          <w:iCs w:val="1"/>
          <w:color w:val="auto"/>
        </w:rPr>
        <w:t xml:space="preserve"> </w:t>
      </w:r>
      <w:r>
        <w:rPr>
          <w:rFonts w:ascii="Arial" w:cs="Arial" w:eastAsia="Arial" w:hAnsi="Arial"/>
          <w:sz w:val="16"/>
          <w:szCs w:val="16"/>
          <w:color w:val="auto"/>
        </w:rPr>
        <w:t>installation of equipment, equipment repair, parts installation, and paint and body repair. Perfection carries over 120 lines of truck and industrial parts and over 100 lines of equipment. Perfection Equipment specializes in up-fitting trucks used by oilfield service providers and other specialized service providers.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World Wide Tires</w:t>
      </w:r>
      <w:r>
        <w:rPr>
          <w:rFonts w:ascii="Arial" w:cs="Arial" w:eastAsia="Arial" w:hAnsi="Arial"/>
          <w:sz w:val="17"/>
          <w:szCs w:val="17"/>
          <w:color w:val="auto"/>
        </w:rPr>
        <w:t>. We operate World Wide Tires stores in three locations. World Wide Tires primarily sells tires for use on Class 8 trucks.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Company’s discussion and analysis of its financial condition and results of operations are based on the Company’s consolidated financial statements, which have been prepared in accordance with U.S.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There can be no assurance that actual results will not differ from those estimates. The Company believes the following accounting policies, which are also described in Note 2 of Notes to Consolidated Financial Statements, affect its more significant judgments and estimates used in the preparation of its consolidated financial statements.</w:t>
      </w:r>
    </w:p>
    <w:p>
      <w:pPr>
        <w:sectPr>
          <w:pgSz w:w="11900" w:h="16853" w:orient="portrait"/>
          <w:cols w:equalWidth="0" w:num="1">
            <w:col w:w="11420"/>
          </w:cols>
          <w:pgMar w:left="240" w:top="140" w:right="239" w:bottom="0" w:gutter="0" w:footer="0" w:header="0"/>
        </w:sectPr>
      </w:pPr>
    </w:p>
    <w:bookmarkStart w:id="18" w:name="page19"/>
    <w:bookmarkEnd w:id="18"/>
    <w:p>
      <w:pPr>
        <w:ind w:firstLine="648"/>
        <w:spacing w:after="0" w:line="264"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Inventories are stated at the lower of cost or market value. Cost is determined by specific identification for new and used truck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i w:val="1"/>
          <w:iCs w:val="1"/>
          <w:color w:val="auto"/>
        </w:rPr>
        <w:t xml:space="preserve">Other Assets. </w:t>
      </w:r>
      <w:r>
        <w:rPr>
          <w:rFonts w:ascii="Arial" w:cs="Arial" w:eastAsia="Arial" w:hAnsi="Arial"/>
          <w:sz w:val="18"/>
          <w:szCs w:val="18"/>
          <w:color w:val="auto"/>
        </w:rPr>
        <w:t>Other assets consist primarily of goodwill related to acquisitions and other intangible assets. As stated in Note 2 of Notes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Financial Accounting Standards Board Statement No. 142</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(“SFAS 142”) provides that goodwill and other intangible assets that have indefinite useful lives will not be amortized, but instead must be tested at least annually for impairment, and intangible assets that have finite useful lives should continue to be amortized over their useful lives. SFAS 142 also provides specific guidance for testing goodwill and other nonamortized intangible assets for impairment. SFAS 142 requires management to make certain estimates and assumptions in order to allocate goodwill to reporting units and to determine the fair value of a reporting unit’s net assets and liabilities, including, among other things, an assessment of market condition, projected cash flows, interest rates and growth rates, which could significantly impact the reported value of goodwill and other intangible assets. SFAS 142 requires, in lieu of amortization, an annual impairment review of goodwill. The Company did not record an impairment charge related to the goodwill for its continuing operations as a result of its December 31, 2005 impairment review.</w:t>
      </w:r>
    </w:p>
    <w:p>
      <w:pPr>
        <w:spacing w:after="0" w:line="16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 xml:space="preserve">Revenue Recognition Policies. </w:t>
      </w:r>
      <w:r>
        <w:rPr>
          <w:rFonts w:ascii="Arial" w:cs="Arial" w:eastAsia="Arial" w:hAnsi="Arial"/>
          <w:sz w:val="16"/>
          <w:szCs w:val="16"/>
          <w:color w:val="auto"/>
        </w:rPr>
        <w:t>Income on the sale of a vehicle or a piece of construction equipment is recognized when the customer executes a</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contract with us, the unit has been delivered to the customer and there are no significant uncertainties related to financing or collectibility. Lease and rental income is recognized over the period of the related lease or rental agreement. Parts and service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5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Finance and Insurance Revenue Recognition. </w:t>
      </w:r>
      <w:r>
        <w:rPr>
          <w:rFonts w:ascii="Arial" w:cs="Arial" w:eastAsia="Arial" w:hAnsi="Arial"/>
          <w:sz w:val="16"/>
          <w:szCs w:val="16"/>
          <w:color w:val="auto"/>
        </w:rPr>
        <w:t>Finance income related to the sale of a unit is recognized when the finance contract is sold to a</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company. During 2003, 2004 and 2005, finance contracts were not retained by the Company for any significant length of time because finance contracts are generally sold to finance companies concurrent with the sale of the related unit.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approximately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69"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As part of the acquisition of certain assets of ATS, the Company assumed contingent liabilities to finance companies for notes that ATS initiated on behalf of such finance companies related to the sale of trucks. ATS’s portfolio to which the contingent liability relates is made up of contracts sold with and without recourse, and the Company expects a majority of the portfolio to be liquidated by January 1, 2008. The Company has provided a specific allowance for repossession losses and early repayment penalties related to ATS’s portfolio.</w:t>
      </w:r>
    </w:p>
    <w:p>
      <w:pPr>
        <w:spacing w:after="0" w:line="187"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The Company arranges financing for customers through various financial institutions and receives a commission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and extended service contracts to customers. Revenue is recognized by the Company upon the sale of such finance and insurance contracts to the finance and insurance companies net of a provision for estimated repossession losses and interest charge backs. The Company is not the obligor under any of these contracts. In the case of finance contracts, a customer may prepay, or fail to pay, thereby terminating the contract. If the customer terminates a retail finance contract or insurance contract prior to scheduled maturity, a portion of the commissions previously paid to the Company may be charged back to the Company depending on the terms of the relevant contracts. The estimate of ultimate charge back exposure is based on the Company’s historical charge back expense arising from similar contracts, including the impact of refinance and default rates on retail finance contracts and cancellation rates on insurance contracts. The actual amount of historical charge backs has not been significantly different from the Company’s estimates.</w:t>
      </w:r>
    </w:p>
    <w:p>
      <w:pPr>
        <w:spacing w:after="0" w:line="169"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i w:val="1"/>
          <w:iCs w:val="1"/>
          <w:color w:val="auto"/>
        </w:rPr>
        <w:t>Insurance Accruals</w:t>
      </w:r>
      <w:r>
        <w:rPr>
          <w:rFonts w:ascii="Arial" w:cs="Arial" w:eastAsia="Arial" w:hAnsi="Arial"/>
          <w:sz w:val="17"/>
          <w:szCs w:val="17"/>
          <w:color w:val="auto"/>
        </w:rPr>
        <w:t>. The Company is partially self-insured for medical, workers compensation, and property and casualty insurance and calculates a</w:t>
      </w:r>
      <w:r>
        <w:rPr>
          <w:rFonts w:ascii="Arial" w:cs="Arial" w:eastAsia="Arial" w:hAnsi="Arial"/>
          <w:sz w:val="17"/>
          <w:szCs w:val="17"/>
          <w:i w:val="1"/>
          <w:iCs w:val="1"/>
          <w:color w:val="auto"/>
        </w:rPr>
        <w:t xml:space="preserve"> </w:t>
      </w:r>
      <w:r>
        <w:rPr>
          <w:rFonts w:ascii="Arial" w:cs="Arial" w:eastAsia="Arial" w:hAnsi="Arial"/>
          <w:sz w:val="17"/>
          <w:szCs w:val="17"/>
          <w:color w:val="auto"/>
        </w:rPr>
        <w:t>reserve for those claims that have been incurred but not reported and for the remaining portion of those claims that have been reported. The Company uses information provided by third-party administrators to determine the reasonableness of the calculations they perform.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Significant management judgment is required to determine the provisions for income taxes and to determine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deferred income taxes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The Company recorded a valuation allowance related to deferred income taxes in certain states. Accordingly, the facts and financial circumstances impacting the state deferred income tax assets are reviewed quarterly and management’s judgment is applied to determine the amount of valuation allowance required in any given period.</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Additionally, despite the Company’s belief that its tax return positions are consistent with applicable tax law, management believes that certain positions may be challenged by taxing authorities. Settlement of any challenge can result in no change, a complete disallowance, or some partial adjustment reached through negotiations. Significant judgment is required in evaluating the Company’s tax contingencies. The Company’s tax contingencies are adjusted in light of changing facts and circumstances. The Company’s income tax expense includes the impact of reserve provisions and changes to reserves that it considers appropriate, as well as related interest. Unfavorable settlement of any particular issue would require use of the Company’s cash. Favorable resolution would be recognized as a reduction to income tax expense at the time of resolution.</w:t>
      </w:r>
    </w:p>
    <w:p>
      <w:pPr>
        <w:sectPr>
          <w:pgSz w:w="11900" w:h="16838" w:orient="portrait"/>
          <w:cols w:equalWidth="0" w:num="1">
            <w:col w:w="11400"/>
          </w:cols>
          <w:pgMar w:left="240" w:top="341" w:right="259" w:bottom="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Absorption Rate. </w:t>
      </w:r>
      <w:r>
        <w:rPr>
          <w:rFonts w:ascii="Arial" w:cs="Arial" w:eastAsia="Arial" w:hAnsi="Arial"/>
          <w:sz w:val="16"/>
          <w:szCs w:val="16"/>
          <w:color w:val="auto"/>
        </w:rPr>
        <w:t>The management of the Company uses several performance metrics to evaluate the performance of its dealerships.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considers its “absorption rate” to be of critical importance. Absorption rate is calculated by dividing the gross profit from the parts, service and body shop departments by the overhead expenses of all of a dealership’s departments, except for the selling expenses of the new and used truck departments and carrying costs of new and used truck inventory. When 100% absorption is achieved, then gross profit from the sale of a truck, after sales commissions and inventory carrying costs, directly impacts operating profit. In 1999, the Company’s absorption rate was approximately 80%. The Company has made a concerted effort to increase its absorption rate since then. Management believes that maintaining an absorption rate in excess of 100% is critical to the Company’s ability to generate consistent earnings in a cyclical business. The Company achieved a 100.4% absorption rate in 2005.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discussion and analysis includes the Company’s historical results of operations for 2003, 2004 and 2005.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indicated certain financial data as a percentage of total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c>
          <w:tcPr>
            <w:tcW w:w="1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12"/>
                <w:szCs w:val="12"/>
                <w:color w:val="auto"/>
              </w:rPr>
            </w:pPr>
          </w:p>
        </w:tc>
        <w:tc>
          <w:tcPr>
            <w:tcW w:w="11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440" w:type="dxa"/>
            <w:vAlign w:val="bottom"/>
            <w:gridSpan w:val="2"/>
            <w:shd w:val="clear" w:color="auto" w:fill="CCEEFF"/>
          </w:tcPr>
          <w:p>
            <w:pPr>
              <w:jc w:val="right"/>
              <w:ind w:right="64"/>
              <w:spacing w:after="0"/>
              <w:rPr>
                <w:sz w:val="20"/>
                <w:szCs w:val="20"/>
                <w:color w:val="auto"/>
              </w:rPr>
            </w:pPr>
            <w:r>
              <w:rPr>
                <w:rFonts w:ascii="Arial" w:cs="Arial" w:eastAsia="Arial" w:hAnsi="Arial"/>
                <w:sz w:val="18"/>
                <w:szCs w:val="18"/>
                <w:color w:val="auto"/>
              </w:rPr>
              <w:t>61.5%</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Parts and service</w:t>
            </w: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16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Lease and rental</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products sold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Operating income from continuing operations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 from continuing operations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Income taxes</w:t>
            </w:r>
          </w:p>
        </w:tc>
        <w:tc>
          <w:tcPr>
            <w:tcW w:w="1160" w:type="dxa"/>
            <w:vAlign w:val="bottom"/>
          </w:tcPr>
          <w:p>
            <w:pPr>
              <w:jc w:val="right"/>
              <w:spacing w:after="0"/>
              <w:rPr>
                <w:sz w:val="20"/>
                <w:szCs w:val="20"/>
                <w:color w:val="auto"/>
              </w:rPr>
            </w:pPr>
            <w:r>
              <w:rPr>
                <w:rFonts w:ascii="Arial" w:cs="Arial" w:eastAsia="Arial" w:hAnsi="Arial"/>
                <w:sz w:val="18"/>
                <w:szCs w:val="18"/>
                <w:color w:val="auto"/>
              </w:rPr>
              <w:t>0.8</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(Loss) from discontinued operations, net of taxes</w:t>
            </w:r>
          </w:p>
        </w:tc>
        <w:tc>
          <w:tcPr>
            <w:tcW w:w="1440" w:type="dxa"/>
            <w:vAlign w:val="bottom"/>
            <w:gridSpan w:val="2"/>
          </w:tcPr>
          <w:p>
            <w:pPr>
              <w:jc w:val="right"/>
              <w:ind w:right="144"/>
              <w:spacing w:after="0"/>
              <w:rPr>
                <w:sz w:val="20"/>
                <w:szCs w:val="20"/>
                <w:color w:val="auto"/>
              </w:rPr>
            </w:pPr>
            <w:r>
              <w:rPr>
                <w:rFonts w:ascii="Arial" w:cs="Arial" w:eastAsia="Arial" w:hAnsi="Arial"/>
                <w:sz w:val="18"/>
                <w:szCs w:val="18"/>
                <w:color w:val="auto"/>
              </w:rPr>
              <w:t>(0.1)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jc w:val="right"/>
              <w:ind w:right="64"/>
              <w:spacing w:after="0" w:line="142" w:lineRule="exact"/>
              <w:rPr>
                <w:sz w:val="20"/>
                <w:szCs w:val="20"/>
                <w:color w:val="auto"/>
              </w:rPr>
            </w:pPr>
            <w:r>
              <w:rPr>
                <w:rFonts w:ascii="Arial" w:cs="Arial" w:eastAsia="Arial" w:hAnsi="Arial"/>
                <w:sz w:val="16"/>
                <w:szCs w:val="16"/>
                <w:color w:val="auto"/>
                <w:w w:val="84"/>
              </w:rPr>
              <w:t>%</w:t>
            </w:r>
          </w:p>
        </w:tc>
        <w:tc>
          <w:tcPr>
            <w:tcW w:w="11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jc w:val="right"/>
              <w:ind w:right="60"/>
              <w:spacing w:after="0" w:line="142" w:lineRule="exact"/>
              <w:rPr>
                <w:sz w:val="20"/>
                <w:szCs w:val="20"/>
                <w:color w:val="auto"/>
              </w:rPr>
            </w:pPr>
            <w:r>
              <w:rPr>
                <w:rFonts w:ascii="Arial" w:cs="Arial" w:eastAsia="Arial" w:hAnsi="Arial"/>
                <w:sz w:val="16"/>
                <w:szCs w:val="16"/>
                <w:color w:val="auto"/>
                <w:w w:val="84"/>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5480" w:type="dxa"/>
            <w:vAlign w:val="bottom"/>
            <w:tcBorders>
              <w:bottom w:val="single" w:sz="8" w:color="CCEEFF"/>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1.5</w:t>
            </w:r>
          </w:p>
        </w:tc>
        <w:tc>
          <w:tcPr>
            <w:tcW w:w="280" w:type="dxa"/>
            <w:vAlign w:val="bottom"/>
            <w:tcBorders>
              <w:bottom w:val="single" w:sz="8" w:color="CCEEFF"/>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2005 Compared to Year Ended December 31, 2004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Revenues increased $769.8 million, or 70.3%, from $1,095.0 million in 2004 to $1,864.8 million in 2005. Sales of new and used trucks increased $662.5 million, or 89.7%, from $738.2 million in 2004 to $1,400.7 million in 2005.</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Unit sales of new Class 8 trucks increased 88.1%, from 5,374 units in 2004 to 10,111 units in 2005 due to increasing demand and the ATS acquisition. The increase in Class 8 unit sales is being driven by the industry’s need to replace aging equipment after U.S. truck sales lagged behind the normal replacement cycle during 2001, 2002, and 2003. The Company’s average sales price per Class 8 truck increased from $101,200 in 2004 to $106,300 in 2005. This price increase is primarily attributable to an increase in the manufacturing costs. Based on estimates from A.C.T. Research, the Company believes that the sales of Class 8 trucks in the United States will increase from approximately 259,000 units in 2005 to approximately 266,000 units in 2006. In 2005, the Company retained a 3.9% share of the U.S. Class 8 truck sales market. Based on internal expansion and communication with our customers, the Company expects to increase this share to approximately 4.1% in 2006, which would result in sale of approximately 11,000 Class 8 trucks based on retail sales of 266,000 units as estimated by A.C.T. Research. Industry expectations are for Class 8 truck sales to decline in 2007 primarily due to new diesel emissions laws, which are expected to increase the cost and reduce the fuel efficiency of diesel engines built on or after January 1, 2007. Some industry experts believe that the drop-off of truck sales in 2007 will begin to recover in the second half of 2007. A.C.T. Research currently estimates U.S. Class 8 retail sales to total approximately 179,000 units in 2007.</w:t>
      </w:r>
    </w:p>
    <w:p>
      <w:pPr>
        <w:spacing w:after="0" w:line="18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Unit sales of new medium-duty trucks increased 58.9%, from 1,766 units in 2004 to 2,807 units in 2005. In 2004, the Company continued its concerted effort to improve its medium-duty truck sales by adding experienced medium-duty sales personnel and introducing new medium-duty franchises at some of our Rush Truck Centers to complement the existing medium-duty lines sold at such dealerships. During the last half of 2005, the Company made acquisitions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medium-duty truck franchises in Dallas and Texarkana, Texas, Orlando, Florida and Fontana, California. Overall, new medium-duty truck sales revenue increased $64.5 million in 2005 compared to 2004. In 2006, the Company expects to continue to add medium-duty franchises to certain dealerships and to increase medium-duty sales and market share compared to 2005. The Company expects to sell approximately 4,000 medium–duty trucks in 2006. A.C.T. Research currently expects demand for class 5, 6, and 7 medium-duty trucks to remain flat in 2006 and decrease approximately 7.5% in 2007.</w:t>
      </w:r>
    </w:p>
    <w:p>
      <w:pPr>
        <w:sectPr>
          <w:pgSz w:w="11900" w:h="16838" w:orient="portrait"/>
          <w:cols w:equalWidth="0" w:num="1">
            <w:col w:w="11420"/>
          </w:cols>
          <w:pgMar w:left="240" w:top="121" w:right="239" w:bottom="0" w:gutter="0" w:footer="0" w:header="0"/>
        </w:sectPr>
      </w:pPr>
    </w:p>
    <w:bookmarkStart w:id="20" w:name="page21"/>
    <w:bookmarkEnd w:id="20"/>
    <w:p>
      <w:pPr>
        <w:ind w:right="40" w:firstLine="648"/>
        <w:spacing w:after="0" w:line="264" w:lineRule="auto"/>
        <w:rPr>
          <w:sz w:val="20"/>
          <w:szCs w:val="20"/>
          <w:color w:val="auto"/>
        </w:rPr>
      </w:pPr>
      <w:r>
        <w:rPr>
          <w:rFonts w:ascii="Arial" w:cs="Arial" w:eastAsia="Arial" w:hAnsi="Arial"/>
          <w:sz w:val="18"/>
          <w:szCs w:val="18"/>
          <w:color w:val="auto"/>
        </w:rPr>
        <w:t>Unit sales of used trucks increased 35.4%, from 2,716 units in 2004 to 3,677 units in 2005. Used truck average revenue per unit increased by 22.3%. Historically, used truck demand is consistent with new truck demand. The Company expects used truck demand to remain high; however, our ability to sell used trucks is ultimately dependent upon our ability to acquire used trucks for resale.</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Parts and service sales increased $80.7 million, or 28.3%, from $285.2 million in 2004 to $365.9 million in 2005. The parts and service sales increase in 2005 was due to business development activities combined with price increases for parts and labor and acquisitions throughout the year. The Company expects parts and service revenue to increase by approximately 12.0% in 2006.</w:t>
      </w:r>
    </w:p>
    <w:p>
      <w:pPr>
        <w:spacing w:after="0" w:line="18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Sales of new and used construction equipment increased $9.4 million, or 29.1%, from $32.3 million in 2004 to $41.7 million in 2005. Currently, the construction equipment sales increase is primarily attributable to the improved market conditions in Houston, Texas and the need to replace aging equipment. Approximately 2,700 units of construction equipment were put into use in our area of responsibility in 2005, and the construction equipment industry expects to sell approximately 2,840 units of new construction equipment in the Houston area in 2006. John Deere’s market share in the Houston area construction equipment market increased from 16.3% in 2004 to 19.9% in 2005. The Company believes it can increase John Deere’s market share, in the Houston area, to approximately 25% in 2006. Because the Company operates only one construction equipment location, new and used construction equipment revenue can fluctuate significantly from quarter to quarter depending on the mix of product sold and the timing of deliveries.</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Lease and rental revenues increased 25.0%, from $27.2 million in 2004 to $34.0 million in 2005. The increase in truck lease and rental revenue was due to the increase in our customer base during 2005. The Company expects lease and rental revenue to increase approximately 17.0% during 2006 compared to 2005 in part due to the acquisition of units in the lease and rental fleet during the fourth quarter of 2005.</w:t>
      </w:r>
    </w:p>
    <w:p>
      <w:pPr>
        <w:spacing w:after="0" w:line="181"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Finance and insurance revenues increased 94.9%, from $7.9 million in 2004 to $15.4 million in 2005. Finance and insurance revenues typically increase as sales of new and used trucks increase. Finance and insurance revenues have minimal direct costs and, therefore, contribute a disproportionate share of operating profits.</w:t>
      </w:r>
    </w:p>
    <w:p>
      <w:pPr>
        <w:spacing w:after="0" w:line="18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Other income increased $3.0 million, or 73.2%, from $4.1 million in 2004 to $7.1 million in 2005. The increase in other income revenue is primarily related to the gain on sale realized on trucks from the lease and rental fleet and commissions earned from John Deere for direct manufacturer sales into our area of responsibility. Other income also consists of document fees related to truck sales and purchase discounts.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Gross profit increased $97.6 million, or 52.7%, from $185.1 million in 2004 to $282.7 million in 2005. Gross profit as a percentage of sales decreased from 16.9% in 2004 to 15.2% in 2005. This decrease is primarily a result of a change in our product mix. Truck sales, a lower margin revenue item, increased as a percentage of total revenue from 67.4% in 2004 to 75.1% in 2005. Parts and service revenue, a higher margin revenue item, decreased as a percentage of total revenue from 26.0% in 2004 to 19.6% in 2005.</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Gross margins on Class 8 truck sales decreased from 7.0% in 2004 to 6.7% in 2005. This decrease in gross margin is primarily a result of an increase in truck sales to large fleet customers in 2005 compared to 2004. Large fleet sales typically result in lower margins than small fleet sales and sales to owner operators. Manufacturers’ incentives for Class 8 trucks accounted for 27.0% of the gross margin in 2004 and 23.7% in 2005. Historically, manufacturers’ incentives have varied depending on market conditions and demand for Class 8 trucks. The Company expects 2006 margins to approximate those achieved in 2005. Each year the Company evaluates its reserve for new truck valuation losses. The Company did not record a loss provision in 2004 or 2005.</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Gross margins on medium-duty truck sales remained constant at 6.2% in 2004 and 2005. Manufacturers’ incentives for medium-duty trucks accounted for 3.8% of the gross margin in 2004 and 2005. We expect sales of lower margin Class 4 through 6 models to continue to grow as a percentage of the total medium-duty sales mix which will slightly decrease margins.</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Gross margins on used truck sales decreased from 9.8% in 2004 to 9.2% in 2005. Margins on used trucks will vary depending on the mix of used trucks that are acquired from either owner-operators or fleet owners at trade-in. Used trucks acquired as trade-ins from fleet owners normally result in lower margins when the truck is sold. The current challenge for the used truck business is procuring a sufficient quantity of quality used trucks for resale at an acceptable price, in a market where demand is exceeding supply. Each year the Company evaluates its reserve for used truck valuation losses. The Company recorded a $150,000 loss provision to the Company’s reserve for used truck valuation in 2005 and recognized a $350,000 loss provision during 2004. In 2006, the Company expects to maintain the margins achieved in 2005.</w:t>
      </w:r>
    </w:p>
    <w:p>
      <w:pPr>
        <w:spacing w:after="0" w:line="17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Gross margins from the Company’s parts, service and body shop operations increased from 37.9% in 2004 to 41.1% in 2005. Gross profit dollars for the parts, service and body shop departments increased from $108.0 million in 2004 to $150.5 million in 2005. The Company expects 2006 gross margins on parts, service and body shop revenue to approximate those achieved in 2005.</w:t>
      </w:r>
    </w:p>
    <w:p>
      <w:pPr>
        <w:spacing w:after="0" w:line="181" w:lineRule="exact"/>
        <w:rPr>
          <w:sz w:val="20"/>
          <w:szCs w:val="20"/>
          <w:color w:val="auto"/>
        </w:rPr>
      </w:pPr>
    </w:p>
    <w:p>
      <w:pPr>
        <w:jc w:val="both"/>
        <w:ind w:right="240" w:firstLine="648"/>
        <w:spacing w:after="0" w:line="312" w:lineRule="auto"/>
        <w:rPr>
          <w:sz w:val="20"/>
          <w:szCs w:val="20"/>
          <w:color w:val="auto"/>
        </w:rPr>
      </w:pPr>
      <w:r>
        <w:rPr>
          <w:rFonts w:ascii="Arial" w:cs="Arial" w:eastAsia="Arial" w:hAnsi="Arial"/>
          <w:sz w:val="16"/>
          <w:szCs w:val="16"/>
          <w:color w:val="auto"/>
        </w:rPr>
        <w:t>Gross margins on new and used construction equipment sales decreased from 13.0% in 2004 to 12.4% in 2005. The decrease was attributable to a change in the mix of products sold during 2005. The Company expects 2006 gross margins on new and used construction equipment sales to be consistent with those achieved in 2005 and overall gross profit growth on new and used construction equipment sales to be directly correlated to sales growth.</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Gross profit generated from lease and rental sales decreased from 27.4% in 2004 to 23.9% in 2005. The decrease in gross margin from lease and rental sales is primarily due to the increase in interest rates and the increase in the cost of new trucks for use in the lease and rental fleet. The Company expects to maintain gross margins from lease and rental sales of approximately 22.0% to 24.0% for 2006. The Company’s policy is to depreciate its lease and rental fleet using the shortest depreciable life established by generally accepted accounting principles. This policy results in the Company realizing small gross margins while the unit is in service and a corresponding larger gain on sale when the unit is sold at the end of the lease term.</w:t>
      </w:r>
    </w:p>
    <w:p>
      <w:pPr>
        <w:spacing w:after="0" w:line="15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increase in finance and insurance revenues and other income, as described above, has minimal direct cost and, therefore, contributes a disproportionate share of gross profit. The Company expects gross profit from finance and insurance sales and other income in 2006 to be directly related to truck revenue.</w:t>
      </w:r>
    </w:p>
    <w:p>
      <w:pPr>
        <w:sectPr>
          <w:pgSz w:w="11900" w:h="16838" w:orient="portrait"/>
          <w:cols w:equalWidth="0" w:num="1">
            <w:col w:w="11400"/>
          </w:cols>
          <w:pgMar w:left="240" w:top="125" w:right="259" w:bottom="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Selling, General and Administrative Expenses</w:t>
      </w:r>
    </w:p>
    <w:p>
      <w:pPr>
        <w:sectPr>
          <w:pgSz w:w="11900" w:h="16838" w:orient="portrait"/>
          <w:cols w:equalWidth="0" w:num="1">
            <w:col w:w="11400"/>
          </w:cols>
          <w:pgMar w:left="240" w:top="125" w:right="259" w:bottom="0" w:gutter="0" w:footer="0" w:header="0"/>
          <w:type w:val="continuous"/>
        </w:sectPr>
      </w:pPr>
    </w:p>
    <w:bookmarkStart w:id="21" w:name="page22"/>
    <w:bookmarkEnd w:id="21"/>
    <w:p>
      <w:pPr>
        <w:ind w:right="20" w:firstLine="648"/>
        <w:spacing w:after="0" w:line="273" w:lineRule="auto"/>
        <w:rPr>
          <w:sz w:val="20"/>
          <w:szCs w:val="20"/>
          <w:color w:val="auto"/>
        </w:rPr>
      </w:pPr>
      <w:r>
        <w:rPr>
          <w:rFonts w:ascii="Arial" w:cs="Arial" w:eastAsia="Arial" w:hAnsi="Arial"/>
          <w:sz w:val="17"/>
          <w:szCs w:val="17"/>
          <w:color w:val="auto"/>
        </w:rPr>
        <w:t>Selling General and Administrative (“SG&amp;A”) expenses increased $46.8 million, or 33.0%, from $141.9 million in 2004 to $188.7 million in 2005. The increase in SG&amp;A is attributable in part to increased commissions resulting from increased truck sales and the current year acquisitions. SG&amp;A expenses as a percentage of sales decreased from 13.0% in 2004 to 10.1% in 2005. SG&amp;A expenses as a percentage of sales have historically ranged from 10.0% to 16.0%. The Company expects SG&amp;A expenses as a percentage of sales to remain low while the demand for trucks remains high. The Company estimates that the implementation of Statement No. 123 (revised 2004), “Share-Based Payment” (“SFAS 123(R)”) will increase our SG&amp;A expenses by approximately $2.1 million in 2006. The Company’s management continually monitors SG&amp;A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interest expense increased $6.9 million, or 115.0%, from $6.0 million in 2004 to $12.9 million in 2005. Net interest expense increased as a result of increased floor plan interest rates, increased truck inventory and floor plan debt due to increased demand for trucks and the increased levels of indebtedness associated with the real estate acquired from ATS and other real estate financings. Based on increased truck inventory and floor plan debt, the Company expects net interest expense to increase to approximately $17.5 million in 2006.</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Income from continuing operations before income taxes increased by $42.3 million, or 146.9%, from $28.8 million in 2004 to $71.1 million in 2005, as a result of the factors described above. Industry experts predict an increase in Class 8 truck sales for 2006. The Company believes that income from continuing operations in 2006 will increase compared to 2005 based on the expectations discussed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From Continuing Operations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Income taxes from continuing operations increased $14.9 million, or 128.4%, from $11.6 million in 2004 to $26.5 million in 2005. The Company has provided for taxes at a 37.27% effective rate in 2005 and expects the effective tax rate to be approximately 37.25% in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2004 Compared to Year Ended December 31, 2003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Revenues increased $279.6 million, or 34.3%, from $815.3 million in 2003 to $1.1 billion in 2004. Sales of new and used trucks increased $236.4 million, or 47.1%, from $501.8 million in 2003 to $738.2 million in 2004.</w:t>
      </w:r>
    </w:p>
    <w:p>
      <w:pPr>
        <w:spacing w:after="0" w:line="170"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Unit sales of new Class 8 trucks increased 47.8%, from 3,636 units in 2003 to 5,374 units in 2004. The increase in Class 8 units sales was driven by the industry’s need to replace aging equipment after three consecutive years of U.S. truck sales lagging behind the normal replacement cycle. The Company’s average sales price per Class 8 truck remained relatively flat from 2003 to 2004 at $101,200.</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Unit sales of new medium-duty trucks increased 96.4%, from 899 units in 2003 to 1,766 units in 2004. In 2004, the Company continued its concerted effort to improve its medium-duty truck sales by adding experienced medium-duty sales personnel, and introducing new Class 4 through 6 medium-duty franchises at some of our Rush Truck Centers to complement the previously existing Peterbilt medium-duty line, which consists primarily of Class 7 trucks. Class 4 through 6 unit truck sales accounted for 55% of the Company’s medium-duty unit sales in 2004 compared to 44% in 2003. The average sales price for Class 4 through 6 models during 2004 was $40,500 compared to $68,200 for the Class 7 Peterbilt medium-duty model. The increase in the percentage of Class 4 through 6 trucks sold by the Company in 2004 resulted in a 2.6% decrease in our average medium-duty truck sales price in 2004 compared to 2003. Overall, new medium-duty truck sales revenue increased $44.6 million in 2004 compared to 2003.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Unit sales of used trucks increased 12.2%, from 2,421 units in 2003 to 2,716 units in 2004. Used truck average revenue per unit increased by 7.0%.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Historically, used truck demand is consistent with new truck demand.</w:t>
      </w:r>
    </w:p>
    <w:p>
      <w:pPr>
        <w:spacing w:after="0" w:line="211"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Parts and service sales increased $35.4 million, or 14.2%, from $249.8 million in 2003 to $285.2 million in 2004. Same store parts and service sales increased $37.9 million, or 15.5%, in 2004 compared to 2003. The increase in parts and service sales was due to a combination of new business development, price increases for parts and labor, extension of our business hours and expansion of capacity made possible by the addition of service bays and technicians to certain locations.</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Sales of new and used construction equipment increased $4.0 million, or 14.1%, from $28.3 million in 2003 to $32.3 million in 2004. This increase was primarily due to a change in product mix and price increases. According to John Deere, the Company’s market share in the Houston area construction equipment market was 16.7% in 2004 compared to 19.1% in 2003. In 2004, we focused on increasing our margins, which had an adverse effect on our market share. According to data compiled by John Deere, approximately 2,200 units of construction equipment were put into use in our area of responsibility in 2004 compared to 1,678 in 2003.</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Lease and rental revenues increased 5.4%, from $25.8 million in 2003 to $27.2 million in 2004. The increase in truck lease and rental revenue was due to the increase in our customer base during 2004.</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Finance and insurance revenues increased 25.4%, from $6.3 million in 2003 to $7.9 million in 2004. This increase was directly related to the increase in new and used truck revenue.</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Other income increased $0.8 million, or 23.5%, from $3.4 million in 2003 to $4.2 million in 2004. Other income revenue was primarily related to the gain on sale realized on trucks from the lease and rental fleet, commissions earned from John Deere for direct manufacturer sales into our area of responsibility, document fees related to truck sales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113" w:gutter="0" w:footer="0" w:header="0"/>
        </w:sectPr>
      </w:pPr>
    </w:p>
    <w:bookmarkStart w:id="22" w:name="page23"/>
    <w:bookmarkEnd w:id="22"/>
    <w:p>
      <w:pPr>
        <w:spacing w:after="0" w:line="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purchase discounts. The increase in other income during 2004 was primarily related to gains realized from the sales of trucks that were previously used in the Company’s leasing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Gross profit increased $31.8 million, or 20.7%, from $153.3 million in 2003 to $185.1 million in 2004. Gross profit as a percentage of sales decreased from 18.8% in 2003 to 16.9% in 2004. This decrease was primarily a result of a change in our product mix. Truck sales, a lower margin revenue item, increased as a percentage of total revenue from 61.5% in 2003 to 67.4% in 2004. Parts and service revenue, a higher margin revenue item, decreased as a percentage of total revenue from 30.6% in 2003 to 26.0% in 2004.</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Gross margins on Class 8 truck sales decreased from 7.4% in 2003 to 7.0% in 2004. Manufacturers’ incentives for Class 8 trucks accounted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35.8% of the gross margin in 2003 and 27.0% in 2004. The Company recorded a $0.3 million loss provision to increase the Company’s reserve for new truck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inventory valuation in 2003 and did not record a loss provision in 2004.</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Gross margins on medium-duty truck sales increased from 5.8% in 2003 to 6.2% in 2004. Manufacturers’ incentives for medium-duty trucks accounted for 3.9% of the gross margin in 2003 and 3.8% in 2004.</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Gross margins on used truck sales increased from 6.2% in 2003 to 9.8% in 2004. During 2003, the Company experienced lower than normal margins on used trucks sales because the Company was required to wholesale a large number of trade-in units from new fleet customers. The Company did not purchase as many used trucks from first time new truck fleet customers in 2004, which resulted in increased gross margins on used truck sales compared to 2003. The Company recorded a $350,000 loss provision to the Company’s reserve for used truck valuation losses in 2004 compared to a $1.0 million loss provision recognized during 2003.</w:t>
      </w:r>
    </w:p>
    <w:p>
      <w:pPr>
        <w:spacing w:after="0" w:line="18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Gross margins from the Company’s parts, service and body shop operations decreased from 39.4% in 2003 to 37.9% in 2004. The decrease in gross margins was primarily due to parts sales becoming a larger percentage of the Company’s overall parts and service revenues. Historically, gross margins on parts sales are approximately 60% lower than gross margins on service sales. Additionally, the Company increased preventative maintenance services that are provided at lower margins than traditional repair work, and selectively provided discounted labor rates to garner additional sales at certain locations. Gross profit dollars for the parts, service and body shop departments increased from $98.5 million in 2003 to $108.0 million in 2004.</w:t>
      </w:r>
    </w:p>
    <w:p>
      <w:pPr>
        <w:spacing w:after="0" w:line="15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Gross margins on new and used construction equipment sales increased from 9.9% in 2003 to 13.0% in 2004. The increase was attributable to price increases and a change in the types of products sold during 2004.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profit generated from lease and rental sales increased from 25.9% in 2003 to 27.4% in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Selling General and Administrative (“SG&amp;A”) expenses increased $17.7 million, or 14.3%, from $124.2 million in 2003 to $141.9 million in 2004. Same store SG&amp;A expenses increased $18.8 million, or 15.1%, from 2003 to 2004. This increase was primarily due to increased salary expense and increased commissions corresponding to the increase in gross profit. SG&amp;A expenses as a percentage of sales decreased from 15.2% in 2003 to 13.0% in 2004.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Net interest expense decreased $0.3 million, or 4.7%, from $6.3 million in 2003 to $6.0 million in 2004. Net interest expense decreased primarily as the result of the increase in interest income earned on the net proceeds of our public offering of Class A Common Stock, which closed in November 2004.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Assets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Gain on sale of assets decreased $1.4 million, from $2.0 million in 2003 to $0.6 million in 2004. The gain in 2004 was primarily related to the replacement of fixed assets used in the operation of the business. The gain recognized in 2003 was primarily related to the sale of the assets of Rush Truck Centers of Louisiana, Inc.</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Income from continuing operations before income taxes increased by $13.0 million, or 82.3%, from $15.8 million in 2003 to $28.8 million in 2004, as a result of the factors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From Continuing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taxes from continuing operations increased $5.3 million, or 84.1%, from $6.3 million in 2003 to $11.6 million in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 Net of Income Taxes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Loss from discontinued operations, net of income taxes, decreased from a loss of $0.6 million in 2003 to a loss of $0.3 million in 2004. The loss recorded during 2003 represented the net operating results of D&amp;D and included costs of $983,000 related to the liquidation of the Hockley, Texas store. The loss recorded during 2004 included net operating profit of D&amp;D of $0.3 million, a net charge of $0.2 million related to the valuation of the Hockley, Texas real estate and a $0.4 million income tax adjustment. The Company sold all assets related to its discontinued operations during 2004.</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The Company’s short-term cash needs are primarily for working capital, including inventory requirements, expansion of existing facilities and acquisitions of new facilities. These short-term cash needs have historically been financed with retention of profits and borrowings under credit facilities</w:t>
      </w:r>
    </w:p>
    <w:p>
      <w:pPr>
        <w:sectPr>
          <w:pgSz w:w="11900" w:h="16894" w:orient="portrait"/>
          <w:cols w:equalWidth="0" w:num="1">
            <w:col w:w="11400"/>
          </w:cols>
          <w:pgMar w:left="240" w:top="341" w:right="259" w:bottom="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available to the Company.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December 31, 2005, the Company had working capital of approximately $126.1 million, including $133.1 million in cash, $63.5 million in accounts receivable, $338.2 million in inventories, $1.8 million in prepaid expenses and other, and $3.9 million in deferred tax assets, offset by $316.0 million outstanding under floor plan notes payable, $18.8 million in current maturities of long-term debt, $2.3 million in current maturities of capital lease obligations, $2.8 million in advances outstanding under lines of credit, $23.3 million of trade accounts payable and $51.2 million in accrued expenses. 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 outstanding under this agreement at December 31, 2005. The Company has three separate secured lines of credit that provide for an aggregate maximum borrowing of $16.7 million. Advances outstanding under these secured lines of credit in aggregate were $2.8 million, with an additional $5.4 million pledged to secure various letters of credit related to self-insurance products, leaving $8.5 million available for future borrowings as of December 31, 2005.</w:t>
      </w:r>
    </w:p>
    <w:p>
      <w:pPr>
        <w:spacing w:after="0" w:line="17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has no material commitments for capital expenditures as of December 31, 2005. However, the Company will continue to purchase vehicles that are necessary to operate its lease and rental division. Furthermore, management will continue to authorize capital expenditures for new buildings and expansion of dealership facilities based on market opportunities.</w:t>
      </w:r>
    </w:p>
    <w:p>
      <w:pPr>
        <w:spacing w:after="0" w:line="18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During 2005, operating activities resulted in net cash used in operations of $52.2 million. Cash provided by operations was primarily due to income from continuing operations of $44.6 million coupled with provisions for depreciation and amortization of $21.0 million, an increase in provisions for deferred income tax of $1.3 million, an increase of $3.1 million in the tax benefit realized from exercise of employee stock options and an increase of accounts payable and accrued expenses of $14.9 million, which was offset by increases in inventories of $102.3 million, an increase in accounts receivable and other current assets of $33.1 million and a gain on sale of property plant and equipment of $1.7 million.</w:t>
      </w:r>
    </w:p>
    <w:p>
      <w:pPr>
        <w:spacing w:after="0" w:line="173"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During 2005, the Company used $123.5 million in investing activities. This consisted of purchases of property and equipment of $65.8 million and business acquisitions of $66.0 million which were offset by proceeds from the sale of property and equipment of $8.5 million. Property and equipment purchases are primarily related to the purchase of additional units for the rental and leasing operations for $46.2 million during 2005. The Company expects to purchase more trucks for its leasing operations in 2006 based on expected increases in customer demand. The Company expects to make capital expenditures for recurring items such as computers, shop equipment and vehicles of approximately $8.0 million in 2006.</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00" w:firstLine="648"/>
        <w:spacing w:after="0" w:line="276" w:lineRule="auto"/>
        <w:rPr>
          <w:sz w:val="20"/>
          <w:szCs w:val="20"/>
          <w:color w:val="auto"/>
        </w:rPr>
      </w:pPr>
      <w:r>
        <w:rPr>
          <w:rFonts w:ascii="Arial" w:cs="Arial" w:eastAsia="Arial" w:hAnsi="Arial"/>
          <w:sz w:val="17"/>
          <w:szCs w:val="17"/>
          <w:color w:val="auto"/>
        </w:rPr>
        <w:t>Net cash provided by financing activities in 2005 amounted to $150.6 million. Net cash provided by financing activities primarily consisted of an increase in notes payable of $52.1 million, an increase in capital lease obligations of $18.4 million, issuance of shares related to the exercise of employee stock options and purchases under the employee stock purchase plan of $3.2 million and net draws of floor plan notes payable of $113.3 million, offset by principal payments on notes payable and lines of credit of $36.5 million. The proceeds from notes payable are primarily related to the increase in the lease and rental fleet, real estate financing and debt acquired as part of the ATS acquisition.</w:t>
      </w:r>
    </w:p>
    <w:p>
      <w:pPr>
        <w:spacing w:after="0" w:line="17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During 2004, operating activities resulted in net cash used in operations of $5.6 million. Cash provided by operations was primarily due to income from continuing operations of $17.2 million coupled with provisions for depreciation and amortization of $15.9 million, an increase in provisions for deferred income tax of $4.1 million, an increase of $3.4 million in the tax benefit realized from exercise of employee stock options and an increase of accounts payable and accrued expenses of $11.2 million, which was offset by increases in inventories of $49.7 million, an increase in accounts receivable of $5.8 million and a gain on sale of property plant and equipment of $1.8 million.</w:t>
      </w:r>
    </w:p>
    <w:p>
      <w:pPr>
        <w:spacing w:after="0" w:line="18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During 2004, the Company used $34.8 million in investing activities. This consisted of purchases of property and equipment of $44.6 million, business acquisitions of $3.5 million and an increase in other assets of $0.9 million, which were offset by proceeds from the sale of property and equipment of $14.1 million. Property and equipment purchases are partially related to the purchase of 201 additional units for the leasing operations for $18.5 million during 2004. Approximately $7.1 million of property and equipment expenditures was for the replacement of capital equipment and $7.1 million was for the replacement of the corporate aircraft. Additionally, the Company acquired building, land and leasehold improvements of $11.9 million.</w:t>
      </w:r>
    </w:p>
    <w:p>
      <w:pPr>
        <w:spacing w:after="0" w:line="15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Net cash provided by financing activities in 2004 amounted to $164.3 million. Net cash provided by financing activities primarily consisted of proceeds from the issuance of shares in the November 2004 public offering and exercises of employee stock options totaling $113.8 million, an increase in notes payable of $40.5 million and net draws of floor plan notes payable of $59.8 million, offset by principal payments on notes payable of $34.4 million and net payments on lines of credit of $15.3 million. The proceeds from notes payable are primarily related to the increase in the lease and rental fleet and real estate financing. $76.9 million of the proceeds from the stock offering were used in January 2005 to purchase certain assets of ATS.</w:t>
      </w:r>
    </w:p>
    <w:p>
      <w:pPr>
        <w:spacing w:after="0" w:line="158"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 xml:space="preserve">The Company arranges financing for customers through various financial institutions including </w:t>
      </w:r>
      <w:r>
        <w:rPr>
          <w:rFonts w:ascii="Arial" w:cs="Arial" w:eastAsia="Arial" w:hAnsi="Arial"/>
          <w:sz w:val="16"/>
          <w:szCs w:val="16"/>
          <w:color w:val="auto"/>
        </w:rPr>
        <w:t>GE Capital</w:t>
      </w:r>
      <w:r>
        <w:rPr>
          <w:rFonts w:ascii="Arial" w:cs="Arial" w:eastAsia="Arial" w:hAnsi="Arial"/>
          <w:sz w:val="17"/>
          <w:szCs w:val="17"/>
          <w:color w:val="auto"/>
        </w:rPr>
        <w:t xml:space="preserve"> and PACCAR Financial. The Company financed approximately $425.8 million of new and used truck sales in 2005. The Company receives a commission from the lender equal to either the difference between the interest rates charged to customers over the predetermined interest rates set by the financing institution or a commission for the placement of contracts. A majority of finance contracts are sold without recourse to the Company. A majority of the Company’s liability related to finance contracts sold with recourse is generally limited to 5% to 20% of the outstanding amount of each note initiated on behalf of the finance company. However, in 2003 the Company instituted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approximately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an allowance for repossession losses and early repayment penalties that it may be liable for under finance contracts sold without recourse.</w:t>
      </w:r>
    </w:p>
    <w:p>
      <w:pPr>
        <w:spacing w:after="0" w:line="183"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through The CIT Group, Inc., CitiCapital, John Deere Credit and others, the Company arranged customer financing for approximately $26.0 million of our new and used construction equipment sales in 2005. Generally, construction equipment financings are memorialized through the use of installment or lease contracts, which are secured by the construction equipment financed, and generally require a down payment up to 10% of the value of the financed piece of construction equipment, with the remaining balance being financed over a three to five-year period. The Company experiences no repossession loss on construction equipment financings because such financings are sold to third parties without recourse.</w:t>
      </w:r>
    </w:p>
    <w:p>
      <w:pPr>
        <w:sectPr>
          <w:pgSz w:w="11900" w:h="16838" w:orient="portrait"/>
          <w:cols w:equalWidth="0" w:num="1">
            <w:col w:w="11420"/>
          </w:cols>
          <w:pgMar w:left="240" w:top="125" w:right="239" w:bottom="60" w:gutter="0" w:footer="0" w:header="0"/>
        </w:sectPr>
      </w:pPr>
    </w:p>
    <w:bookmarkStart w:id="24" w:name="page25"/>
    <w:bookmarkEnd w:id="24"/>
    <w:p>
      <w:pPr>
        <w:ind w:right="60" w:firstLine="648"/>
        <w:spacing w:after="0" w:line="259" w:lineRule="auto"/>
        <w:rPr>
          <w:sz w:val="20"/>
          <w:szCs w:val="20"/>
          <w:color w:val="auto"/>
        </w:rPr>
      </w:pPr>
      <w:r>
        <w:rPr>
          <w:rFonts w:ascii="Arial" w:cs="Arial" w:eastAsia="Arial" w:hAnsi="Arial"/>
          <w:sz w:val="18"/>
          <w:szCs w:val="18"/>
          <w:color w:val="auto"/>
        </w:rPr>
        <w:t>Substantially all of the Company’s truck purchases are made on terms requiring payment within 15 days or less from the date the trucks are invoiced from the factory. On September 20, 2005, the Company entered into a three-year floor plan financing agreement with GE Capital. Interest under the floor plan financing agreement is payable monthly at a rate equal to LIBOR plus 1.68%. The Company finances substantially all of the purchase price of its new truck inventory,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 xml:space="preserve">and the loan value of its used truck inventory under the floor plan financing agreement with GE Capital, under which GE Capital pays the manufacturer directly with respect to new trucks. The Company makes monthly interest payments to GE Capital on the amount financed, but is not required to commence loan principal repayments on any vehicle until such vehicle has been floor planned for 12 months or is sold. The agreement allows for prepayments and working capital advances with monthly adjustments to the interest due on outstanding advances. </w:t>
      </w:r>
      <w:r>
        <w:rPr>
          <w:rFonts w:ascii="Arial" w:cs="Arial" w:eastAsia="Arial" w:hAnsi="Arial"/>
          <w:sz w:val="17"/>
          <w:szCs w:val="17"/>
          <w:color w:val="auto"/>
        </w:rPr>
        <w:t>On December 31, 2005, the Company had approximately</w:t>
      </w:r>
      <w:r>
        <w:rPr>
          <w:rFonts w:ascii="Arial" w:cs="Arial" w:eastAsia="Arial" w:hAnsi="Arial"/>
          <w:sz w:val="18"/>
          <w:szCs w:val="18"/>
          <w:color w:val="auto"/>
        </w:rPr>
        <w:t xml:space="preserve"> </w:t>
      </w:r>
      <w:r>
        <w:rPr>
          <w:rFonts w:ascii="Arial" w:cs="Arial" w:eastAsia="Arial" w:hAnsi="Arial"/>
          <w:sz w:val="17"/>
          <w:szCs w:val="17"/>
          <w:color w:val="auto"/>
        </w:rPr>
        <w:t>$302.8 million outstanding under its floor plan financing agreement with GE Capital.</w:t>
      </w:r>
    </w:p>
    <w:p>
      <w:pPr>
        <w:spacing w:after="0" w:line="193" w:lineRule="exact"/>
        <w:rPr>
          <w:sz w:val="20"/>
          <w:szCs w:val="20"/>
          <w:color w:val="auto"/>
        </w:rPr>
      </w:pPr>
    </w:p>
    <w:p>
      <w:pPr>
        <w:ind w:right="140" w:firstLine="648"/>
        <w:spacing w:after="0" w:line="285" w:lineRule="auto"/>
        <w:rPr>
          <w:sz w:val="20"/>
          <w:szCs w:val="20"/>
          <w:color w:val="auto"/>
        </w:rPr>
      </w:pPr>
      <w:r>
        <w:rPr>
          <w:rFonts w:ascii="Arial" w:cs="Arial" w:eastAsia="Arial" w:hAnsi="Arial"/>
          <w:sz w:val="16"/>
          <w:szCs w:val="16"/>
          <w:color w:val="auto"/>
        </w:rPr>
        <w:t>Substantially all of the Company’s new construction equipment purchases are financed by John Deere and CitiCapital. The Company finances substantially all of the purchase price of its new construction equipment inventory under its floor plan facilities. The agreement with John Deere provides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it is transferred to the CitiCapital floor plan arrangement. The Company makes</w:t>
      </w:r>
    </w:p>
    <w:p>
      <w:pPr>
        <w:spacing w:after="0" w:line="2"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principal payments for sold inventory to CitiCapital on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of each month. Used and rental construction equipment is financed to a maximum of book value under a floor plan arrangement with CitiCapital. The Company makes monthly interest payments on the amount financed and is required to commence loan principal repayments on rental construction equipment as book value reduces. Principal payments for sold used construction equipment are</w:t>
      </w:r>
    </w:p>
    <w:p>
      <w:pPr>
        <w:spacing w:after="0" w:line="2"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made no later than the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 following the sale. The loans are collateralized by a lien on the construction equipment. The Company’s floor plan agreements limit the aggregate amount of borrowings based on the book value of new and used construction equipment units. As of December 31, 2005, the Company’s floor plan arrangement with CitiCapital permits the financing of up to $10.5 million in construction equipment. On December 31, 2005, the Company had $3.1 million outstanding under its floor plan financing arrangements with John Deere and $10.1 million outstanding under its floor plan financing arrangement with CitiCapital.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Cyclicality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economic recessions, environmental and other government regulations and customer business cycles. Unit sales of new trucks have historically been subject to substantial cyclical variation based on these general economic conditions. According to A.C.T. Research, industry-wide domestic retail sales of Class 8 trucks in 2005 totaled approximately 259,000 units. A.C.T. Research currently forecasts U.S. heavy-duty new truck sales to increase to approximately 266,000 units in 2006 and decrease to 179,000 units in 2007. Through geographic expansion, concentration on higher margin parts and service operations and diversification of its customer base, the Company believes it can reduce the negative impact on the Company’s earnings of adverse general economic conditions or cyclical trends affecting the heavy-duty truck industry.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of Inflation</w:t>
      </w:r>
    </w:p>
    <w:p>
      <w:pPr>
        <w:spacing w:after="0" w:line="225"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Company believes that the relatively moderate rates of inflation over the last few years have not had a significant impact on revenues or profitability. The Company does not expect inflation to have any near-term material effects on the sale of its products and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off-balance sheet arrangements as of December 31,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has certain contractual obligations that will impact its short and long-term liquidity. At December 31, 2005, such obligations were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1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Less than 1</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right"/>
              <w:ind w:right="457"/>
              <w:spacing w:after="0" w:line="119" w:lineRule="exact"/>
              <w:rPr>
                <w:sz w:val="20"/>
                <w:szCs w:val="20"/>
                <w:color w:val="auto"/>
              </w:rPr>
            </w:pPr>
            <w:r>
              <w:rPr>
                <w:rFonts w:ascii="Arial" w:cs="Arial" w:eastAsia="Arial" w:hAnsi="Arial"/>
                <w:sz w:val="13"/>
                <w:szCs w:val="13"/>
                <w:b w:val="1"/>
                <w:bCs w:val="1"/>
                <w:color w:val="auto"/>
              </w:rPr>
              <w:t>1-3</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ind w:right="435"/>
              <w:spacing w:after="0" w:line="119" w:lineRule="exact"/>
              <w:rPr>
                <w:sz w:val="20"/>
                <w:szCs w:val="20"/>
                <w:color w:val="auto"/>
              </w:rPr>
            </w:pPr>
            <w:r>
              <w:rPr>
                <w:rFonts w:ascii="Arial" w:cs="Arial" w:eastAsia="Arial" w:hAnsi="Arial"/>
                <w:sz w:val="13"/>
                <w:szCs w:val="13"/>
                <w:b w:val="1"/>
                <w:bCs w:val="1"/>
                <w:color w:val="auto"/>
              </w:rPr>
              <w:t>3-5</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75"/>
              <w:spacing w:after="0" w:line="119" w:lineRule="exact"/>
              <w:rPr>
                <w:sz w:val="20"/>
                <w:szCs w:val="20"/>
                <w:color w:val="auto"/>
              </w:rPr>
            </w:pPr>
            <w:r>
              <w:rPr>
                <w:rFonts w:ascii="Arial" w:cs="Arial" w:eastAsia="Arial" w:hAnsi="Arial"/>
                <w:sz w:val="13"/>
                <w:szCs w:val="13"/>
                <w:b w:val="1"/>
                <w:bCs w:val="1"/>
                <w:color w:val="auto"/>
              </w:rPr>
              <w:t>More than 5</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42"/>
        </w:trPr>
        <w:tc>
          <w:tcPr>
            <w:tcW w:w="36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Obligations(1)</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133,152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18,807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41,826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55,165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Capital Lease Obligations(2)</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16,905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2,277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5,351</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5,636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39,887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13,180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Interest expense on fixed rate debt(3)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22,840</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6,994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10,537</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4,951</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variable rate debt(3)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1,380</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216,193</w:t>
            </w: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72,274</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74,933</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31,317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 to Note 9 of Notes to Consolidated Financial Statements.</w:t>
      </w:r>
    </w:p>
    <w:p>
      <w:pPr>
        <w:spacing w:after="0" w:line="225" w:lineRule="exact"/>
        <w:rPr>
          <w:rFonts w:ascii="Arial" w:cs="Arial" w:eastAsia="Arial" w:hAnsi="Arial"/>
          <w:sz w:val="18"/>
          <w:szCs w:val="18"/>
          <w:color w:val="auto"/>
        </w:rPr>
      </w:pPr>
    </w:p>
    <w:p>
      <w:pPr>
        <w:ind w:left="680" w:hanging="672"/>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Refer to Note 12 of Notes to Consolidated Financial Statements.</w:t>
      </w:r>
    </w:p>
    <w:p>
      <w:pPr>
        <w:spacing w:after="0" w:line="225" w:lineRule="exact"/>
        <w:rPr>
          <w:rFonts w:ascii="Arial" w:cs="Arial" w:eastAsia="Arial" w:hAnsi="Arial"/>
          <w:sz w:val="18"/>
          <w:szCs w:val="18"/>
          <w:color w:val="auto"/>
        </w:rPr>
      </w:pPr>
    </w:p>
    <w:p>
      <w:pPr>
        <w:jc w:val="both"/>
        <w:ind w:right="60" w:firstLine="8"/>
        <w:spacing w:after="0" w:line="264"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computing interest expense, the Company used its weighted average interest rate outstanding on fixed rate debt to estimate its interest expense on fixed rate debt. The Company used its weighted average variable rate outstanding on variable rate debt and added 0.25 percent per year to estimate its interest expense on variable rate debt.</w:t>
      </w:r>
    </w:p>
    <w:p>
      <w:pPr>
        <w:sectPr>
          <w:pgSz w:w="11900" w:h="16838" w:orient="portrait"/>
          <w:cols w:equalWidth="0" w:num="1">
            <w:col w:w="11420"/>
          </w:cols>
          <w:pgMar w:left="240" w:top="125" w:right="239" w:bottom="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Company is exposed to some market risk through interest rates related to our floor plan borrowing arrangements, variable rate debt and discount rates related to finance sales. Floor plan borrowings are based on the LIBOR rate of interest and are used to meet working capital needs. As of December 31, 2005, the Company had floor plan borrowings of approximately $316.0 million. Assuming an increase in the LIBOR rate of interest of 100 basis points, interest expense could increase by approximately $3.2 million. The interest rate variability on all other debt would not have a material adverse effect on the Company’s financial position.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is also exposed to some market risk through interest rates related to the investment of our current cash and cash equivalents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$133.1 million at December 31, 2005. These funds are generally invested in highly liquid money market accounts, government-sponsored enterprises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corporate bonds that do not expose the Company to a loss of principal. As such instruments mature and the funds are reinvested, we are exposed to changes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market interest rates. This risk is mitigated by management’s ongoing evaluation of the best investment rates available for current and noncurrent high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quality investments. If market interest rates were to increase or decrease immediately and uniformly by 100 basis points, the Company’s interest income could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correspondingly increase or decrease by approximately $1.3 million. We have not used derivative financial instruments in our investment portfolio.</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Report of Independent Registered Public Accounting Firm</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Consolidated Balance Sheets as of December 31, 2004 and 2005</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Consolidated Statements of Operations for the Years Ended December 31, 2003, 2004 and 2005</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Consolidated Statements of Shareholders’ Equity for the Years Ended December 31, 2003, 2004 and 2005</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Consolidated Statements of Cash Flows for the Years Ended December 31, 2003, 2004 and 2005</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Notes to Consolidated Financial Statements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Rush Enterprises, Inc.:</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Rush Enterprises, Inc. (a Texas corporation) and subsidiaries as of December 31, 2005 and 2004, and the related consolidated statements of operations, shareholders’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Rush Enterprises, Inc. and subsidiaries at December 31, 2005 and 2004, and the consolidated results of their operations and their cash flows for each of the three years in the period ended December 31, 2005, in conformity with U.S. generally accepted accounting principles.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Rush Enterprises, Inc.’s internal control over financial reporting as of December 31, 2005, based on criteria established in Internal Control—Integrated Framework issued by the Committee of Sponsoring Organizations of the Treadway Commission and our report dated February 24, 2006 expressed an unqualified opinion thereon.</w:t>
      </w:r>
    </w:p>
    <w:p>
      <w:pPr>
        <w:spacing w:after="0" w:line="200" w:lineRule="exact"/>
        <w:rPr>
          <w:sz w:val="20"/>
          <w:szCs w:val="20"/>
          <w:color w:val="auto"/>
        </w:rPr>
      </w:pPr>
    </w:p>
    <w:p>
      <w:pPr>
        <w:spacing w:after="0" w:line="20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13290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ectPr>
          <w:pgSz w:w="11900" w:h="16838" w:orient="portrait"/>
          <w:cols w:equalWidth="0" w:num="1">
            <w:col w:w="11420"/>
          </w:cols>
          <w:pgMar w:left="240" w:top="341" w:right="239" w:bottom="5"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2006</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CONSOLIDATED BALANCE SHEETS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DECEMBER 31, 2004 AND 2005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Shares and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2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92"/>
              </w:rPr>
              <w:t>ASSETS</w:t>
            </w:r>
          </w:p>
        </w:tc>
        <w:tc>
          <w:tcPr>
            <w:tcW w:w="3800" w:type="dxa"/>
            <w:vAlign w:val="bottom"/>
            <w:tcBorders>
              <w:bottom w:val="single" w:sz="8" w:color="CCEEFF"/>
            </w:tcBorders>
            <w:gridSpan w:val="2"/>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16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30,296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63,473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189,792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381,225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138,953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45,327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5"/>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565,505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20" w:type="dxa"/>
            <w:vAlign w:val="bottom"/>
            <w:gridSpan w:val="5"/>
            <w:shd w:val="clear" w:color="auto" w:fill="CCEEFF"/>
          </w:tcPr>
          <w:p>
            <w:pPr>
              <w:jc w:val="center"/>
              <w:ind w:right="140"/>
              <w:spacing w:after="0" w:line="176" w:lineRule="exact"/>
              <w:rPr>
                <w:sz w:val="20"/>
                <w:szCs w:val="20"/>
                <w:color w:val="auto"/>
              </w:rPr>
            </w:pPr>
            <w:r>
              <w:rPr>
                <w:rFonts w:ascii="Arial" w:cs="Arial" w:eastAsia="Arial" w:hAnsi="Arial"/>
                <w:sz w:val="18"/>
                <w:szCs w:val="18"/>
                <w:color w:val="auto"/>
                <w:w w:val="99"/>
              </w:rPr>
              <w:t>LIABILITIES AND SHAREHOLDERS’ EQUITY</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160"/>
              <w:spacing w:after="0"/>
              <w:rPr>
                <w:sz w:val="20"/>
                <w:szCs w:val="20"/>
                <w:color w:val="auto"/>
              </w:rPr>
            </w:pPr>
            <w:r>
              <w:rPr>
                <w:rFonts w:ascii="Arial" w:cs="Arial" w:eastAsia="Arial" w:hAnsi="Arial"/>
                <w:sz w:val="18"/>
                <w:szCs w:val="18"/>
                <w:color w:val="auto"/>
              </w:rPr>
              <w:t>Floor plan notes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168,002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315,985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16,083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160"/>
              <w:spacing w:after="0"/>
              <w:rPr>
                <w:sz w:val="20"/>
                <w:szCs w:val="20"/>
                <w:color w:val="auto"/>
              </w:rPr>
            </w:pPr>
            <w:r>
              <w:rPr>
                <w:rFonts w:ascii="Arial" w:cs="Arial" w:eastAsia="Arial" w:hAnsi="Arial"/>
                <w:sz w:val="18"/>
                <w:szCs w:val="18"/>
                <w:color w:val="auto"/>
              </w:rPr>
              <w:t>Current maturities of capital lease obligations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Advances outstanding under lines of credit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160"/>
              <w:spacing w:after="0"/>
              <w:rPr>
                <w:sz w:val="20"/>
                <w:szCs w:val="20"/>
                <w:color w:val="auto"/>
              </w:rPr>
            </w:pPr>
            <w:r>
              <w:rPr>
                <w:rFonts w:ascii="Arial" w:cs="Arial" w:eastAsia="Arial" w:hAnsi="Arial"/>
                <w:sz w:val="18"/>
                <w:szCs w:val="18"/>
                <w:color w:val="auto"/>
              </w:rPr>
              <w:t>Trade accounts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16,970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39,495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gridSpan w:val="5"/>
          </w:tcPr>
          <w:p>
            <w:pPr>
              <w:ind w:left="88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242,984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414,302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5"/>
          </w:tcPr>
          <w:p>
            <w:pPr>
              <w:spacing w:after="0"/>
              <w:rPr>
                <w:sz w:val="20"/>
                <w:szCs w:val="20"/>
                <w:color w:val="auto"/>
              </w:rPr>
            </w:pPr>
            <w:r>
              <w:rPr>
                <w:rFonts w:ascii="Arial" w:cs="Arial" w:eastAsia="Arial" w:hAnsi="Arial"/>
                <w:sz w:val="18"/>
                <w:szCs w:val="18"/>
                <w:color w:val="auto"/>
              </w:rPr>
              <w:t>LONG-TERM DEBT, net of current maturities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79,973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114,345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5"/>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5"/>
          </w:tcPr>
          <w:p>
            <w:pPr>
              <w:spacing w:after="0"/>
              <w:rPr>
                <w:sz w:val="20"/>
                <w:szCs w:val="20"/>
                <w:color w:val="auto"/>
              </w:rPr>
            </w:pPr>
            <w:r>
              <w:rPr>
                <w:rFonts w:ascii="Arial" w:cs="Arial" w:eastAsia="Arial" w:hAnsi="Arial"/>
                <w:sz w:val="18"/>
                <w:szCs w:val="18"/>
                <w:color w:val="auto"/>
              </w:rPr>
              <w:t>DEFERRED INCOME TAXES,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19,741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5"/>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Preferred stock, par value $.01 per share; 1,000,000 shares authorized; 0 shares outstanding in 2004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2005</w:t>
            </w:r>
          </w:p>
        </w:tc>
        <w:tc>
          <w:tcPr>
            <w:tcW w:w="15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9"/>
              </w:rPr>
              <w:t>Common stock, par value $.01 per share; 40,000,000 class A shares and 10,000,000 class B shares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340"/>
              <w:spacing w:after="0"/>
              <w:rPr>
                <w:sz w:val="20"/>
                <w:szCs w:val="20"/>
                <w:color w:val="auto"/>
              </w:rPr>
            </w:pPr>
            <w:r>
              <w:rPr>
                <w:rFonts w:ascii="Arial" w:cs="Arial" w:eastAsia="Arial" w:hAnsi="Arial"/>
                <w:sz w:val="18"/>
                <w:szCs w:val="18"/>
                <w:color w:val="auto"/>
                <w:w w:val="90"/>
              </w:rPr>
              <w:t>authorized; 16,342,320 class A shares and 7,554,656 class B shares outstanding in 2004; 16,770,060 class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5"/>
          </w:tcPr>
          <w:p>
            <w:pPr>
              <w:ind w:left="340"/>
              <w:spacing w:after="0"/>
              <w:rPr>
                <w:sz w:val="20"/>
                <w:szCs w:val="20"/>
                <w:color w:val="auto"/>
              </w:rPr>
            </w:pPr>
            <w:r>
              <w:rPr>
                <w:rFonts w:ascii="Arial" w:cs="Arial" w:eastAsia="Arial" w:hAnsi="Arial"/>
                <w:sz w:val="18"/>
                <w:szCs w:val="18"/>
                <w:color w:val="auto"/>
              </w:rPr>
              <w:t>A shares and 7,895,863 class B shares outstanding in 2005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156,423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66,145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110,770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5"/>
          </w:tcPr>
          <w:p>
            <w:pPr>
              <w:ind w:left="880"/>
              <w:spacing w:after="0"/>
              <w:rPr>
                <w:sz w:val="20"/>
                <w:szCs w:val="20"/>
                <w:color w:val="auto"/>
              </w:rPr>
            </w:pPr>
            <w:r>
              <w:rPr>
                <w:rFonts w:ascii="Arial" w:cs="Arial" w:eastAsia="Arial" w:hAnsi="Arial"/>
                <w:sz w:val="18"/>
                <w:szCs w:val="18"/>
                <w:color w:val="auto"/>
              </w:rPr>
              <w:t>Total shareholders’ equity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222,807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273,620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gridSpan w:val="5"/>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565,505</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0" w:type="dxa"/>
            <w:vAlign w:val="bottom"/>
            <w:gridSpan w:val="8"/>
          </w:tcPr>
          <w:p>
            <w:pPr>
              <w:jc w:val="center"/>
              <w:ind w:right="68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gridSpan w:val="5"/>
          </w:tcPr>
          <w:p>
            <w:pPr>
              <w:jc w:val="right"/>
              <w:ind w:right="60"/>
              <w:spacing w:after="0"/>
              <w:rPr>
                <w:sz w:val="20"/>
                <w:szCs w:val="20"/>
                <w:color w:val="auto"/>
              </w:rPr>
            </w:pPr>
            <w:r>
              <w:rPr>
                <w:rFonts w:ascii="Arial" w:cs="Arial" w:eastAsia="Arial" w:hAnsi="Arial"/>
                <w:sz w:val="18"/>
                <w:szCs w:val="18"/>
                <w:color w:val="auto"/>
              </w:rPr>
              <w:t>40</w:t>
            </w:r>
          </w:p>
        </w:tc>
        <w:tc>
          <w:tcPr>
            <w:tcW w:w="2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FOR THE YEARS ENDED DECEMBER 31, 2003, 2004 AND 2005</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Per Share Amounts)</w:t>
      </w:r>
    </w:p>
    <w:p>
      <w:pPr>
        <w:sectPr>
          <w:pgSz w:w="11900" w:h="16838" w:orient="portrait"/>
          <w:cols w:equalWidth="0" w:num="1">
            <w:col w:w="11440"/>
          </w:cols>
          <w:pgMar w:left="240" w:top="125" w:right="219" w:bottom="0" w:gutter="0" w:footer="0" w:header="0"/>
        </w:sectPr>
      </w:pPr>
    </w:p>
    <w:bookmarkStart w:id="27" w:name="page28"/>
    <w:bookmarkEnd w:id="2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501,757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738,225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1,400,736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249,818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285,206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28,263</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32,305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25,847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27,193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Finance and insurance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6,286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815,332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1,094,979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1,864,770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New and used truck sales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466,396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684,724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1,304,290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Parts and service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151,373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Construction equipment sales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25,158</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28,114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and rental</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19,155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19,749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cost of products sold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662,082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909,837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1,582,078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153,250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185,142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282,692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124,207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141,947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8,929</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782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interest expense,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15,750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9,450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17,176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8,829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16,916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EARNINGS PER COMMON SHARE - BASIC</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0.63</w:t>
            </w:r>
          </w:p>
        </w:tc>
        <w:tc>
          <w:tcPr>
            <w:tcW w:w="30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1.08</w:t>
            </w:r>
          </w:p>
        </w:tc>
        <w:tc>
          <w:tcPr>
            <w:tcW w:w="2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 - DILUTED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0.63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SHAREHOLDERS’ EQUITY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2003, 2004 AND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center"/>
              <w:ind w:right="144"/>
              <w:spacing w:after="0"/>
              <w:rPr>
                <w:sz w:val="20"/>
                <w:szCs w:val="20"/>
                <w:color w:val="auto"/>
              </w:rPr>
            </w:pPr>
            <w:r>
              <w:rPr>
                <w:rFonts w:ascii="Arial" w:cs="Arial" w:eastAsia="Arial" w:hAnsi="Arial"/>
                <w:sz w:val="14"/>
                <w:szCs w:val="14"/>
                <w:b w:val="1"/>
                <w:bCs w:val="1"/>
                <w:color w:val="auto"/>
                <w:w w:val="95"/>
              </w:rPr>
              <w:t>$.01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23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Shares Issued and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724"/>
              <w:spacing w:after="0"/>
              <w:rPr>
                <w:sz w:val="20"/>
                <w:szCs w:val="20"/>
                <w:color w:val="auto"/>
              </w:rPr>
            </w:pPr>
            <w:r>
              <w:rPr>
                <w:rFonts w:ascii="Arial" w:cs="Arial" w:eastAsia="Arial" w:hAnsi="Arial"/>
                <w:sz w:val="14"/>
                <w:szCs w:val="14"/>
                <w:b w:val="1"/>
                <w:bCs w:val="1"/>
                <w:color w:val="auto"/>
                <w:w w:val="92"/>
              </w:rPr>
              <w:t>Outstanding</w:t>
            </w:r>
          </w:p>
        </w:tc>
        <w:tc>
          <w:tcPr>
            <w:tcW w:w="7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Par</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600" w:type="dxa"/>
            <w:vAlign w:val="bottom"/>
            <w:gridSpan w:val="3"/>
          </w:tcPr>
          <w:p>
            <w:pPr>
              <w:ind w:left="300"/>
              <w:spacing w:after="0" w:line="142" w:lineRule="exact"/>
              <w:rPr>
                <w:sz w:val="20"/>
                <w:szCs w:val="20"/>
                <w:color w:val="auto"/>
              </w:rPr>
            </w:pPr>
            <w:r>
              <w:rPr>
                <w:rFonts w:ascii="Arial" w:cs="Arial" w:eastAsia="Arial" w:hAnsi="Arial"/>
                <w:sz w:val="14"/>
                <w:szCs w:val="14"/>
                <w:b w:val="1"/>
                <w:bCs w:val="1"/>
                <w:color w:val="auto"/>
              </w:rPr>
              <w:t>Class A</w:t>
            </w:r>
          </w:p>
        </w:tc>
        <w:tc>
          <w:tcPr>
            <w:tcW w:w="78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w w:val="93"/>
              </w:rPr>
              <w:t>Class B</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7,002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33" w:right="239" w:bottom="0" w:gutter="0" w:footer="0" w:header="0"/>
        </w:sectPr>
      </w:pPr>
    </w:p>
    <w:bookmarkStart w:id="28" w:name="page29"/>
    <w:bookmarkEnd w:id="2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EXERCISE OF EMPLOYEE STOCK OPTIONS</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8,829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BALANCE, December 31, 2003</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7,021</w:t>
            </w:r>
          </w:p>
        </w:tc>
        <w:tc>
          <w:tcPr>
            <w:tcW w:w="1040" w:type="dxa"/>
            <w:vAlign w:val="bottom"/>
          </w:tcPr>
          <w:p>
            <w:pPr>
              <w:jc w:val="right"/>
              <w:spacing w:after="0"/>
              <w:rPr>
                <w:sz w:val="20"/>
                <w:szCs w:val="20"/>
                <w:color w:val="auto"/>
              </w:rPr>
            </w:pPr>
            <w:r>
              <w:rPr>
                <w:rFonts w:ascii="Arial" w:cs="Arial" w:eastAsia="Arial" w:hAnsi="Arial"/>
                <w:sz w:val="18"/>
                <w:szCs w:val="18"/>
                <w:color w:val="auto"/>
              </w:rPr>
              <w:t>7,021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39,337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49,229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(including tax benefit of $3,364)</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571</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534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ISSUANCE OF CLASS A COMMON STOCK</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109,110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BALANCE, December 31, 2004</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16,342</w:t>
            </w:r>
          </w:p>
        </w:tc>
        <w:tc>
          <w:tcPr>
            <w:tcW w:w="1040" w:type="dxa"/>
            <w:vAlign w:val="bottom"/>
          </w:tcPr>
          <w:p>
            <w:pPr>
              <w:jc w:val="right"/>
              <w:spacing w:after="0"/>
              <w:rPr>
                <w:sz w:val="20"/>
                <w:szCs w:val="20"/>
                <w:color w:val="auto"/>
              </w:rPr>
            </w:pPr>
            <w:r>
              <w:rPr>
                <w:rFonts w:ascii="Arial" w:cs="Arial" w:eastAsia="Arial" w:hAnsi="Arial"/>
                <w:sz w:val="18"/>
                <w:szCs w:val="18"/>
                <w:color w:val="auto"/>
              </w:rPr>
              <w:t>7,555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156,423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20" w:type="dxa"/>
            <w:vAlign w:val="bottom"/>
          </w:tcPr>
          <w:p>
            <w:pPr>
              <w:spacing w:after="0" w:line="201" w:lineRule="exact"/>
              <w:rPr>
                <w:sz w:val="20"/>
                <w:szCs w:val="20"/>
                <w:color w:val="auto"/>
              </w:rPr>
            </w:pPr>
            <w:r>
              <w:rPr>
                <w:rFonts w:ascii="Arial" w:cs="Arial" w:eastAsia="Arial" w:hAnsi="Arial"/>
                <w:sz w:val="18"/>
                <w:szCs w:val="18"/>
                <w:color w:val="auto"/>
              </w:rPr>
              <w:t>EXERCISE OF EMPLOYEE STOCK OPTIONS</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60"/>
              <w:spacing w:after="0"/>
              <w:rPr>
                <w:sz w:val="20"/>
                <w:szCs w:val="20"/>
                <w:color w:val="auto"/>
              </w:rPr>
            </w:pPr>
            <w:r>
              <w:rPr>
                <w:rFonts w:ascii="Arial" w:cs="Arial" w:eastAsia="Arial" w:hAnsi="Arial"/>
                <w:sz w:val="18"/>
                <w:szCs w:val="18"/>
                <w:color w:val="auto"/>
              </w:rPr>
              <w:t>(including tax benefit of $3,076)</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ISSUANCE COSTS OF CLASS A COMMON STOCK</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16,770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 THE YEARS ENDED DECEMBER 31, 2003, 2004 AND 2005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9,450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17,176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44,625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income to net cash provided by (used in) operating</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activities, net of acquisitions-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(Loss) from discontinued operations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(621)</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15,542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Gain on sale of property and equipment</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(1,444)</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(1,801)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Provision for deferred income tax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3,703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Tax benefit realized from exercise of stock options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3,364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charges related to discontinued operations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Change in accounts receivable, net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1,043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(5,804)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inventories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(13,154)</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Change in prepaid expenses and other, net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642</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Change in trade accounts payable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Change in accrued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10,399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16,331</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(5,642)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(52,160)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(18,772)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(44,566)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7,521</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14,129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Business acquisitions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(5,547)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Change in other assets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(16,831)</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(34,834)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(123,509)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long-term debt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19,230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40,463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Proceeds from capital lease obligations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long-term debt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(24,118)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Payments on capital lease obligations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Draws on floor plan notes payable, net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19,590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59,767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(Payments) borrowings on lines of credit, net</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(4,663)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(15,298)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Issuance of shares relating to employee stock options and employee stock purchase</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w:t>
            </w: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4,623</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160"/>
              <w:spacing w:after="0" w:line="201" w:lineRule="exact"/>
              <w:rPr>
                <w:sz w:val="20"/>
                <w:szCs w:val="20"/>
                <w:color w:val="auto"/>
              </w:rPr>
            </w:pPr>
            <w:r>
              <w:rPr>
                <w:rFonts w:ascii="Arial" w:cs="Arial" w:eastAsia="Arial" w:hAnsi="Arial"/>
                <w:sz w:val="18"/>
                <w:szCs w:val="18"/>
                <w:color w:val="auto"/>
              </w:rPr>
              <w:t>Issuance of 8,750,000 shares relating to the public offering, net of the related</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109,198</w:t>
            </w:r>
          </w:p>
        </w:tc>
        <w:tc>
          <w:tcPr>
            <w:tcW w:w="32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164,262</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9,626</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123,786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24,763</w:t>
            </w:r>
          </w:p>
        </w:tc>
        <w:tc>
          <w:tcPr>
            <w:tcW w:w="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34,389</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34,389</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158,175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133,069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1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7,086</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1,487</w:t>
            </w: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gridSpan w:val="2"/>
            <w:shd w:val="clear" w:color="auto" w:fill="CCEEFF"/>
          </w:tcPr>
          <w:p>
            <w:pPr>
              <w:spacing w:after="0"/>
              <w:rPr>
                <w:sz w:val="2"/>
                <w:szCs w:val="2"/>
                <w:color w:val="auto"/>
              </w:rPr>
            </w:pPr>
          </w:p>
        </w:tc>
        <w:tc>
          <w:tcPr>
            <w:tcW w:w="1380" w:type="dxa"/>
            <w:vAlign w:val="bottom"/>
            <w:gridSpan w:val="2"/>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8960" w:type="dxa"/>
            <w:vAlign w:val="bottom"/>
            <w:gridSpan w:val="6"/>
          </w:tcPr>
          <w:p>
            <w:pPr>
              <w:jc w:val="center"/>
              <w:ind w:left="235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40" w:type="dxa"/>
            <w:vAlign w:val="bottom"/>
          </w:tcPr>
          <w:p>
            <w:pPr>
              <w:jc w:val="right"/>
              <w:ind w:right="750"/>
              <w:spacing w:after="0"/>
              <w:rPr>
                <w:sz w:val="20"/>
                <w:szCs w:val="20"/>
                <w:color w:val="auto"/>
              </w:rPr>
            </w:pPr>
            <w:r>
              <w:rPr>
                <w:rFonts w:ascii="Arial" w:cs="Arial" w:eastAsia="Arial" w:hAnsi="Arial"/>
                <w:sz w:val="18"/>
                <w:szCs w:val="18"/>
                <w:color w:val="auto"/>
              </w:rPr>
              <w:t>43</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4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RUSH ENTERPRISES, INC.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2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ORGANIZATION AND OPERATIONS</w:t>
      </w:r>
      <w:r>
        <w:rPr>
          <w:rFonts w:ascii="Arial" w:cs="Arial" w:eastAsia="Arial" w:hAnsi="Arial"/>
          <w:sz w:val="18"/>
          <w:szCs w:val="18"/>
          <w:color w:val="auto"/>
        </w:rPr>
        <w:t>:</w:t>
      </w:r>
    </w:p>
    <w:p>
      <w:pPr>
        <w:spacing w:after="0" w:line="22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Rush Enterprises, Inc. (the “Company”) was incorporated in June 1996 under the laws of the State of Texas. The Company, founded in 1965, now operates a Truck segment and a Construction Equipment segment. The Truck segment operates a regional network of Rush Truck Centers. Rush Truck Centers primarily sell trucks manufactured by Peterbilt. Certain Rush Truck Centers sell medium-duty trucks manufactured by Peterbilt, GMC, Hino, UD or Isuzu. Through its strategically located network of Rush Truck Centers, the Company provides one-stop service for the needs of its customers, including retail sales of new and used trucks, aftermarket parts sales, service and repair facilities and financing, leasing and rental, and insurance services. The Company’s truck centers are located in areas on or near major highways in Alabama, Arizona, California, Colorado, Florida, New Mexico, Oklahoma, Tennessee and Texas. The Construction Equipment segment, formed during 1997, operates a John Deere equipment center in Houston, Texas. Dealership operations include the retail sale of new and used construction equipment, aftermarket parts and service facilities, equipment rentals and the financing of new and used equipment (see Note 19).</w:t>
      </w:r>
    </w:p>
    <w:p>
      <w:pPr>
        <w:spacing w:after="0" w:line="18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October 2005, the Company purchased certain assets of TEC of California, Inc., which consisted of GMC, Isuzu and Hino medium-duty franchises. The newly acquired lines were added to the Company’s existing medium-duty truck store in Fontana, California. The transaction was valued at approximately $3.4 million, with the purchase price paid in cash.</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September 2005, the Company purchased certain assets of Hayes Leasing Company, Inc., which consisted of GMC and UD medium-duty franchises. The newly acquired lines were added to its existing medium-duty truck store in Dallas, Texas. The transaction was valued at approximately $3.4 million, with the purchase price paid in cash.</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September 2005, the Company purchased certain assets of Barrett Trucks, LLC, which consisted of a GMC and Isuzu medium-duty dealership in Texarkana, Texas. The Company added Peterbilt trucks to the dealership and is operating the facility as a full-service Rush Truck Center offering heavy-duty and medium-duty trucks, parts and service. The transaction was valued at approximately $626,000, with the purchase price paid in cash.</w:t>
      </w:r>
    </w:p>
    <w:p>
      <w:pPr>
        <w:spacing w:after="0" w:line="166"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In July 2005, the Company purchased certain assets of Fountain Motor Co., Inc., which consisted of a GMC and Isuzu medium-duty dealership in Orlando, Florida. The Company added Peterbilt trucks and UD products to the dealership and is operating the facility as a full-service Rush Truck Center offering heavy-duty and medium-duty trucks, parts and service. The transaction was valued at approximately $2.8 million, with the purchase price paid in cash.</w:t>
      </w:r>
    </w:p>
    <w:p>
      <w:pPr>
        <w:spacing w:after="0" w:line="14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January 2005, the Company acquired certain assets of American Truck Source, Inc., including its Peterbilt truck dealerships in Texas and Tennessee, for a total purchase price of $132.4 million. The acquisition provides the Company with rights to sell Peterbilt trucks and parts at new locations in Dallas, Fort Worth, Abilene and Tyler, Texas and Nashville, Tennessee. The transaction was financed with cash of $77.8 million, expansion of the Company’s existing floor plan agreement for truck inventory of $34.6 million, and the issuance of debt of approximately $20.0 million to finance the purchase of real estate and certain vehicles used in ATS’s leasing operations. Of the $77.8 million paid in cash, $21.9 million was for the purchase of a note receivable from the selling shareholders of ATS. This $21.9 million was immediately repaid by the selling shareholders at closing, resulting in net cash used in the acquisition of $55.9 million.</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April 2003, the Company purchased substantially all of the assets of Peterbilt of Mobile, Inc., a Peterbilt dealership in Mobile, Alabama. The transaction was valued at approximately $1.4 million, with the purchase price paid in cash.</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February 2003, the Company acquired the common stock of Orange County Truck and Trailers, Inc. (“Orange County”), a Peterbilt dealer in central Florida. The acquisition provided the Company with the right to sell Peterbilt trucks and parts from three new locations in central Florida, including Orlando, Haines City, and Tampa. The transaction was valued at approximately $5.4 million, with the purchase price paid in cash.</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part of the Company’s corporate reorganization in connection with its initial public offering (“Offering”) in June 1996, the Company acquired, as a wholly owned subsidiary, a managing general agent (the “MGA”) to manage all of the operations of Associated Acceptance, Inc. (“AA”). W. Marvin Rush, the sole shareholder of AA, is prohibited from the sale or transfer of the capital stock of AA under the MGA agreement, except as designated by the Company. Therefore, the financial position and operations of AA have been included as part of the Company’s consolidated financial position and results of operations for all periods presented.</w:t>
      </w:r>
    </w:p>
    <w:p>
      <w:pPr>
        <w:spacing w:after="0" w:line="20" w:lineRule="exact"/>
        <w:rPr>
          <w:sz w:val="20"/>
          <w:szCs w:val="20"/>
          <w:color w:val="auto"/>
        </w:rPr>
      </w:pPr>
    </w:p>
    <w:p>
      <w:pPr>
        <w:sectPr>
          <w:pgSz w:w="11900" w:h="16838" w:orient="portrait"/>
          <w:cols w:equalWidth="0" w:num="1">
            <w:col w:w="11440"/>
          </w:cols>
          <w:pgMar w:left="240" w:top="356" w:right="219" w:bottom="0" w:gutter="0" w:footer="0" w:header="0"/>
        </w:sectPr>
      </w:pPr>
    </w:p>
    <w:bookmarkStart w:id="30" w:name="page31"/>
    <w:bookmarkEnd w:id="30"/>
    <w:p>
      <w:pPr>
        <w:spacing w:after="0" w:line="56"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Effective at the close of business on July 9, 2002 (the “Record Date”), pursuant to action taken by the shareholders at the Annual Meeting of the Company held July 9, 2002, and described in the Proxy Statement dated May 15, 2002, the Board of Directors of the Company reclassified the outstanding common stock, $0.01 par value per share (the “Old Common Stock”), as Class B Common Stock, $0.01 par value per share (the “Class B Common Stock”), and declared a stock dividend of one share of a new Class A Common Stock, $.01 par value per share (the “Class A Common Stock”), for each share of Class B Common Stock held by shareholders of record on the Record Date. Each share of Class A Common Stock ranks substantially equal to each share of Class B Common Stock with respect to receipt of any dividends or distributions declared on shares of common stock and the right to receive proceeds on liquidation or dissolution of the Company after payment of the Company’s indebtedness and liquidation preference payments to holders of preferred shares. However, holders of Class A Common Stock have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one vote per share on all matters requiring a shareholder vote, while holders of Class B Common Stock</w:t>
      </w:r>
    </w:p>
    <w:p>
      <w:pPr>
        <w:spacing w:after="0" w:line="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have one vote per share on all matters requiring a shareholder vote. The Company’s stock trades on The NASDAQ National Market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t>
      </w:r>
      <w:r>
        <w:rPr>
          <w:rFonts w:ascii="Arial" w:cs="Arial" w:eastAsia="Arial" w:hAnsi="Arial"/>
          <w:sz w:val="17"/>
          <w:szCs w:val="17"/>
          <w:color w:val="auto"/>
        </w:rPr>
        <w:t>under the symbols</w:t>
      </w:r>
      <w:r>
        <w:rPr>
          <w:rFonts w:ascii="Arial" w:cs="Arial" w:eastAsia="Arial" w:hAnsi="Arial"/>
          <w:sz w:val="18"/>
          <w:szCs w:val="18"/>
          <w:color w:val="auto"/>
        </w:rPr>
        <w:t xml:space="preserve"> </w:t>
      </w:r>
      <w:r>
        <w:rPr>
          <w:rFonts w:ascii="Arial" w:cs="Arial" w:eastAsia="Arial" w:hAnsi="Arial"/>
          <w:sz w:val="17"/>
          <w:szCs w:val="17"/>
          <w:color w:val="auto"/>
        </w:rPr>
        <w:t>RUSHA and RUSHB. Prior to the reclassification and stock dividend, the Company had 7,002,044 shares of Old Common Stock outstanding. Additionally, all stock option information in Note 13 has been adjusted to reflect the above transaction for all periods presented. The adjustment caused each option outstanding prior to July 9, 2002 to become an option to purchase Class A Common Stock and an option to purchase Class B Common Stock, each with an exercise price of 50% of the exercise price of the option originally granted.</w:t>
      </w:r>
    </w:p>
    <w:p>
      <w:pPr>
        <w:spacing w:after="0" w:line="207" w:lineRule="exact"/>
        <w:rPr>
          <w:sz w:val="20"/>
          <w:szCs w:val="20"/>
          <w:color w:val="auto"/>
        </w:rPr>
      </w:pPr>
    </w:p>
    <w:p>
      <w:pPr>
        <w:ind w:right="7440" w:firstLine="8"/>
        <w:spacing w:after="0" w:line="501" w:lineRule="auto"/>
        <w:tabs>
          <w:tab w:leader="none" w:pos="662"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SIGNIFICANT ACCOUNTING POLICIES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Principles of Consolidation</w:t>
      </w:r>
    </w:p>
    <w:p>
      <w:pPr>
        <w:ind w:right="260"/>
        <w:spacing w:after="0" w:line="264" w:lineRule="auto"/>
        <w:rPr>
          <w:sz w:val="20"/>
          <w:szCs w:val="20"/>
          <w:color w:val="auto"/>
        </w:rPr>
      </w:pPr>
      <w:r>
        <w:rPr>
          <w:rFonts w:ascii="Arial" w:cs="Arial" w:eastAsia="Arial" w:hAnsi="Arial"/>
          <w:sz w:val="18"/>
          <w:szCs w:val="18"/>
          <w:color w:val="auto"/>
        </w:rPr>
        <w:t>The consolidated financial statements presented herein include the account of Rush Enterprises, Inc. together with our consolidated subsidiaries. All significant inter-company balances and transactions have been eliminated in consolidation. Certain reclassifications of amount related to prior years have been made to conform with the 2005 presentation.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Estimates in Financial Statements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may differ from those estimates.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Inventories are stated at the lower of cost or market value. Cost is determined by specific identification for new and used truck and construction equipment inventory and by the first-in, first-out method for tires, parts and accessories. An allowance is provided when it is anticipated that cost will exceed net realizable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Property and equipment are stated at cost and depreciated over their estimated useful lives. Leasehold improvements are amortized over the useful life of the improvement, or the term of the lease, whichever is shorter. Provision for depreciation of property and equipment is calculated primarily on a straight-line basis. The Company capitalizes interest on borrowings during the active construction period of major capital projects. Capitalized interest, when incurred, is added to the cost of underlying assets and is amortized over the estimated useful life of such assets. The Company did not incur any capitalized interest related to major capital projects in the periods presented. The cost, accumulated depreciation and amortization and estimated useful lives are summarized as follows (in thousands):</w:t>
      </w:r>
    </w:p>
    <w:p>
      <w:pPr>
        <w:spacing w:after="0" w:line="17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6"/>
              </w:rPr>
              <w:t>Estimated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23,744</w:t>
            </w:r>
          </w:p>
        </w:tc>
        <w:tc>
          <w:tcPr>
            <w:tcW w:w="5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47,679</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62,362</w:t>
            </w: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9,375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Machinery and shop equipment</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17,059</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22,765</w:t>
            </w: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17,393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23,459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21,501</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24,159</w:t>
            </w:r>
          </w:p>
        </w:tc>
        <w:tc>
          <w:tcPr>
            <w:tcW w:w="5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ind w:left="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Leasing vehicles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59,810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98,962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5,792</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895</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(59,352)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(70,697)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196,161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2005, the Company had $16.7 million (net of accumulated depreciation of $1.4 million) in leasing vehicles under various capital leases included in property and equipment. The charge to income resulting from amortization of these assets recorded under capital leases is included with depreciation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Doubtful Receivables and Repossession Losses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provides an allowance for doubtful receivables and repossession losses after considering historical loss experience and other factors that might affect the collection of accounts receivable and the ability of customers to meet their obligations on finance contracts sold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Assets</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Other assets consist primarily of goodwill related to acquisitions of approximately $43.6 million as of December 31, 2004 and $100.7 million as of December 31, 2005. During 2004 and 2005, the Company acquired goodwill related to acquisitions of $1.1 million and $57.1 million, respectively. Other</w:t>
      </w:r>
    </w:p>
    <w:p>
      <w:pPr>
        <w:sectPr>
          <w:pgSz w:w="11900" w:h="16894" w:orient="portrait"/>
          <w:cols w:equalWidth="0" w:num="1">
            <w:col w:w="11340"/>
          </w:cols>
          <w:pgMar w:left="240" w:top="341" w:right="319" w:bottom="0" w:gutter="0" w:footer="0" w:header="0"/>
        </w:sectPr>
      </w:pPr>
    </w:p>
    <w:bookmarkStart w:id="31" w:name="page32"/>
    <w:bookmarkEnd w:id="31"/>
    <w:p>
      <w:pPr>
        <w:ind w:right="20"/>
        <w:spacing w:after="0" w:line="259" w:lineRule="auto"/>
        <w:rPr>
          <w:sz w:val="20"/>
          <w:szCs w:val="20"/>
          <w:color w:val="auto"/>
        </w:rPr>
      </w:pPr>
      <w:r>
        <w:rPr>
          <w:rFonts w:ascii="Arial" w:cs="Arial" w:eastAsia="Arial" w:hAnsi="Arial"/>
          <w:sz w:val="18"/>
          <w:szCs w:val="18"/>
          <w:color w:val="auto"/>
        </w:rPr>
        <w:t>assets also include notes receivable of $1.8 million at December 31, 2005. The Company recognizes interest income on notes receivable monthly as earned. Accumulated amortization of other assets at December 31, 2004 was approximately $4.7 million. At December 31, 2005, accumulated amortization of other assets was approximately $4.5 million. The Company annually assesses the appropriateness of the asset valuations of other assets and the related amortization period as applicable.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Goodwill represents the excess purchase price over the fair value of net assets acquired. The Company applies the provisions of Financial Accounting Standards Board (“FASB”) Statement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(“SFAS 142”), in our accounting for goodwill. SFAS 142 requires that goodwill and other intangible assets that have indefinite lives not be amortized but instead be tested at least annually by reporting unit for impairment, or more frequently when events or changes in circumstances indicate that the asset might be impaired. For indefinite lived intangible assets, impairment is tested by comparing the carrying value of the asset to the fair value of the reporting unit to which they are assigned. Goodwill was tested for impairment at December 31, 2005 and no impairment write down was required. However, the Company is exposed to the possibility that changes in market conditions could result in significant impairment charges in the future, thus resulting in a potential increase in earnings volatility.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Income taxes are accounted for under the provisions of Statement of Financial Accounting Standards No. 109, “Accounting for Income Taxes” (“SFAS 109”). SFAS 109 requires recognition of deferred tax liabilities and assets for the expected future tax consequences of events that have been included in a company’s financial statements or tax returns. Under this method, deferred tax liabilities and assets are determined based on the differences between the financial statement and tax bases of assets and liabilities using currently enacted tax rates in effect for the years in which the differences are expected to reverse.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Policies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Income on the sale of a vehicle or a piece of construction equipment (each a “unit”) is recognized when the seller and customer execute a purchase contract, delivery has occurred and there are no significant uncertainties related to financing or collectibility. Finance income related to the sale of a unit is recognized over the period of the respective finance contract, based on the effective interest rate method, if the finance contract is retained by the Company. During 2003, 2004 and 2005, no finance contracts were retained for any significant length of time by the Company but were generally sold, with limited recourse, to certain finance companies concurrent with the sale of the related unit. Gain or loss is recognized by the Company upon the sale of such finance contracts to the finance companies, net of a provision for estimated repossession losses and early repayment penalties. Lease and rental income is recognized over the period of the related lease or rental agreement. Parts and services revenue is earned at the time the Company sells the parts to its customers or at the time the Company completes the service work order related to service provided to the customer’s unit. Payments received on prepaid maintenance plans are deferred as a component of accrued expenses and recognized as income when the maintenance is performed.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For the Company’s new and used truck and construction equipment operations and its parts operations, cost of sales consists primarily of the Company’s actual purchase price, less manufacturer’s incentives, for new and used trucks and construction equipment and parts. For the Company’s service and body shop operations, technician labor cost is the primary component of cost of sales. For the Company’s rental and leasing operations, cost of sales consists primarily of depreciation, rent and interest expense on the lease and rental fleet owned and leased by the Company, and the maintenance cost of the lease and rental fleet. There are no costs of sales associated with the Company’s finance and insurance revenue or other revenue.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Selling, general and administrative expenses consist primarily of incentive-based compensation for sales, finance and general management personnel, salaries for administrative personnel and expenses for rent, marketing, insurance, utilities, shipping and handling costs and other general operating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October 1995, Statement of Financial Accounting Standards No. 123, “Accounting for Stock-Based Compensation” (“SFAS 123”), was issued. SFAS 123 defines a fair value based method of accounting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employee stock options or similar equity instruments and encourages all entities to adopt that method of accounting for all of their employee stock compensation plans. Under the fair value based method, compensation cost is measured at the grant date based on the value of the award and is recognized over the service period of the award, which is usually the vesting period. However, SFAS 123 also allows entities to continue to measure compensation costs for employee stock compensation plans using the intrinsic value method of accounting prescribed by APB Opinion No. 25, “Accounting for Stock Issued to Employees” (“APB 25”). Because the Company elected to continue to follow APB 25, SFAS 123 requires disclosure of pro forma net income and earnings per share as if the new fair value accounting method were adopted.</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the Company had adopted the fair value accounting method under SFAS 123, the Company’s net income and earnings per share would have been reduced to the pro forma amounts indicated below (in thousands, except per share amounts):</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Income from continuing operations</w:t>
            </w:r>
          </w:p>
        </w:tc>
        <w:tc>
          <w:tcPr>
            <w:tcW w:w="7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9,450</w:t>
            </w: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17,176</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employee costs, net of tax effects</w:t>
            </w:r>
          </w:p>
        </w:tc>
        <w:tc>
          <w:tcPr>
            <w:tcW w:w="7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8,605</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16,197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162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0.67</w:t>
            </w:r>
          </w:p>
        </w:tc>
        <w:tc>
          <w:tcPr>
            <w:tcW w:w="11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00"/>
          </w:cols>
          <w:pgMar w:left="240" w:top="125" w:right="259" w:bottom="0" w:gutter="0" w:footer="0" w:header="0"/>
        </w:sectPr>
      </w:pPr>
    </w:p>
    <w:bookmarkStart w:id="32" w:name="page33"/>
    <w:bookmarkEnd w:id="32"/>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0.57</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0.98</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8,829</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16,916</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employee costs, net of tax effects</w:t>
            </w:r>
          </w:p>
        </w:tc>
        <w:tc>
          <w:tcPr>
            <w:tcW w:w="7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7,984</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15,937</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0.63</w:t>
            </w: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0.96</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fair value for options granted during the three fiscal years ended December 31, 2003, 2004 and 2005, respectively, was estimated using a Black-Scholes option pricing model with the following valuation assumptions: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508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2003</w:t>
            </w:r>
          </w:p>
        </w:tc>
        <w:tc>
          <w:tcPr>
            <w:tcW w:w="3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2004</w:t>
            </w:r>
          </w:p>
        </w:tc>
        <w:tc>
          <w:tcPr>
            <w:tcW w:w="30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2005</w:t>
            </w:r>
          </w:p>
        </w:tc>
        <w:tc>
          <w:tcPr>
            <w:tcW w:w="10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volatility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.433 - .471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.499</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.225 - .345</w:t>
            </w: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1780" w:type="dxa"/>
            <w:vAlign w:val="bottom"/>
            <w:gridSpan w:val="3"/>
          </w:tcPr>
          <w:p>
            <w:pPr>
              <w:jc w:val="center"/>
              <w:ind w:right="32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3.65% - 4.2%</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- 3.84%</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 - 4.13%</w:t>
            </w:r>
          </w:p>
        </w:tc>
        <w:tc>
          <w:tcPr>
            <w:tcW w:w="100" w:type="dxa"/>
            <w:vAlign w:val="bottom"/>
            <w:shd w:val="clear" w:color="auto" w:fill="CCEEFF"/>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Expected life (years)</w:t>
            </w:r>
          </w:p>
        </w:tc>
        <w:tc>
          <w:tcPr>
            <w:tcW w:w="148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jc w:val="center"/>
              <w:ind w:right="610"/>
              <w:spacing w:after="0"/>
              <w:rPr>
                <w:sz w:val="20"/>
                <w:szCs w:val="20"/>
                <w:color w:val="auto"/>
              </w:rPr>
            </w:pPr>
            <w:r>
              <w:rPr>
                <w:rFonts w:ascii="Arial" w:cs="Arial" w:eastAsia="Arial" w:hAnsi="Arial"/>
                <w:sz w:val="18"/>
                <w:szCs w:val="18"/>
                <w:color w:val="auto"/>
                <w:w w:val="99"/>
              </w:rPr>
              <w:t>7</w:t>
            </w:r>
          </w:p>
        </w:tc>
        <w:tc>
          <w:tcPr>
            <w:tcW w:w="3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is required to adopt the provisions of Statement of Accounting Standards No. 123, “Share-Based Payment (Revised 2004)” (“SFAS 123R”) on January 1, 2006. Among other things, SFAS 123R eliminates the ability to account for stock-based compensation using APB 25 and requires that such transactions be recognized as compensation cost in the income statement based on their fair values on the date of the grant.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Advertising costs are expensed as incurred. Advertising and marketing expense related to operations was $1.4 million for fiscal year 2003, $1.5 million for fiscal year 2004, and $2.5 million for fiscal year 2005. Advertising and marketing expense is included in selling, general and administrative expense.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Cash and cash equivalents generally consist of cash and other money market instruments. The Company considers all highly liquid investments with an original maturity of ninety days or less to be cash equivalents.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SFAS 123R establishes standards for the accounting for transactions in which an entity (i) exchanges its equity instruments for goods or services, or (ii) incurs liabilities in exchange for goods or services that are based on the fair value of the entity’s equity instruments or that may be settled by the issuance of the equity instruments. SFAS 123R eliminates the ability to account for stock-based compensation using APB 25 and requires that such transactions be recognized as compensation cost in the income statement based on their fair values on the measurement date, which is generally the date of the grant.</w:t>
      </w:r>
    </w:p>
    <w:p>
      <w:pPr>
        <w:spacing w:after="0" w:line="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SFAS 123R was to be effective for the Company on July 1, 2005; however, the required implementation date was delayed until January 1, 2006. The Company will transition to fair-value based accounting for stock-based compensation using a modified version of prospective application (“modified prospective application”). Under modified prospective application, as it is applicable to the Company, SFAS 123R applies to new awards and to awards modified, repurchased, or cancelled after January 1, 2006. Additionally, compensation cost for the portion of awards for which the requisite service has not been rendered (generally referring to non-vested awards) that are outstanding as of January 1, 2006 must be recognized as the remaining requisite service is rendered during the period of and/or the periods after the adoption of SFAS 123R. The attribution of compensation cost for those earlier awards will be based on the same method and on the same grant-date fair values previously determined for the pro forma disclosures required for companies that did not adopt the fair value accounting method for stock-based employee compensation.</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stock-based compensation awards outstanding as of December 31, 2005 for which the requisite service is not expected to be fully rendered prior to January 1, 2006, the Company expects to recognize total pre-tax compensation cost of approximately $1.2 million beginning in 2006, in accordance with the accounting requirements of SFAS 123R. Future levels of compensation cost recognized related to stock-based compensation awards (including the aforementioned expected costs during the period of adoption) may be impacted by new awards and/or modifications, repurchases and cancellations of existing awards before and after the adoption SFAS 123R.</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SFAS 123(R) also requires the benefits of tax deductions in excess of recognized compensation costs to be reported as a financing cash flow rather than as an operating cash flow as required under current literature. This requirement will reduce net operating cash flows and increase net financing cash flows in periods after adoption of SFAS 123(R). While the Company cannot accurately estimate what those amounts will be in the future (because they depend on, among other things, when employees exercise stock options), the amount of operating cash flows recognized in prior periods for such excess tax deductions were $0 in 2003, $3.4 million in 2004 and $3.1 million in 2005.</w:t>
      </w:r>
    </w:p>
    <w:p>
      <w:pPr>
        <w:spacing w:after="0" w:line="188"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DISCONTINUED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12, 2002, the Company announced that it would sell its Michigan John Deere construction equipment stores as a result of continuing deterioration in the Michigan construction equipment market and its location in regards to the Company’s other operations and its plans for future expansion. The sale of the Michigan construction equipment stores was substantially complete at December 31, 2002. Prior to the sale, the Michigan construction equipment stores were part of the Company’s Construction Equipment</w:t>
      </w:r>
    </w:p>
    <w:p>
      <w:pPr>
        <w:sectPr>
          <w:pgSz w:w="11900" w:h="16838" w:orient="portrait"/>
          <w:cols w:equalWidth="0" w:num="1">
            <w:col w:w="11420"/>
          </w:cols>
          <w:pgMar w:left="240" w:top="125" w:right="239" w:bottom="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120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6">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segment. The Construction Equipment segment has been restated for all periods presented to exclude the Michigan stores.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November 12, 2002 the Company decided to discontinue its Retail segment, which operated three farm and ranch retail stores in Seguin, Hockley and Denton, Texas. The Company decided that the Retail segment did not fit into its long-term plans of growing its core heavy-duty truck and construction equipment businesses. The Denton store was closed in December 2002; the Hockley store began liquidating inventory during November 2002 and completed the liquidation on March 9, 2003. The Company sold the Seguin store and the Hockley real estate in the fourth quarter of 2004. As a result of these actions, the Retail segment will no longer be reported as a separate business segment.</w:t>
      </w:r>
    </w:p>
    <w:p>
      <w:pPr>
        <w:spacing w:after="0" w:line="18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results of operations of these businesses have been classified as discontinued operations in the Company’s consolidated statements of income for all periods presented. Net sales and income (loss) before income taxes related to the discontinued businesses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Michigan Construction Equipment Stores</w:t>
            </w:r>
          </w:p>
        </w:tc>
        <w:tc>
          <w:tcPr>
            <w:tcW w:w="8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Earnings (loss) before income taxes:</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Results of operations from discontinued operations</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Charges related to discontinued operations</w:t>
            </w:r>
          </w:p>
        </w:tc>
        <w:tc>
          <w:tcPr>
            <w:tcW w:w="8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before income taxes</w:t>
            </w: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8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from discontinued operations</w:t>
            </w: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Retail Segment Stores (D&amp;D)</w:t>
            </w: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Net Sales</w:t>
            </w: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17,298</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11,746</w:t>
            </w:r>
          </w:p>
        </w:tc>
        <w:tc>
          <w:tcPr>
            <w:tcW w:w="4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Earnings (loss) before income taxes:</w:t>
            </w: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Results of operations from discontinued operations</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(1,035)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Charges related to discontinued operations</w:t>
            </w:r>
          </w:p>
        </w:tc>
        <w:tc>
          <w:tcPr>
            <w:tcW w:w="8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8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(1,035)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8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(loss) from discontinued operations</w:t>
            </w: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2004 D&amp;D charges related to discontinued operations include a $0.4 million charge for the disposal of the real estate in Hockley, Texas and a $0.3 million gain on the sale of the Seguin real estate, inventory and other assets. The $0.4 million income tax expense is primarily related to tax expense recorded to establish a reserve for the estimated unusable portion of D&amp;D’s stated net operating loss carry forward. There was no activity related to these discontinued operations in 2005.</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840" w:firstLine="8"/>
        <w:spacing w:after="0" w:line="530" w:lineRule="auto"/>
        <w:tabs>
          <w:tab w:leader="none" w:pos="662"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SUPPLIER AND CUSTOMER CONCENTRATION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Major Suppliers and Dealership Agreements</w:t>
      </w:r>
    </w:p>
    <w:p>
      <w:pPr>
        <w:spacing w:after="0" w:line="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has entered into dealership agreements with various companies (“Manufacturers”). These agreements are nonexclusive agreements that allow the Company to stock, sell at retail and service trucks, equipment and products of the Manufacturers in the Company’s defined market. The agreements allow the Company to use the Manufacturers’ names, trade symbols and intellectual property and expire as follows:</w:t>
      </w:r>
    </w:p>
    <w:p>
      <w:pPr>
        <w:spacing w:after="0" w:line="157" w:lineRule="exact"/>
        <w:rPr>
          <w:sz w:val="20"/>
          <w:szCs w:val="20"/>
          <w:color w:val="auto"/>
        </w:rPr>
      </w:pPr>
    </w:p>
    <w:tbl>
      <w:tblPr>
        <w:tblLayout w:type="fixed"/>
        <w:tblInd w:w="2300" w:type="dxa"/>
        <w:tblCellMar>
          <w:top w:w="0" w:type="dxa"/>
          <w:left w:w="0" w:type="dxa"/>
          <w:bottom w:w="0" w:type="dxa"/>
          <w:right w:w="0" w:type="dxa"/>
        </w:tblCellMar>
      </w:tblPr>
      <w:tr>
        <w:trPr>
          <w:trHeight w:val="17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Distributor</w:t>
            </w: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4"/>
              </w:rPr>
              <w:t>Expiration Dates</w:t>
            </w:r>
          </w:p>
        </w:tc>
      </w:tr>
      <w:tr>
        <w:trPr>
          <w:trHeight w:val="210"/>
        </w:trPr>
        <w:tc>
          <w:tcPr>
            <w:tcW w:w="2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Peterbilt</w:t>
            </w:r>
          </w:p>
        </w:tc>
        <w:tc>
          <w:tcPr>
            <w:tcW w:w="42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2006 through January 2008</w:t>
            </w:r>
          </w:p>
        </w:tc>
      </w:tr>
      <w:tr>
        <w:trPr>
          <w:trHeight w:val="216"/>
        </w:trPr>
        <w:tc>
          <w:tcPr>
            <w:tcW w:w="32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General Motors Corporation</w:t>
            </w:r>
          </w:p>
        </w:tc>
        <w:tc>
          <w:tcPr>
            <w:tcW w:w="3620" w:type="dxa"/>
            <w:vAlign w:val="bottom"/>
          </w:tcPr>
          <w:p>
            <w:pPr>
              <w:jc w:val="center"/>
              <w:spacing w:after="0"/>
              <w:rPr>
                <w:sz w:val="20"/>
                <w:szCs w:val="20"/>
                <w:color w:val="auto"/>
              </w:rPr>
            </w:pPr>
            <w:r>
              <w:rPr>
                <w:rFonts w:ascii="Arial" w:cs="Arial" w:eastAsia="Arial" w:hAnsi="Arial"/>
                <w:sz w:val="18"/>
                <w:szCs w:val="18"/>
                <w:color w:val="auto"/>
                <w:w w:val="89"/>
              </w:rPr>
              <w:t>October 2010</w:t>
            </w:r>
          </w:p>
        </w:tc>
      </w:tr>
      <w:tr>
        <w:trPr>
          <w:trHeight w:val="216"/>
        </w:trPr>
        <w:tc>
          <w:tcPr>
            <w:tcW w:w="32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Isuzu</w:t>
            </w: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16"/>
        </w:trPr>
        <w:tc>
          <w:tcPr>
            <w:tcW w:w="3220" w:type="dxa"/>
            <w:vAlign w:val="bottom"/>
            <w:gridSpan w:val="2"/>
          </w:tcPr>
          <w:p>
            <w:pPr>
              <w:jc w:val="center"/>
              <w:ind w:right="420"/>
              <w:spacing w:after="0"/>
              <w:rPr>
                <w:sz w:val="20"/>
                <w:szCs w:val="20"/>
                <w:color w:val="auto"/>
              </w:rPr>
            </w:pPr>
            <w:r>
              <w:rPr>
                <w:rFonts w:ascii="Arial" w:cs="Arial" w:eastAsia="Arial" w:hAnsi="Arial"/>
                <w:sz w:val="18"/>
                <w:szCs w:val="18"/>
                <w:color w:val="auto"/>
                <w:w w:val="97"/>
              </w:rPr>
              <w:t>Hino</w:t>
            </w:r>
          </w:p>
        </w:tc>
        <w:tc>
          <w:tcPr>
            <w:tcW w:w="3620" w:type="dxa"/>
            <w:vAlign w:val="bottom"/>
          </w:tcPr>
          <w:p>
            <w:pPr>
              <w:jc w:val="center"/>
              <w:spacing w:after="0"/>
              <w:rPr>
                <w:sz w:val="20"/>
                <w:szCs w:val="20"/>
                <w:color w:val="auto"/>
              </w:rPr>
            </w:pPr>
            <w:r>
              <w:rPr>
                <w:rFonts w:ascii="Arial" w:cs="Arial" w:eastAsia="Arial" w:hAnsi="Arial"/>
                <w:sz w:val="18"/>
                <w:szCs w:val="18"/>
                <w:color w:val="auto"/>
                <w:w w:val="90"/>
              </w:rPr>
              <w:t>December 2006 through March 2007</w:t>
            </w:r>
          </w:p>
        </w:tc>
      </w:tr>
      <w:tr>
        <w:trPr>
          <w:trHeight w:val="216"/>
        </w:trPr>
        <w:tc>
          <w:tcPr>
            <w:tcW w:w="322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9"/>
              </w:rPr>
              <w:t>UD</w:t>
            </w: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June 2006 through September 2008</w:t>
            </w:r>
          </w:p>
        </w:tc>
      </w:tr>
      <w:tr>
        <w:trPr>
          <w:trHeight w:val="230"/>
        </w:trPr>
        <w:tc>
          <w:tcPr>
            <w:tcW w:w="322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John Deere</w:t>
            </w:r>
          </w:p>
        </w:tc>
        <w:tc>
          <w:tcPr>
            <w:tcW w:w="362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bl>
    <w:p>
      <w:pPr>
        <w:spacing w:after="0" w:line="18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These agreements, as well as agreements with various other Manufacturers, impose a number of restrictions and obligations on the Company, including restrictions on a change in control of the Company and the maintenance of certain required levels of working capital. Violation of these restrictions could result in the loss of the Company’s right to purchase the Manufacturers’ products and use the Manufacturers’ trademarks. As of December 31, 2005, the Company’s management believed it was in compliance with all the restrictions and obligations of its dealership agreements.</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purchases its new Peterbilt vehicles and most of its parts from PACCAR, the maker of Peterbilt trucks and parts, at prevailing prices charged to all franchised dealers. Sales of new Peterbilt trucks accounted for 95% of the Company’s new vehicle sales for the year ended December 31, 2003. Sales of new Peterbilt trucks accounted for 93% of the Company’s new vehicle sales for the years ended December 31, 2004 and 2005.</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purchases most of its new construction equipment and parts from John Deere at prevailing prices charged to all franchised dealers. Sales of new John Deere equipment accounted for 93% of the Company’s new equipment sales for the year ended December 31, 2003. Sales of new John Deere equipment accounted for 94% of the Company’s new equipment sales for the year ended December 31, 2004. Sales of new John Deere equipment accounted for 92% of the Company’s new equipment sales for the year ended December 31,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Primary Lenders</w:t>
      </w:r>
    </w:p>
    <w:p>
      <w:pPr>
        <w:sectPr>
          <w:pgSz w:w="11900" w:h="16838" w:orient="portrait"/>
          <w:cols w:equalWidth="0" w:num="1">
            <w:col w:w="11400"/>
          </w:cols>
          <w:pgMar w:left="240" w:top="584" w:right="259" w:bottom="100" w:gutter="0" w:footer="0" w:header="0"/>
        </w:sectPr>
      </w:pPr>
    </w:p>
    <w:bookmarkStart w:id="34" w:name="page35"/>
    <w:bookmarkEnd w:id="34"/>
    <w:p>
      <w:pPr>
        <w:ind w:right="100"/>
        <w:spacing w:after="0" w:line="302" w:lineRule="auto"/>
        <w:rPr>
          <w:sz w:val="20"/>
          <w:szCs w:val="20"/>
          <w:color w:val="auto"/>
        </w:rPr>
      </w:pPr>
      <w:r>
        <w:rPr>
          <w:rFonts w:ascii="Arial" w:cs="Arial" w:eastAsia="Arial" w:hAnsi="Arial"/>
          <w:sz w:val="16"/>
          <w:szCs w:val="16"/>
          <w:color w:val="auto"/>
        </w:rPr>
        <w:t>The Company purchases its new and used truck and construction equipment inventories with the assistance of floor plan financing programs offered by various financial institutions and John Deere. The financial institution the Company uses for truck inventory purchases allows for requests of working capital advances in the minimum amount of $100,000. However, such working capital advances may not cause the total indebtedness owed to the financial institution to exceed an amount equal to the wholesale advances made against the then current inventory less any payment reductions then due.</w:t>
      </w:r>
    </w:p>
    <w:p>
      <w:pPr>
        <w:spacing w:after="0" w:line="15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floor plan agreement with one of the financial institutions used for construction equipment purchases expires in February 2007. Additional floor plan financing is provided by John Deere pursuant to the Company’s equipment dealership agreement. These agreements provide that the occurrence of certain events will be considered events of default. There were no known events of default as of December 31, 2005. In the event that the Company’s financing becomes insufficient, or its relationship with the current primary lenders terminates, the Company would need to obtain similar financing from other sources. Management believes it can obtain additional floor plan financing or alternative financing if necessary.</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Company’s debt agreements include certain restrictive covenants. The Company was in compliance with these and all debt covenants as of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 of Credit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principally of cash and cash equivalents and accounts receivable. The Company places its cash and cash equivalents with what it considers to be quality financial institutions. As of December 31, 2005, the Company had deposits in excess of federal insurance protection totaling approximately $140.7 million.</w:t>
      </w:r>
    </w:p>
    <w:p>
      <w:pPr>
        <w:spacing w:after="0" w:line="16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Company controls credit risk through credit approvals and by selling a majority of its trade receivables without recourse. Concentrations of credit risk with respect to trade receivables are reduced because a large number of geographically diverse customers make up the Company’s customer base, thus spreading the trade credit risk. A majority of the Company’s business, however, is concentrated in the United States heavy-duty trucking and construction equipment markets and related aftermarkets. The Company controls credit risk through credit approvals and by selling certain trade receivables without recourse. After the Company enters into a finance contract, the Company generally sells the contracts to a third party. These finance contracts are sold both with and without recourse. A majority of the Company’s finance contracts are sold without recourse. The Company provides an allowance for doubtful receivables and a reserve for repossession losses related to finance contracts sold. Historically, the Company’s allowance and reserve have covered future losses.</w:t>
      </w:r>
    </w:p>
    <w:p>
      <w:pPr>
        <w:spacing w:after="0" w:line="19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accounts receivable, net,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Trade accounts receivable from sale of vehicles and construction equipment</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16,002</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Other trade receivables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6,161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tcPr>
          <w:p>
            <w:pPr>
              <w:spacing w:after="0"/>
              <w:rPr>
                <w:sz w:val="20"/>
                <w:szCs w:val="20"/>
                <w:color w:val="auto"/>
              </w:rPr>
            </w:pPr>
            <w:r>
              <w:rPr>
                <w:rFonts w:ascii="Arial" w:cs="Arial" w:eastAsia="Arial" w:hAnsi="Arial"/>
                <w:sz w:val="18"/>
                <w:szCs w:val="18"/>
                <w:color w:val="auto"/>
              </w:rPr>
              <w:t>Other accounts receivable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5,466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Less allowance for doubtful receivables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6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30,296</w:t>
            </w:r>
          </w:p>
        </w:tc>
        <w:tc>
          <w:tcPr>
            <w:tcW w:w="2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63,473</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8280" w:type="dxa"/>
            <w:vAlign w:val="bottom"/>
            <w:gridSpan w:val="9"/>
          </w:tcPr>
          <w:p>
            <w:pPr>
              <w:spacing w:after="0"/>
              <w:rPr>
                <w:sz w:val="20"/>
                <w:szCs w:val="20"/>
                <w:color w:val="auto"/>
              </w:rPr>
            </w:pPr>
            <w:r>
              <w:rPr>
                <w:rFonts w:ascii="Arial" w:cs="Arial" w:eastAsia="Arial" w:hAnsi="Arial"/>
                <w:sz w:val="18"/>
                <w:szCs w:val="18"/>
                <w:color w:val="auto"/>
                <w:w w:val="94"/>
              </w:rPr>
              <w:t>For the years ended December 31, 2003, 2004 and 2005, the Company had no significant related-party sales.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tcPr>
          <w:p>
            <w:pPr>
              <w:jc w:val="right"/>
              <w:ind w:right="119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8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40"/>
        </w:trPr>
        <w:tc>
          <w:tcPr>
            <w:tcW w:w="660" w:type="dxa"/>
            <w:vAlign w:val="bottom"/>
            <w:gridSpan w:val="2"/>
          </w:tcPr>
          <w:p>
            <w:pPr>
              <w:spacing w:after="0"/>
              <w:rPr>
                <w:sz w:val="20"/>
                <w:szCs w:val="20"/>
                <w:color w:val="auto"/>
              </w:rPr>
            </w:pPr>
            <w:r>
              <w:rPr>
                <w:rFonts w:ascii="Arial" w:cs="Arial" w:eastAsia="Arial" w:hAnsi="Arial"/>
                <w:sz w:val="18"/>
                <w:szCs w:val="18"/>
                <w:color w:val="auto"/>
              </w:rPr>
              <w:t>6.</w:t>
            </w:r>
          </w:p>
        </w:tc>
        <w:tc>
          <w:tcPr>
            <w:tcW w:w="488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540" w:type="dxa"/>
            <w:vAlign w:val="bottom"/>
            <w:gridSpan w:val="5"/>
          </w:tcPr>
          <w:p>
            <w:pPr>
              <w:spacing w:after="0"/>
              <w:rPr>
                <w:sz w:val="20"/>
                <w:szCs w:val="20"/>
                <w:color w:val="auto"/>
              </w:rPr>
            </w:pPr>
            <w:r>
              <w:rPr>
                <w:rFonts w:ascii="Arial" w:cs="Arial" w:eastAsia="Arial" w:hAnsi="Arial"/>
                <w:sz w:val="18"/>
                <w:szCs w:val="18"/>
                <w:color w:val="auto"/>
              </w:rPr>
              <w:t>The Company’s inventories consisted of the following (in thousands):</w:t>
            </w:r>
          </w:p>
        </w:tc>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left="47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vehicles</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120,733</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242,469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Used vehicles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17,995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21,010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equipment - new</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Construction equipment - used</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Parts and accessories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59,339</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allowance</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189,792</w:t>
            </w: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338,212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-2524760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-2524760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recognized $350,000 of pretax used vehicle inventory valuation loss during 2004 and a $150,000 used vehicle inventory valuation loss during 2005.</w:t>
      </w:r>
    </w:p>
    <w:p>
      <w:pPr>
        <w:spacing w:after="0" w:line="170" w:lineRule="exact"/>
        <w:rPr>
          <w:sz w:val="20"/>
          <w:szCs w:val="20"/>
          <w:color w:val="auto"/>
        </w:rPr>
      </w:pPr>
    </w:p>
    <w:p>
      <w:pPr>
        <w:ind w:left="720" w:hanging="71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VALUATION ACCOUNTS:</w:t>
      </w:r>
    </w:p>
    <w:p>
      <w:pPr>
        <w:sectPr>
          <w:pgSz w:w="11900" w:h="16838" w:orient="portrait"/>
          <w:cols w:equalWidth="0" w:num="1">
            <w:col w:w="11440"/>
          </w:cols>
          <w:pgMar w:left="240" w:top="125" w:right="219" w:bottom="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Valuation and allowance accounts include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Balance</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Charged to</w:t>
            </w: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Net Write-</w:t>
            </w: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Beginning</w:t>
            </w: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Costs and</w:t>
            </w:r>
          </w:p>
        </w:tc>
        <w:tc>
          <w:tcPr>
            <w:tcW w:w="1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Acquisitions</w:t>
            </w: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of Year</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Expenses</w:t>
            </w:r>
          </w:p>
        </w:tc>
        <w:tc>
          <w:tcPr>
            <w:tcW w:w="1640" w:type="dxa"/>
            <w:vAlign w:val="bottom"/>
            <w:gridSpan w:val="2"/>
            <w:vMerge w:val="continue"/>
          </w:tcPr>
          <w:p>
            <w:pPr>
              <w:spacing w:after="0"/>
              <w:rPr>
                <w:sz w:val="14"/>
                <w:szCs w:val="14"/>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Offs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of 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Reserve for warranty receivable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147</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3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Reserve for truck inventory</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350</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150</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2004</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Reserve for warranty receivable</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Reserve for parts inventory</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415</w:t>
            </w:r>
          </w:p>
        </w:tc>
        <w:tc>
          <w:tcPr>
            <w:tcW w:w="1360" w:type="dxa"/>
            <w:vAlign w:val="bottom"/>
          </w:tcPr>
          <w:p>
            <w:pPr>
              <w:jc w:val="right"/>
              <w:spacing w:after="0"/>
              <w:rPr>
                <w:sz w:val="20"/>
                <w:szCs w:val="20"/>
                <w:color w:val="auto"/>
              </w:rPr>
            </w:pPr>
            <w:r>
              <w:rPr>
                <w:rFonts w:ascii="Arial" w:cs="Arial" w:eastAsia="Arial" w:hAnsi="Arial"/>
                <w:sz w:val="18"/>
                <w:szCs w:val="18"/>
                <w:color w:val="auto"/>
              </w:rPr>
              <w:t>1,029</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(318)</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Reserve for truck inventory</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608</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Reserve for warranty receivable</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450</w:t>
            </w:r>
          </w:p>
        </w:tc>
        <w:tc>
          <w:tcPr>
            <w:tcW w:w="136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Reserve for parts inventory</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Reserve for truck inventory</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500</w:t>
            </w:r>
          </w:p>
        </w:tc>
        <w:tc>
          <w:tcPr>
            <w:tcW w:w="1360" w:type="dxa"/>
            <w:vAlign w:val="bottom"/>
          </w:tcPr>
          <w:p>
            <w:pPr>
              <w:jc w:val="right"/>
              <w:spacing w:after="0"/>
              <w:rPr>
                <w:sz w:val="20"/>
                <w:szCs w:val="20"/>
                <w:color w:val="auto"/>
              </w:rPr>
            </w:pPr>
            <w:r>
              <w:rPr>
                <w:rFonts w:ascii="Arial" w:cs="Arial" w:eastAsia="Arial" w:hAnsi="Arial"/>
                <w:sz w:val="18"/>
                <w:szCs w:val="18"/>
                <w:color w:val="auto"/>
              </w:rPr>
              <w:t>1,252</w:t>
            </w: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(1,144)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Receivables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provides an allowance for uncollectible warranty receivables. The Company evaluates the collectibility of its warranty claims receivable based on a combination of factors, including aging and correspondence with the applicable manufacturer. Management reviews the warranty claims receivable aging and adjusts the allowance based on historical experience. The Company records charge-offs related to warranty receivables on an as-needed basis. The Company sells a majority of its customer accounts receivable to a third party that is responsible for qualifying the customer for credit at the point of sale. All credit risk is assumed by the third party; therefore, the Company provides no allowance for customer accounts receivable.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provides a reserve for obsolete and slow moving parts. The reserve is reviewed and, if necessary, adjustments are made on a quarterly basis. The Company relies on historical information to support its reserve. Once the inventory is written down, the Company does not adjust the reserve balance until the inventory is sold.</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valuation for new and used truck inventory is based on specific identification. A detail of new and used truck inventory is reviewed and, if necessary, adjustments to the value of specific units are made on a quarterly basis.</w:t>
      </w:r>
    </w:p>
    <w:p>
      <w:pPr>
        <w:spacing w:after="0" w:line="170" w:lineRule="exact"/>
        <w:rPr>
          <w:sz w:val="20"/>
          <w:szCs w:val="20"/>
          <w:color w:val="auto"/>
        </w:rPr>
      </w:pPr>
    </w:p>
    <w:p>
      <w:pPr>
        <w:ind w:right="6180" w:firstLine="8"/>
        <w:spacing w:after="0" w:line="501" w:lineRule="auto"/>
        <w:tabs>
          <w:tab w:leader="none" w:pos="66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FLOOR PLAN NOTES PAYABLE AND LINES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Floor Plan Notes Payable</w:t>
      </w:r>
    </w:p>
    <w:p>
      <w:pPr>
        <w:ind w:right="40"/>
        <w:spacing w:after="0" w:line="273" w:lineRule="auto"/>
        <w:rPr>
          <w:sz w:val="20"/>
          <w:szCs w:val="20"/>
          <w:color w:val="auto"/>
        </w:rPr>
      </w:pPr>
      <w:r>
        <w:rPr>
          <w:rFonts w:ascii="Arial" w:cs="Arial" w:eastAsia="Arial" w:hAnsi="Arial"/>
          <w:sz w:val="17"/>
          <w:szCs w:val="17"/>
          <w:color w:val="auto"/>
        </w:rPr>
        <w:t>Floor plan notes are financing agreements to facilitate the Company’s purchase of new and used trucks and construction equipment. These notes are collateralized by the inventory purchased and accounts receivable arising from the sale thereof. The Company’s floor plan notes have interest rates based on the prime rate or LIBOR, as defined in the agreements. The interest rates applicable to these agreements ranged from approximately 5.97% to 8.75% as of December 31, 2005. Amounts borrowed under these agreements are due when the related truck or construction equipment inventory (collateral) is sold and the sales proceeds are collected by the Company, or in the case of construction equipment rentals, when the carrying value of the equipment is reduced. These agreements may be modified, suspended or terminated by the lender as described in Note 4.</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finances substantially all of the purchase price of its new truck inventory, and the loan value of its used truck inventory under a floor plan financing agreement with GE Capital, under which GE Capital pays the manufacturer directly with respect to new trucks. The Company’s floor plan agreement with GE Capital expires in September 2008. On December 31, 2005, the Company had approximately $302.8 million outstanding under its floor plan financing agreement with GE Capital.</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floor plan agreement with CitiCapital is based on the book value of the Company’s construction equipment inventory. As of December 31, 2005, the aggregate amount of borrowing capacity with this lender was $10.5 million, with approximately $10.1 million outstanding. Additional amounts are available under the Company’s John Deere dealership agreement. At December 31, 2005, approximately $3.1 million was outstanding pursuant to the John Deere dealership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Amounts of collateral as of December 31, 2004 and 2005 were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w w:val="96"/>
              </w:rPr>
              <w:t>Inventories, new and used trucks and construction equipment at cost based on specific identification</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147,538</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Truck and construction equipment sale related accounts receivable</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16,002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 held for floor plan payment related to receipts from truck sales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10,262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173,802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Floor plan notes payable</w:t>
            </w:r>
          </w:p>
        </w:tc>
        <w:tc>
          <w:tcPr>
            <w:tcW w:w="5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168,002</w:t>
            </w:r>
          </w:p>
        </w:tc>
        <w:tc>
          <w:tcPr>
            <w:tcW w:w="2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315,985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Lines of Credit</w:t>
      </w:r>
    </w:p>
    <w:p>
      <w:pPr>
        <w:sectPr>
          <w:pgSz w:w="11900" w:h="16838" w:orient="portrait"/>
          <w:cols w:equalWidth="0" w:num="1">
            <w:col w:w="11420"/>
          </w:cols>
          <w:pgMar w:left="240" w:top="125" w:right="239" w:bottom="0" w:gutter="0" w:footer="0" w:header="0"/>
          <w:type w:val="continuous"/>
        </w:sectPr>
      </w:pPr>
    </w:p>
    <w:bookmarkStart w:id="36" w:name="page37"/>
    <w:bookmarkEnd w:id="36"/>
    <w:p>
      <w:pPr>
        <w:spacing w:after="0" w:line="264" w:lineRule="auto"/>
        <w:rPr>
          <w:sz w:val="20"/>
          <w:szCs w:val="20"/>
          <w:color w:val="auto"/>
        </w:rPr>
      </w:pPr>
      <w:r>
        <w:rPr>
          <w:rFonts w:ascii="Arial" w:cs="Arial" w:eastAsia="Arial" w:hAnsi="Arial"/>
          <w:sz w:val="18"/>
          <w:szCs w:val="18"/>
          <w:color w:val="auto"/>
        </w:rPr>
        <w:t>The Company may request working capital advances in the minimum amount of $100,000 from GE Capital, its primary truck lender. However, such working capital advances may not cause the total indebtedness owed GE Capital to exceed an amount equal to the wholesale advances made against the then current inventory less any payment reductions then due. There were no working capital advances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outstanding under this agreement at December 31, 2005. The Company has three separate secured lines of credit that provide for an aggregate maximum borrowing of $16.7 million. Advances outstanding under these secured lines of credit in aggregate were $2.8 million, with an additional $5.4 million pledged to secure various letters of credit related to self-insurance products, leaving $8.5 million available for future borrowings as of December 31,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9.</w:t>
            </w:r>
          </w:p>
        </w:tc>
        <w:tc>
          <w:tcPr>
            <w:tcW w:w="516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620" w:type="dxa"/>
            <w:vAlign w:val="bottom"/>
            <w:gridSpan w:val="2"/>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20" w:type="dxa"/>
            <w:vAlign w:val="bottom"/>
            <w:gridSpan w:val="4"/>
          </w:tcPr>
          <w:p>
            <w:pPr>
              <w:spacing w:after="0"/>
              <w:rPr>
                <w:sz w:val="20"/>
                <w:szCs w:val="20"/>
                <w:color w:val="auto"/>
              </w:rPr>
            </w:pPr>
            <w:r>
              <w:rPr>
                <w:rFonts w:ascii="Arial" w:cs="Arial" w:eastAsia="Arial" w:hAnsi="Arial"/>
                <w:sz w:val="18"/>
                <w:szCs w:val="18"/>
                <w:color w:val="auto"/>
              </w:rPr>
              <w:t>Long-term debt was comprised of the following (in thousands):</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06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interest rate term notes</w:t>
            </w: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15,859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Fixed interest rate term notes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80,197</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060" w:type="dxa"/>
            <w:vAlign w:val="bottom"/>
            <w:vMerge w:val="restart"/>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96,056</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0" w:type="dxa"/>
            <w:vAlign w:val="bottom"/>
            <w:vMerge w:val="restart"/>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Less- Current maturities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(16,083)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(18,807)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060" w:type="dxa"/>
            <w:vAlign w:val="bottom"/>
            <w:vMerge w:val="restart"/>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79,973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114,345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As of December 31, 2005, debt maturities were as follows (in thousands):</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vMerge w:val="continue"/>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interest rates on the Company’s variable interest rate notes are based on LIBOR and the prime rate on December 31, 2005. Interest rates on the notes ranged from approximately 6.17% to 7.25% on December 31, 2005. Payments on the notes range from $4,067 to $58,333 per month, plus interest. Maturities of these notes range from March 2006 to March 2014.</w:t>
      </w:r>
    </w:p>
    <w:p>
      <w:pPr>
        <w:spacing w:after="0" w:line="18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Company’s fixed interest rate notes are primarily with financial institutions and had interest rates that range from approximately 3.83% to 9.68% on December 31, 2005. Payments on the notes range from $219 to $59,027 per month, plus interest. Maturities of these notes range from January 2006 to January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proceeds from the issuance of the notes were used primarily to acquire land, buildings and improvements, transportation equipment and leasing vehicles.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notes are secured by the assets acquired with the proceeds of such notes.</w:t>
      </w:r>
    </w:p>
    <w:p>
      <w:pPr>
        <w:spacing w:after="0" w:line="211"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DISCLOSURES ABOUT FAIR VALUE OF FINANCIAL INSTRUMENTS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held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Current assets and current liabilities</w:t>
      </w:r>
      <w:r>
        <w:rPr>
          <w:rFonts w:ascii="Arial" w:cs="Arial" w:eastAsia="Arial" w:hAnsi="Arial"/>
          <w:sz w:val="18"/>
          <w:szCs w:val="18"/>
          <w:color w:val="auto"/>
        </w:rPr>
        <w:t xml:space="preserve"> - The carrying value approximates fair value due to the short maturity of these items.</w:t>
      </w:r>
    </w:p>
    <w:p>
      <w:pPr>
        <w:spacing w:after="0" w:line="225" w:lineRule="exact"/>
        <w:rPr>
          <w:sz w:val="20"/>
          <w:szCs w:val="20"/>
          <w:color w:val="auto"/>
        </w:rPr>
      </w:pPr>
    </w:p>
    <w:p>
      <w:pPr>
        <w:ind w:left="820" w:right="120" w:hanging="161"/>
        <w:spacing w:after="0" w:line="277" w:lineRule="auto"/>
        <w:rPr>
          <w:sz w:val="20"/>
          <w:szCs w:val="20"/>
          <w:color w:val="auto"/>
        </w:rPr>
      </w:pPr>
      <w:r>
        <w:rPr>
          <w:rFonts w:ascii="Arial" w:cs="Arial" w:eastAsia="Arial" w:hAnsi="Arial"/>
          <w:sz w:val="18"/>
          <w:szCs w:val="18"/>
          <w:u w:val="single" w:color="auto"/>
          <w:color w:val="auto"/>
        </w:rPr>
        <w:t>Long-term debt</w:t>
      </w:r>
      <w:r>
        <w:rPr>
          <w:rFonts w:ascii="Arial" w:cs="Arial" w:eastAsia="Arial" w:hAnsi="Arial"/>
          <w:sz w:val="18"/>
          <w:szCs w:val="18"/>
          <w:color w:val="auto"/>
        </w:rPr>
        <w:t xml:space="preserve"> - The fair value of the Company’s long-term debt is based on secondary market indicators. Since the Company’s debt is not quoted, estimates are based on each obligation’s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20" w:right="360"/>
        <w:spacing w:after="0" w:line="277" w:lineRule="auto"/>
        <w:rPr>
          <w:sz w:val="20"/>
          <w:szCs w:val="20"/>
          <w:color w:val="auto"/>
        </w:rPr>
      </w:pPr>
      <w:r>
        <w:rPr>
          <w:rFonts w:ascii="Arial" w:cs="Arial" w:eastAsia="Arial" w:hAnsi="Arial"/>
          <w:sz w:val="18"/>
          <w:szCs w:val="18"/>
          <w:color w:val="auto"/>
        </w:rPr>
        <w:t>characteristics, including remaining maturities, interest rate, credit rating, collateral, amortization schedule and liquidity. The carrying amount approximates fair value.</w:t>
      </w:r>
    </w:p>
    <w:p>
      <w:pPr>
        <w:spacing w:after="0" w:line="170"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DEFINED CONTRIBUTION PLAN:</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has a defined contribution plan (the “Rush Plan”), which is available to all Company employees and the employees of certain affiliates. Each employee who has completed 90 days of continuous service is entitled to enter the Rush Plan on the first day of the following month. Participating employees may contribute from 1% to 50% of total gross compensation. However, certain higher paid employees are limited to a maximum contribution of 15% of total gross compensation. For the first 10% of an employee’s contribution, the Company, at its discretion, may contribute an amount equal to 25% of the employees’ contributions for those employees with less than five years of service and an amount equal to 50% of the employees’ contributions for those employees with more than five years of service. During the year ended December 31, 2003, the Company incurred expenses of approximately $1.6 million</w:t>
      </w:r>
    </w:p>
    <w:p>
      <w:pPr>
        <w:sectPr>
          <w:pgSz w:w="11900" w:h="16838" w:orient="portrait"/>
          <w:cols w:equalWidth="0" w:num="1">
            <w:col w:w="11400"/>
          </w:cols>
          <w:pgMar w:left="240" w:top="341" w:right="259" w:bottom="0" w:gutter="0" w:footer="0" w:header="0"/>
        </w:sectPr>
      </w:pPr>
    </w:p>
    <w:bookmarkStart w:id="37" w:name="page38"/>
    <w:bookmarkEnd w:id="37"/>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Rush Plan. During the year ended December 31, 2004, the Company incurred expenses of approximately $1.8 million related to the Rush Plan.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2005, the Company incurred expenses of approximately $2.6 million related to the Rush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does not provide any postretirement benefits nor does it provide any post employment benefits.</w:t>
      </w:r>
    </w:p>
    <w:p>
      <w:pPr>
        <w:spacing w:after="0" w:line="225"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Vehicle Leases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Company leases vehicles primarily over periods ranging from one to ten years under operating lease and capital lease arrangements. These vehicles are subleased by the Company to customers under various agreements. Future minimum sublease rentals to be received by the Company under non-cancelable subleases for operating leases are $27.4 million and for capital leases are $16.4 million. Generally, the Company is required to incur all operating costs and pay a minimum rental and an excess mileage charge based on maximum mileage over the term of the lease. The Company guarantees the residual value of vehicles under operating lease and capital lease arrangements. At December 31, 2005, the Company guaranteed vehicle residual values of $7.2 million under operating lease arrangements and $5.2 million under capital lease arrangements. Historically, the Company purchases these vehicles at the end of the lease term and recognizes a gain on the sale of the vehicle. </w:t>
      </w:r>
      <w:r>
        <w:rPr>
          <w:rFonts w:ascii="Arial" w:cs="Arial" w:eastAsia="Arial" w:hAnsi="Arial"/>
          <w:sz w:val="15"/>
          <w:szCs w:val="15"/>
          <w:color w:val="auto"/>
        </w:rPr>
        <w:t>The residual values are not reflected in the future minimum lease payments for operating leases Vehicle</w:t>
      </w:r>
      <w:r>
        <w:rPr>
          <w:rFonts w:ascii="Arial" w:cs="Arial" w:eastAsia="Arial" w:hAnsi="Arial"/>
          <w:sz w:val="16"/>
          <w:szCs w:val="16"/>
          <w:color w:val="auto"/>
        </w:rPr>
        <w:t xml:space="preserve"> </w:t>
      </w:r>
      <w:r>
        <w:rPr>
          <w:rFonts w:ascii="Arial" w:cs="Arial" w:eastAsia="Arial" w:hAnsi="Arial"/>
          <w:sz w:val="15"/>
          <w:szCs w:val="15"/>
          <w:color w:val="auto"/>
        </w:rPr>
        <w:t>lease expenses for the year ended December 31, 2003 were approximately $5.3 million. Vehicle lease expenses for the year ended December 31, 2004 were approximately $6.0 million Vehicle lease expenses for the year ended December 31, 2005 were approximately $5.5 million.</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capital and non-cancelable vehicle leases as of December 31, 2005, are as follows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rPr>
              <w:t>Leases</w:t>
            </w:r>
          </w:p>
        </w:tc>
        <w:tc>
          <w:tcPr>
            <w:tcW w:w="2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4,026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2009</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3,520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4,062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21,109</w:t>
            </w:r>
          </w:p>
        </w:tc>
        <w:tc>
          <w:tcPr>
            <w:tcW w:w="3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24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(4,204)</w:t>
            </w: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Present value of net minimum capital lease payments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(2,277)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140" w:type="dxa"/>
            <w:vAlign w:val="bottom"/>
            <w:gridSpan w:val="2"/>
          </w:tcPr>
          <w:p>
            <w:pPr>
              <w:spacing w:after="0"/>
              <w:rPr>
                <w:sz w:val="20"/>
                <w:szCs w:val="20"/>
                <w:color w:val="auto"/>
              </w:rPr>
            </w:pPr>
            <w:r>
              <w:rPr>
                <w:rFonts w:ascii="Arial" w:cs="Arial" w:eastAsia="Arial" w:hAnsi="Arial"/>
                <w:sz w:val="18"/>
                <w:szCs w:val="18"/>
                <w:color w:val="auto"/>
              </w:rPr>
              <w:t>Obligations under capital leases less current portion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14,628</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Vehicle Leases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division of the Company leases both owned and leased vehicles to customers primarily over periods of one to ten years under operating lease arrangements. These leases require a minimum rental payment and a contingent rental payment based on mileage. Rental income during the year ended December 31, 2003 consisted of minimum rental payments of approximately $13.7 million and contingent rental payments of $3.0 million. Rental income during the year ended December 31, 2004 consisted of minimum rental payments of approximately $15.4 million and contingent rental payments of $2.9 million. Rental income during the year ended December 31, 2005 consisted of minimum rental payments of approximately $20.6 million and contingent rentals payments of approximately $3.5 million. Minimum lease payments to be received for non-cancelable leases and subleases in effect at December 31, 2005, are as follows (in thousands):</w:t>
      </w:r>
    </w:p>
    <w:p>
      <w:pPr>
        <w:spacing w:after="0" w:line="204"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22,649</w:t>
            </w:r>
          </w:p>
        </w:tc>
        <w:tc>
          <w:tcPr>
            <w:tcW w:w="1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2007</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19,433</w:t>
            </w:r>
          </w:p>
        </w:tc>
        <w:tc>
          <w:tcPr>
            <w:tcW w:w="1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1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12,589</w:t>
            </w:r>
          </w:p>
        </w:tc>
        <w:tc>
          <w:tcPr>
            <w:tcW w:w="1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8,405</w:t>
            </w:r>
          </w:p>
        </w:tc>
        <w:tc>
          <w:tcPr>
            <w:tcW w:w="18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6,724</w:t>
            </w:r>
          </w:p>
        </w:tc>
        <w:tc>
          <w:tcPr>
            <w:tcW w:w="180" w:type="dxa"/>
            <w:vAlign w:val="bottom"/>
          </w:tcPr>
          <w:p>
            <w:pPr>
              <w:spacing w:after="0"/>
              <w:rPr>
                <w:sz w:val="18"/>
                <w:szCs w:val="18"/>
                <w:color w:val="auto"/>
              </w:rPr>
            </w:pPr>
          </w:p>
        </w:tc>
      </w:tr>
      <w:tr>
        <w:trPr>
          <w:trHeight w:val="210"/>
        </w:trPr>
        <w:tc>
          <w:tcPr>
            <w:tcW w:w="4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86,135</w:t>
            </w:r>
          </w:p>
        </w:tc>
        <w:tc>
          <w:tcPr>
            <w:tcW w:w="180" w:type="dxa"/>
            <w:vAlign w:val="bottom"/>
          </w:tcPr>
          <w:p>
            <w:pPr>
              <w:spacing w:after="0"/>
              <w:rPr>
                <w:sz w:val="19"/>
                <w:szCs w:val="19"/>
                <w:color w:val="auto"/>
              </w:rPr>
            </w:pPr>
          </w:p>
        </w:tc>
      </w:tr>
    </w:tbl>
    <w:p>
      <w:pPr>
        <w:spacing w:after="0" w:line="20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As of December 31, 2004, the Company had $39.4 million (net of accumulated depreciation of $20.4 million) of leasing vehicles included in property and equipment. As of December 31, 2005, the Company had $75.8 million (net of accumulated depreciation of $23.2 million) of leasing vehicles included in property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Leases - Land and Buildings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leases various assets under operating leases with expiration dates ranging from April 2006 through December 2026. Monthly rental payments range from approximately $785 per month to $47,595 per month. Rental expense for the year ended December 31, 2003 was $2.2 million. Rental expense for the year ended December 31, 2004 was $2.6 million. Rental expense for the year ended December 31, 2005 was $3.2 million. Future minimum lease payments under non-cancelable leases at December 31, 2005, are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060" w:type="dxa"/>
            <w:vAlign w:val="bottom"/>
          </w:tcPr>
          <w:p>
            <w:pPr>
              <w:jc w:val="right"/>
              <w:ind w:right="1150"/>
              <w:spacing w:after="0"/>
              <w:rPr>
                <w:sz w:val="20"/>
                <w:szCs w:val="20"/>
                <w:color w:val="auto"/>
              </w:rPr>
            </w:pPr>
            <w:r>
              <w:rPr>
                <w:rFonts w:ascii="Arial" w:cs="Arial" w:eastAsia="Arial" w:hAnsi="Arial"/>
                <w:sz w:val="18"/>
                <w:szCs w:val="18"/>
                <w:color w:val="auto"/>
              </w:rPr>
              <w:t>57</w:t>
            </w:r>
          </w:p>
        </w:tc>
        <w:tc>
          <w:tcPr>
            <w:tcW w:w="9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1960" w:type="dxa"/>
            <w:vAlign w:val="bottom"/>
            <w:tcBorders>
              <w:bottom w:val="single" w:sz="8" w:color="808080"/>
            </w:tcBorders>
          </w:tcPr>
          <w:p>
            <w:pPr>
              <w:spacing w:after="0"/>
              <w:rPr>
                <w:sz w:val="10"/>
                <w:szCs w:val="10"/>
                <w:color w:val="auto"/>
              </w:rPr>
            </w:pPr>
          </w:p>
        </w:tc>
        <w:tc>
          <w:tcPr>
            <w:tcW w:w="202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1960" w:type="dxa"/>
            <w:vAlign w:val="bottom"/>
            <w:vMerge w:val="restart"/>
          </w:tcPr>
          <w:p>
            <w:pPr>
              <w:spacing w:after="0"/>
              <w:rPr>
                <w:sz w:val="24"/>
                <w:szCs w:val="24"/>
                <w:color w:val="auto"/>
              </w:rPr>
            </w:pPr>
          </w:p>
        </w:tc>
        <w:tc>
          <w:tcPr>
            <w:tcW w:w="20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60" w:type="dxa"/>
            <w:vAlign w:val="bottom"/>
            <w:vMerge w:val="continue"/>
          </w:tcPr>
          <w:p>
            <w:pPr>
              <w:spacing w:after="0"/>
              <w:rPr>
                <w:sz w:val="18"/>
                <w:szCs w:val="18"/>
                <w:color w:val="auto"/>
              </w:rPr>
            </w:pPr>
          </w:p>
        </w:tc>
        <w:tc>
          <w:tcPr>
            <w:tcW w:w="2020" w:type="dxa"/>
            <w:vAlign w:val="bottom"/>
            <w:shd w:val="clear" w:color="auto" w:fill="CCEEFF"/>
          </w:tcPr>
          <w:p>
            <w:pPr>
              <w:jc w:val="right"/>
              <w:ind w:right="1570"/>
              <w:spacing w:after="0"/>
              <w:rPr>
                <w:sz w:val="20"/>
                <w:szCs w:val="20"/>
                <w:color w:val="auto"/>
              </w:rPr>
            </w:pPr>
            <w:r>
              <w:rPr>
                <w:rFonts w:ascii="Arial" w:cs="Arial" w:eastAsia="Arial" w:hAnsi="Arial"/>
                <w:sz w:val="18"/>
                <w:szCs w:val="18"/>
                <w:color w:val="auto"/>
                <w:w w:val="84"/>
              </w:rPr>
              <w:t>2006</w:t>
            </w:r>
          </w:p>
        </w:tc>
        <w:tc>
          <w:tcPr>
            <w:tcW w:w="3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4,063</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960" w:type="dxa"/>
            <w:vAlign w:val="bottom"/>
          </w:tcPr>
          <w:p>
            <w:pPr>
              <w:spacing w:after="0"/>
              <w:rPr>
                <w:sz w:val="19"/>
                <w:szCs w:val="19"/>
                <w:color w:val="auto"/>
              </w:rPr>
            </w:pPr>
          </w:p>
        </w:tc>
        <w:tc>
          <w:tcPr>
            <w:tcW w:w="2020" w:type="dxa"/>
            <w:vAlign w:val="bottom"/>
            <w:tcBorders>
              <w:bottom w:val="single" w:sz="8" w:color="CCEEFF"/>
            </w:tcBorders>
          </w:tcPr>
          <w:p>
            <w:pPr>
              <w:jc w:val="right"/>
              <w:ind w:right="1570"/>
              <w:spacing w:after="0"/>
              <w:rPr>
                <w:sz w:val="20"/>
                <w:szCs w:val="20"/>
                <w:color w:val="auto"/>
              </w:rPr>
            </w:pPr>
            <w:r>
              <w:rPr>
                <w:rFonts w:ascii="Arial" w:cs="Arial" w:eastAsia="Arial" w:hAnsi="Arial"/>
                <w:sz w:val="18"/>
                <w:szCs w:val="18"/>
                <w:color w:val="auto"/>
                <w:w w:val="84"/>
              </w:rPr>
              <w:t>2007</w:t>
            </w:r>
          </w:p>
        </w:tc>
        <w:tc>
          <w:tcPr>
            <w:tcW w:w="30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3,034</w:t>
            </w: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-665480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-665480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25" w:right="219" w:bottom="0" w:gutter="0" w:footer="0" w:header="0"/>
        </w:sectPr>
      </w:pPr>
    </w:p>
    <w:bookmarkStart w:id="38" w:name="page39"/>
    <w:bookmarkEnd w:id="38"/>
    <w:p>
      <w:pPr>
        <w:spacing w:after="0" w:line="49"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8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8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7,880</w:t>
            </w:r>
          </w:p>
        </w:tc>
        <w:tc>
          <w:tcPr>
            <w:tcW w:w="18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21,272</w:t>
            </w:r>
          </w:p>
        </w:tc>
        <w:tc>
          <w:tcPr>
            <w:tcW w:w="180" w:type="dxa"/>
            <w:vAlign w:val="bottom"/>
          </w:tcPr>
          <w:p>
            <w:pPr>
              <w:spacing w:after="0"/>
              <w:rPr>
                <w:sz w:val="19"/>
                <w:szCs w:val="19"/>
                <w:color w:val="auto"/>
              </w:rPr>
            </w:pPr>
          </w:p>
        </w:tc>
      </w:tr>
    </w:tbl>
    <w:p>
      <w:pPr>
        <w:spacing w:after="0" w:line="202"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STOCK OPTIONS AND STOCK PLANS</w:t>
      </w:r>
      <w:r>
        <w:rPr>
          <w:rFonts w:ascii="Arial" w:cs="Arial" w:eastAsia="Arial" w:hAnsi="Arial"/>
          <w:sz w:val="18"/>
          <w:szCs w:val="18"/>
          <w:color w:val="auto"/>
        </w:rPr>
        <w:t>:</w:t>
      </w:r>
    </w:p>
    <w:p>
      <w:pPr>
        <w:spacing w:after="0" w:line="2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April 1996, the Board of Directors and shareholders adopted the Rush Enterprises, Inc. Long-Term Incentive Plan (the “Incentive Plan”). The Incentive Plan provides for the grant of stock options (which may be nonqualified stock options or incentive stock options for tax purposes), stock appreciation rights issued independent of or in tandem with such options (“SARs”), restricted stock awards and performance awards.</w:t>
      </w:r>
    </w:p>
    <w:p>
      <w:pPr>
        <w:spacing w:after="0" w:line="166"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aggregate number of shares of common stock subject to stock options or SARs that may be granted to any one participant in any year under the Incentive Plan is 100,000 shares of Class A Common Stock and 100,000 shares of Class B Common Stock. The Company has 2,600,000 shares of Class A Common Stock and 1,400,000 shares of Class B Common Stock reserved for issuance upon exercise of any awards granted under the Company’s Incentive Plan.</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April 8, 1996, the Board of Directors of the Company declared a dividend of one common share purchase right (a “Right”) for each share of common stock outstanding. Each Right entitles the registered holder to purchase from the Company one share of Class B Common Stock at a price of $35.00 per share (the “Purchase Price”). The Rights are not exercisable until the distribution date, as defined in the Rights Agreement. The Rights will expire on April 7, 2006 (the “Final Expiration Date”), unless the Final Expiration Date is extended or unless the Rights are earlier redeemed or exchanged by the Company.</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March 2003, the Company granted options under the Incentive Plan to purchase an aggregate of 380,000 shares of Class A Common Stock and 93,000 shares of Class B Common Stock. In March 2004 and June 2004, the Company granted options under the Incentive Plan to purchase an aggregate of 187,850 shares of Class A Common Stock and 43,500 shares of Class B Common Stock. In March 2005, the Company granted options under the Incentive Plan to purchase an aggregate of 288,325 shares of Class A Common Stock. Each option vests in three equal annual installments beginning on the third anniversary of the grant date.</w:t>
      </w:r>
    </w:p>
    <w:p>
      <w:pPr>
        <w:spacing w:after="0" w:line="18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Board of Directors and shareholders adopted the Rush Enterprises, Inc. 1997 Non-Employee Director Stock Option Plan (the “Director Plan”), reserving 600,000 shares of Class A Common Stock and 180,000 shares of Class B Common Stock for issuance upon exercise of any awards granted under the Plan. The Director Plan is designed to attract and retain highly qualified non-employee directors. Prior to July 9, 2002, under the terms of the Director Plan, each non-employee director received options to purchase 10,000 shares of the Old Common Stock on the date the Director Plan was adopted or upon their respective date of appointment and an additional option to purchase 10,000 shares of the Old Common Stock each year they are elected by the shareholders to serve on the Board of Directors, all of which vest immediately and expire ten years from the grant date. The exercise price of the options was equal to closing</w:t>
      </w:r>
    </w:p>
    <w:p>
      <w:pPr>
        <w:spacing w:after="0" w:line="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price, as reported by The Nasdaq National Market</w:t>
      </w:r>
      <w:r>
        <w:rPr>
          <w:rFonts w:ascii="Arial" w:cs="Arial" w:eastAsia="Arial" w:hAnsi="Arial"/>
          <w:sz w:val="30"/>
          <w:szCs w:val="30"/>
          <w:color w:val="auto"/>
          <w:vertAlign w:val="superscript"/>
        </w:rPr>
        <w:t>®</w:t>
      </w:r>
      <w:r>
        <w:rPr>
          <w:rFonts w:ascii="Arial" w:cs="Arial" w:eastAsia="Arial" w:hAnsi="Arial"/>
          <w:sz w:val="17"/>
          <w:szCs w:val="17"/>
          <w:color w:val="auto"/>
        </w:rPr>
        <w:t>, of the Company’s Old Common Stock on the grant date. On July 9, 2002, each option to purchase Old</w:t>
      </w:r>
      <w:r>
        <w:rPr>
          <w:rFonts w:ascii="Arial" w:cs="Arial" w:eastAsia="Arial" w:hAnsi="Arial"/>
          <w:sz w:val="18"/>
          <w:szCs w:val="18"/>
          <w:color w:val="auto"/>
        </w:rPr>
        <w:t xml:space="preserve"> </w:t>
      </w:r>
      <w:r>
        <w:rPr>
          <w:rFonts w:ascii="Arial" w:cs="Arial" w:eastAsia="Arial" w:hAnsi="Arial"/>
          <w:sz w:val="17"/>
          <w:szCs w:val="17"/>
          <w:color w:val="auto"/>
        </w:rPr>
        <w:t>Common Stock became an option to purchase Class A Common Stock and an option to purchase Class B Common Stock. Each of the new options became exercisable at one-half of the original option’s exercise price. Subsequent to July 9, 2002, each non-employee director received options to purchase 20,000 shares of the Company’s Class A Common Stock upon their respective date of appointment and each year they are elected by the shareholders to serve on the Board of Directors. During the year ended December 31, 2003, 60,000 options of Class A Common Stock were granted under the terms of the Director Plan. During the year ended December 31, 2004, 80,000 options of Class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Common Stock were granted under the terms of the Director Plan. During the year ended December 31, 2005, 80,000 options of Class A Common Stock were granted under the terms of the Director Plan.</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2004, the Company implemented an Employee Stock Purchase Plan (“ESPP”) that allows eligible employees to contribute up to 10% of their base earnings toward the semi-annual purchase of the Company’s Class A Common Stock. The employee’s purchase price is 85% of the lesser of the closing price of the</w:t>
      </w:r>
    </w:p>
    <w:p>
      <w:pPr>
        <w:ind w:right="20"/>
        <w:spacing w:after="0" w:line="235" w:lineRule="auto"/>
        <w:rPr>
          <w:sz w:val="20"/>
          <w:szCs w:val="20"/>
          <w:color w:val="auto"/>
        </w:rPr>
      </w:pPr>
      <w:r>
        <w:rPr>
          <w:rFonts w:ascii="Arial" w:cs="Arial" w:eastAsia="Arial" w:hAnsi="Arial"/>
          <w:sz w:val="18"/>
          <w:szCs w:val="18"/>
          <w:color w:val="auto"/>
        </w:rPr>
        <w:t>Class A Common Stock on the first business day or the last business day of the semi-annual offering period, as reported by The Nasdaq National Market</w:t>
      </w:r>
      <w:r>
        <w:rPr>
          <w:rFonts w:ascii="Arial" w:cs="Arial" w:eastAsia="Arial" w:hAnsi="Arial"/>
          <w:sz w:val="30"/>
          <w:szCs w:val="30"/>
          <w:color w:val="auto"/>
          <w:vertAlign w:val="superscript"/>
        </w:rPr>
        <w:t>®</w:t>
      </w:r>
      <w:r>
        <w:rPr>
          <w:rFonts w:ascii="Arial" w:cs="Arial" w:eastAsia="Arial" w:hAnsi="Arial"/>
          <w:sz w:val="17"/>
          <w:szCs w:val="17"/>
          <w:color w:val="auto"/>
        </w:rPr>
        <w:t>.</w:t>
      </w:r>
      <w:r>
        <w:rPr>
          <w:rFonts w:ascii="Arial" w:cs="Arial" w:eastAsia="Arial" w:hAnsi="Arial"/>
          <w:sz w:val="18"/>
          <w:szCs w:val="18"/>
          <w:color w:val="auto"/>
        </w:rPr>
        <w:t xml:space="preserve"> </w:t>
      </w:r>
      <w:r>
        <w:rPr>
          <w:rFonts w:ascii="Arial" w:cs="Arial" w:eastAsia="Arial" w:hAnsi="Arial"/>
          <w:sz w:val="17"/>
          <w:szCs w:val="17"/>
          <w:color w:val="auto"/>
        </w:rPr>
        <w:t>Employees may purchase shares having a fair market value of up to $25,000 (measured as of the first day of each semi-annual offering period) for each calendar year. No compensation expense is recorded in connection with the plan. The total number of shares issuable under the plan is 600,000. No shares were issued under the plan during fiscal 2004 and 30,009 shares of Class A Common Stock were issued during fiscal 2005. Of the 2,507 employees eligible to participate, 193 were participants in the plan as of December 31, 2005.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years ended December 31, 2003, 2004 and 2005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w w:val="99"/>
              </w:rPr>
              <w:t>Weighted</w:t>
            </w: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77"/>
              <w:spacing w:after="0" w:line="119" w:lineRule="exact"/>
              <w:rPr>
                <w:sz w:val="20"/>
                <w:szCs w:val="20"/>
                <w:color w:val="auto"/>
              </w:rPr>
            </w:pPr>
            <w:r>
              <w:rPr>
                <w:rFonts w:ascii="Arial" w:cs="Arial" w:eastAsia="Arial" w:hAnsi="Arial"/>
                <w:sz w:val="13"/>
                <w:szCs w:val="13"/>
                <w:b w:val="1"/>
                <w:bCs w:val="1"/>
                <w:color w:val="auto"/>
                <w:w w:val="99"/>
              </w:rPr>
              <w:t>Weighted</w:t>
            </w: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4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Outstanding, beginning of year</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2,452,730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2,927,282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2,096,782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533,000</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3.80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311,350</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11.92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368,325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(46,248)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(1,104,672)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(738,938)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(12,200)</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3.47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(37,178)</w:t>
            </w:r>
          </w:p>
        </w:tc>
        <w:tc>
          <w:tcPr>
            <w:tcW w:w="1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3.78</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(6,350)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Outstanding, 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2,927,282</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3.80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2,096,782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4.80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1,719,819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Exercisable, 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1,158,718</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4.62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610,385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5.25</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353,868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20" w:type="dxa"/>
            <w:vAlign w:val="bottom"/>
          </w:tcPr>
          <w:p>
            <w:pPr>
              <w:spacing w:after="0" w:line="201" w:lineRule="exact"/>
              <w:rPr>
                <w:sz w:val="20"/>
                <w:szCs w:val="20"/>
                <w:color w:val="auto"/>
              </w:rPr>
            </w:pPr>
            <w:r>
              <w:rPr>
                <w:rFonts w:ascii="Arial" w:cs="Arial" w:eastAsia="Arial" w:hAnsi="Arial"/>
                <w:sz w:val="18"/>
                <w:szCs w:val="18"/>
                <w:color w:val="auto"/>
              </w:rPr>
              <w:t>Weighted average fair value of</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options granted during the year</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1.95</w:t>
            </w: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6.05</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information about the Company’s options outstanding at December 31, 2005:</w:t>
      </w:r>
    </w:p>
    <w:p>
      <w:pPr>
        <w:sectPr>
          <w:pgSz w:w="11900" w:h="16887" w:orient="portrait"/>
          <w:cols w:equalWidth="0" w:num="1">
            <w:col w:w="11420"/>
          </w:cols>
          <w:pgMar w:left="240" w:top="140" w:right="239" w:bottom="0" w:gutter="0" w:footer="0" w:header="0"/>
        </w:sectPr>
      </w:pPr>
    </w:p>
    <w:bookmarkStart w:id="39" w:name="page40"/>
    <w:bookmarkEnd w:id="3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120" w:type="dxa"/>
            <w:vAlign w:val="bottom"/>
            <w:tcBorders>
              <w:bottom w:val="single" w:sz="8" w:color="auto"/>
            </w:tcBorders>
            <w:gridSpan w:val="4"/>
          </w:tcPr>
          <w:p>
            <w:pPr>
              <w:jc w:val="right"/>
              <w:ind w:right="878"/>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w:t>
            </w: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720" w:type="dxa"/>
            <w:vAlign w:val="bottom"/>
            <w:gridSpan w:val="2"/>
            <w:vMerge w:val="continue"/>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Exercise</w:t>
            </w:r>
          </w:p>
        </w:tc>
        <w:tc>
          <w:tcPr>
            <w:tcW w:w="17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Exercise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40" w:type="dxa"/>
            <w:vAlign w:val="bottom"/>
            <w:gridSpan w:val="3"/>
            <w:vMerge w:val="continue"/>
          </w:tcPr>
          <w:p>
            <w:pPr>
              <w:spacing w:after="0"/>
              <w:rPr>
                <w:sz w:val="14"/>
                <w:szCs w:val="14"/>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Outstanding</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3"/>
              </w:rPr>
              <w:t>Price</w:t>
            </w:r>
          </w:p>
        </w:tc>
        <w:tc>
          <w:tcPr>
            <w:tcW w:w="1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Exercisable</w:t>
            </w:r>
          </w:p>
        </w:tc>
        <w:tc>
          <w:tcPr>
            <w:tcW w:w="2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$2.07 - $2.25</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195,274</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$3.50 - $4.32</w:t>
            </w:r>
          </w:p>
        </w:tc>
        <w:tc>
          <w:tcPr>
            <w:tcW w:w="30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812,105</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81,833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$4.85 - $5.75</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36,015</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5.20</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$11.15 - $12.96</w:t>
            </w:r>
          </w:p>
        </w:tc>
        <w:tc>
          <w:tcPr>
            <w:tcW w:w="30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308,100</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11.92</w:t>
            </w: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$14.16 - $15.76</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368,325</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15.41</w:t>
            </w: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80,000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1,719,819</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353,868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jc w:val="right"/>
              <w:ind w:right="299"/>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7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80" w:hanging="672"/>
        <w:spacing w:after="0"/>
        <w:tabs>
          <w:tab w:leader="none" w:pos="6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r>
        <w:rPr>
          <w:rFonts w:ascii="Arial" w:cs="Arial" w:eastAsia="Arial" w:hAnsi="Arial"/>
          <w:sz w:val="18"/>
          <w:szCs w:val="18"/>
          <w:color w:val="auto"/>
        </w:rPr>
        <w: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Earnings per share for all periods reflects the adoption of Statement of Financial Accounting Standards No. 128, “Earnings Per Share” (“SFAS 128”), which established standards for computing and presenting earnings per share (“EPS”) for entities with publicly held common stock or potential common stock. This statement requires dual presentation of basic and diluted EPS on the face of the income statement for all entities with complex capital structures. Basic EPS were computed by dividing net income by the weighted average number of shares of common stock outstanding during the period. Diluted EPS differs from basic EPS due to the assumed conversions of potentially dilutive options and warrants that were outstanding during the period. The Company’s Class A and Class B Common Stock have equal claims on earnings of the Company. The following is a reconciliation of the numerators and the denominators of the basic and diluted per share computations for net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Numerator for basic and diluted earnings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available to common shareholders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8,829,000</w:t>
            </w: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16,916,000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44,625,000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Denominator for basic earnings per share, weighted average shares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14,042,304</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15,683,763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24,202,008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981,933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923,406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754,565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Denominator for diluted earnings per share, adjusted weighted average shares and</w:t>
            </w:r>
          </w:p>
        </w:tc>
        <w:tc>
          <w:tcPr>
            <w:tcW w:w="32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15,024,237</w:t>
            </w:r>
          </w:p>
        </w:tc>
        <w:tc>
          <w:tcPr>
            <w:tcW w:w="30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16,607,169</w:t>
            </w:r>
          </w:p>
        </w:tc>
        <w:tc>
          <w:tcPr>
            <w:tcW w:w="3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24,956,573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assumed conversions</w:t>
            </w:r>
          </w:p>
        </w:tc>
        <w:tc>
          <w:tcPr>
            <w:tcW w:w="3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 and common share equivalents</w:t>
            </w: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Options to purchase shares of common stock that were outstanding for the years ended December 31, 2003, 2004 and 2005 that were not included in the computation of diluted earnings per share because the exercise prices were greater than the average market prices of the common shares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14"/>
                <w:szCs w:val="14"/>
                <w:color w:val="auto"/>
              </w:rPr>
            </w:pPr>
          </w:p>
        </w:tc>
        <w:tc>
          <w:tcPr>
            <w:tcW w:w="940" w:type="dxa"/>
            <w:vAlign w:val="bottom"/>
          </w:tcPr>
          <w:p>
            <w:pPr>
              <w:jc w:val="right"/>
              <w:ind w:right="236"/>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940" w:type="dxa"/>
            <w:vAlign w:val="bottom"/>
          </w:tcPr>
          <w:p>
            <w:pPr>
              <w:jc w:val="right"/>
              <w:ind w:right="25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188,305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288,325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2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720" w:type="dxa"/>
            <w:vAlign w:val="bottom"/>
            <w:vMerge w:val="continue"/>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2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188,305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288,325</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720" w:type="dxa"/>
            <w:vAlign w:val="bottom"/>
          </w:tcPr>
          <w:p>
            <w:pPr>
              <w:spacing w:after="0"/>
              <w:rPr>
                <w:sz w:val="24"/>
                <w:szCs w:val="24"/>
                <w:color w:val="auto"/>
              </w:rPr>
            </w:pPr>
          </w:p>
        </w:tc>
        <w:tc>
          <w:tcPr>
            <w:tcW w:w="294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jc w:val="right"/>
              <w:ind w:right="474"/>
              <w:spacing w:after="0"/>
              <w:rPr>
                <w:sz w:val="20"/>
                <w:szCs w:val="20"/>
                <w:color w:val="auto"/>
              </w:rPr>
            </w:pPr>
            <w:r>
              <w:rPr>
                <w:rFonts w:ascii="Arial" w:cs="Arial" w:eastAsia="Arial" w:hAnsi="Arial"/>
                <w:sz w:val="18"/>
                <w:szCs w:val="18"/>
                <w:color w:val="auto"/>
              </w:rPr>
              <w:t>60</w:t>
            </w: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72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9400" w:firstLine="8"/>
        <w:spacing w:after="0" w:line="563" w:lineRule="auto"/>
        <w:tabs>
          <w:tab w:leader="none" w:pos="671"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 for Income Taxes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tax provisions for the years ended December 31, 2003, 2004 and 2005 are summarized as follows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Current provision-</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2,029</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6,805</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23,349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7,669</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Deferred provision-</w:t>
            </w:r>
          </w:p>
        </w:tc>
        <w:tc>
          <w:tcPr>
            <w:tcW w:w="2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Federal</w:t>
            </w:r>
          </w:p>
        </w:tc>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520" w:type="dxa"/>
            <w:vAlign w:val="bottom"/>
            <w:shd w:val="clear" w:color="auto" w:fill="CCEEFF"/>
          </w:tcPr>
          <w:p>
            <w:pPr>
              <w:spacing w:after="0"/>
              <w:rPr>
                <w:sz w:val="13"/>
                <w:szCs w:val="13"/>
                <w:color w:val="auto"/>
              </w:rPr>
            </w:pPr>
          </w:p>
        </w:tc>
        <w:tc>
          <w:tcPr>
            <w:tcW w:w="2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333" w:right="219" w:bottom="0" w:gutter="0" w:footer="0" w:header="0"/>
        </w:sectPr>
      </w:pPr>
    </w:p>
    <w:bookmarkStart w:id="40" w:name="page41"/>
    <w:bookmarkEnd w:id="40"/>
    <w:p>
      <w:pPr>
        <w:spacing w:after="0" w:line="39"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the tax effect of significant cumulative temporary differences that are included in the net deferred income tax liability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2004 and 2005 (in thousands):</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Differences in depreciation and amortization</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tcPr>
          <w:p>
            <w:pPr>
              <w:spacing w:after="0" w:line="201" w:lineRule="exact"/>
              <w:rPr>
                <w:sz w:val="20"/>
                <w:szCs w:val="20"/>
                <w:color w:val="auto"/>
              </w:rPr>
            </w:pPr>
            <w:r>
              <w:rPr>
                <w:rFonts w:ascii="Arial" w:cs="Arial" w:eastAsia="Arial" w:hAnsi="Arial"/>
                <w:sz w:val="18"/>
                <w:szCs w:val="18"/>
                <w:color w:val="auto"/>
                <w:w w:val="91"/>
              </w:rPr>
              <w:t>Deferred tax asset related to state net operating loss carry forwards (net of a valuation allowance of</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$491,000 at December 31, 2004 and $541,000 at December 31, 2005)</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related to capital lease obligations, non-current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Deferred tax asset related to capital lease obligations, current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Accruals and reserves not deducted for tax purposes until paid</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18,197</w:t>
            </w:r>
          </w:p>
        </w:tc>
        <w:tc>
          <w:tcPr>
            <w:tcW w:w="26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various state net operating loss carry forwards expire from 2006 through 2020.</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reconciliation of taxes based on the federal statutory rates and the provisions for income taxes for the years ended December 31, 2003, 2004 and 2005, are summarized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the federal statutory rate</w:t>
            </w:r>
          </w:p>
        </w:tc>
        <w:tc>
          <w:tcPr>
            <w:tcW w:w="2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5,150</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24,898</w:t>
            </w: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 effect of permanent differences</w:t>
            </w:r>
          </w:p>
        </w:tc>
        <w:tc>
          <w:tcPr>
            <w:tcW w:w="1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State tax valuation allowance</w:t>
            </w: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7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80" w:type="dxa"/>
            <w:vAlign w:val="bottom"/>
            <w:vMerge w:val="continue"/>
          </w:tcPr>
          <w:p>
            <w:pPr>
              <w:spacing w:after="0"/>
              <w:rPr>
                <w:sz w:val="20"/>
                <w:szCs w:val="20"/>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5,886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80" w:type="dxa"/>
            <w:vAlign w:val="bottom"/>
            <w:shd w:val="clear" w:color="auto" w:fill="CCEEFF"/>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88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jc w:val="right"/>
              <w:ind w:right="614"/>
              <w:spacing w:after="0"/>
              <w:rPr>
                <w:sz w:val="20"/>
                <w:szCs w:val="20"/>
                <w:color w:val="auto"/>
              </w:rPr>
            </w:pPr>
            <w:r>
              <w:rPr>
                <w:rFonts w:ascii="Arial" w:cs="Arial" w:eastAsia="Arial" w:hAnsi="Arial"/>
                <w:sz w:val="18"/>
                <w:szCs w:val="18"/>
                <w:color w:val="auto"/>
              </w:rPr>
              <w:t>61</w:t>
            </w:r>
          </w:p>
        </w:tc>
        <w:tc>
          <w:tcPr>
            <w:tcW w:w="7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384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Company’s income tax provision for the years ended December 31, 2003, 2004 and 2005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on continuing operations</w:t>
            </w:r>
          </w:p>
        </w:tc>
        <w:tc>
          <w:tcPr>
            <w:tcW w:w="144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6,300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Income tax expense (benefit) from discontinued operations</w:t>
            </w: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the Company had provided for tax contingencies of approximately $1.1 million.</w:t>
      </w:r>
    </w:p>
    <w:p>
      <w:pPr>
        <w:spacing w:after="0" w:line="225"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r>
        <w:rPr>
          <w:rFonts w:ascii="Arial" w:cs="Arial" w:eastAsia="Arial" w:hAnsi="Arial"/>
          <w:sz w:val="18"/>
          <w:szCs w:val="18"/>
          <w:color w:val="auto"/>
        </w:rPr>
        <w:t>:</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contingently liable to finance companies for certain notes initiated on behalf of such finance companies related to the sale of trucks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However, in 2003 the Company instituted a finance program that accepts 100% liability, with some restrictions, for the outstanding amount of each note initiated on behalf of the finance company. In order for a contract to be accepted into this finance program, a customer must meet strict credit requirements or maintain a significant equity position in the truck being financed; consequently, approximately 1% of the Company’s portfolio balance related to finance contracts sold by the Company are under this 100% liability finance program and the Company does not expect to finance a significant percentage of its truck sales under this 100% liability finance program in the future. The Company provides for an allowance for repossession losses and early repayment penalties that it may be liable for under finance contracts sold without recourse.</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Finance contracts initiated and sold were $165.1 million during the year ended December 31, 2003, $259.9 million during the year ended December 31, 2004 and $451.8 million during the year ended December 31, 2005.</w:t>
      </w:r>
    </w:p>
    <w:p>
      <w:pPr>
        <w:spacing w:after="0" w:line="17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54" w:lineRule="exact"/>
        <w:rPr>
          <w:sz w:val="20"/>
          <w:szCs w:val="20"/>
          <w:color w:val="auto"/>
        </w:rPr>
      </w:pPr>
    </w:p>
    <w:p>
      <w:pPr>
        <w:ind w:left="680" w:hanging="67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w:t>
      </w:r>
    </w:p>
    <w:p>
      <w:pPr>
        <w:spacing w:after="0" w:line="22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As previously discussed, in January 2005, the Company acquired certain assets of ATS, including its Peterbilt truck dealerships in Texas and Tennessee, for a total purchase price of $132.4 million. The acquisition provides the Company with rights to sell Peterbilt trucks and parts at new locations in Dallas, Fort Worth, Abilene and Tyler, Texas and Nashville, Tennessee. The transaction was financed with cash of $77.8 million, expansion of the Company’s existing floor plan agreement for truck inventory of $34.6 million, and the issuance of debt of approximately $20.0 million to finance the purchase of real estate and</w:t>
      </w:r>
    </w:p>
    <w:p>
      <w:pPr>
        <w:sectPr>
          <w:pgSz w:w="11900" w:h="16877" w:orient="portrait"/>
          <w:cols w:equalWidth="0" w:num="1">
            <w:col w:w="11440"/>
          </w:cols>
          <w:pgMar w:left="240" w:top="140" w:right="219" w:bottom="0" w:gutter="0" w:footer="0" w:header="0"/>
        </w:sectPr>
      </w:pPr>
    </w:p>
    <w:bookmarkStart w:id="41" w:name="page42"/>
    <w:bookmarkEnd w:id="41"/>
    <w:p>
      <w:pPr>
        <w:jc w:val="both"/>
        <w:ind w:right="100"/>
        <w:spacing w:after="0" w:line="264" w:lineRule="auto"/>
        <w:rPr>
          <w:sz w:val="20"/>
          <w:szCs w:val="20"/>
          <w:color w:val="auto"/>
        </w:rPr>
      </w:pPr>
      <w:r>
        <w:rPr>
          <w:rFonts w:ascii="Arial" w:cs="Arial" w:eastAsia="Arial" w:hAnsi="Arial"/>
          <w:sz w:val="18"/>
          <w:szCs w:val="18"/>
          <w:color w:val="auto"/>
        </w:rPr>
        <w:t>certain vehicles used in ATS’s leasing operations. Of the $77.8 million paid in cash, $21.9 million was for the purchase of a note receivable from the selling shareholders of ATS. This $21.9 million was immediately repaid by the selling shareholders at closing, resulting in net cash used in the acquisition of $55.9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ATS acquisition has been accounted for as a purchase. The purchase price has been allocated based on the fair values of the assets at the date of acquisition as follows (in thousands):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Notes &amp; leases receivable</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52,667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The goodwill acquired in the ATS acquisition is included in the “other assets” line item of the Rush Enterprises, Inc. and Subsidiaries Consolidated Balance Sheet for the period ended December 31, 2005. All of the goodwill acquired in the ATS acquisition will be amortized over 15 years for tax purposes.</w:t>
      </w:r>
    </w:p>
    <w:p>
      <w:pPr>
        <w:spacing w:after="0" w:line="12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following unaudited pro forma summary presents information as if the ATS acquisition had taken place at the beginning of 2003. The pro forma information is provided for informational purposes only. It is based on historical information and does not necessarily reflect the actual results that would have occurred nor is it necessarily indicative of future results of operations of the Company. The following summary is for the years ended December 31, 2003 and 2004 (unaudited) (in thousands, except per share amounts):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1,015,119</w:t>
            </w:r>
          </w:p>
        </w:tc>
        <w:tc>
          <w:tcPr>
            <w:tcW w:w="3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1,438,609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0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98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w w:val="96"/>
              </w:rPr>
              <w:t>Income from continuing operations after pro forma provision for income taxes</w:t>
            </w:r>
          </w:p>
        </w:tc>
        <w:tc>
          <w:tcPr>
            <w:tcW w:w="30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13,462</w:t>
            </w:r>
          </w:p>
        </w:tc>
        <w:tc>
          <w:tcPr>
            <w:tcW w:w="30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24,571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income from continuing operations per share</w:t>
            </w:r>
          </w:p>
        </w:tc>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3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rPr>
              <w:t>Diluted income from continuing operations per share</w:t>
            </w:r>
          </w:p>
        </w:tc>
        <w:tc>
          <w:tcPr>
            <w:tcW w:w="3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3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July 2005, the Company purchased certain assets of Fountain Motor Co., Inc., which consisted of a GMC and Isuzu medium-duty dealership in Orlando, Florida. The Company added Peterbilt trucks and UD products to the new dealership and is operating the facility as a full-service Rush Truck Center offering heavy-duty and medium-duty trucks, parts and service. The transaction was valued at approximately $2.8 million, with the purchase price paid in cash.</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Fountain Motor Co.,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1,341</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Accrued expenses</w:t>
            </w: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1,455</w:t>
            </w:r>
          </w:p>
        </w:tc>
      </w:tr>
      <w:tr>
        <w:trPr>
          <w:trHeight w:val="210"/>
        </w:trPr>
        <w:tc>
          <w:tcPr>
            <w:tcW w:w="3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2,794</w:t>
            </w:r>
          </w:p>
        </w:tc>
      </w:tr>
      <w:tr>
        <w:trPr>
          <w:trHeight w:val="27"/>
        </w:trPr>
        <w:tc>
          <w:tcPr>
            <w:tcW w:w="36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Fountain Motor Co., Inc. acquisition will be amortized over 15 years for tax purposes.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September 2005, the Company purchased certain assets of Barrett Trucks, LLC, which consisted of a GMC and Isuzu medium-duty dealership in Texarkana, Texas. The Company added Peterbilt trucks to the dealership and is operating the facility as a full-service Rush Truck Center offering heavy-duty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medium-duty trucks, parts and service. The transaction was valued at approximately $626,000, with the purchase price paid in cash.</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Barrett Trucks LLC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600" w:type="dxa"/>
            <w:vAlign w:val="bottom"/>
          </w:tcPr>
          <w:p>
            <w:pPr>
              <w:ind w:left="90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Barrett Trucks LLC acquisition will be amortized over 15 years for tax purposes.</w:t>
      </w:r>
    </w:p>
    <w:p>
      <w:pPr>
        <w:sectPr>
          <w:pgSz w:w="11900" w:h="16838" w:orient="portrait"/>
          <w:cols w:equalWidth="0" w:num="1">
            <w:col w:w="11380"/>
          </w:cols>
          <w:pgMar w:left="240" w:top="125" w:right="279" w:bottom="0" w:gutter="0" w:footer="0" w:header="0"/>
        </w:sectPr>
      </w:pPr>
    </w:p>
    <w:bookmarkStart w:id="42" w:name="page43"/>
    <w:bookmarkEnd w:id="42"/>
    <w:p>
      <w:pPr>
        <w:jc w:val="both"/>
        <w:ind w:right="60"/>
        <w:spacing w:after="0" w:line="264" w:lineRule="auto"/>
        <w:rPr>
          <w:sz w:val="20"/>
          <w:szCs w:val="20"/>
          <w:color w:val="auto"/>
        </w:rPr>
      </w:pPr>
      <w:r>
        <w:rPr>
          <w:rFonts w:ascii="Arial" w:cs="Arial" w:eastAsia="Arial" w:hAnsi="Arial"/>
          <w:sz w:val="18"/>
          <w:szCs w:val="18"/>
          <w:color w:val="auto"/>
        </w:rPr>
        <w:t>In September 2005, the Company purchased certain assets of Hayes Leasing Company, Inc., which consisted of GMC and UD medium-duty franchises. The newly acquired lines were added to its existing medium-duty truck store in Dallas, Texas. The transaction was valued at approximately $3.4 million, with the purchase price paid in cash.</w:t>
      </w:r>
    </w:p>
    <w:p>
      <w:pPr>
        <w:spacing w:after="0" w:line="181"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The Hayes Leasing Company,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600" w:type="dxa"/>
            <w:vAlign w:val="bottom"/>
          </w:tcPr>
          <w:p>
            <w:pPr>
              <w:ind w:left="9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3,362</w:t>
            </w:r>
          </w:p>
        </w:tc>
        <w:tc>
          <w:tcPr>
            <w:tcW w:w="8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Hayes Leasing Company, Inc. acquisition will be amortized over 15 years for tax purposes.</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 October 2005, the Company purchased certain assets of TEC of California, Inc., which consisted of GMC, Isuzu and Hino medium-duty franchises. The newly acquired lines were added to its existing medium-duty truck store in Fontana, California. The transaction was valued at approximately $3.4 million, with the purchase price paid in cash.</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TEC of California,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600" w:type="dxa"/>
            <w:vAlign w:val="bottom"/>
          </w:tcPr>
          <w:p>
            <w:pPr>
              <w:ind w:left="90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TEC of California, Inc. acquisition will be amortized over 15 years for tax purposes.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February 2003, the Company acquired the common stock of Orange County Truck and Trailer, Inc. (“Orange County”), a Peterbilt dealer in central Florida. The acquisition provided the Company with the right to sell Peterbilt trucks and parts from three locations in central Florida, including Orlando, Haines City and Tampa. The transaction was valued at approximately $5.4 million, with the purchase price paid in cash.</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Orange County acquisition was accounted for as a purchase; operations of the business acquired are included in the accompanying consolidated financial statements from the date of acquisition. The purchase price was allocated based on the fair values of the assets and liabilities at the date of the acquisition as follows (in thousands):</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5,172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&amp; other assets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568</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&amp; accrued expenses</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Notes payable</w:t>
            </w:r>
          </w:p>
        </w:tc>
        <w:tc>
          <w:tcPr>
            <w:tcW w:w="5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3,421</w:t>
            </w:r>
          </w:p>
        </w:tc>
      </w:tr>
      <w:tr>
        <w:trPr>
          <w:trHeight w:val="210"/>
        </w:trPr>
        <w:tc>
          <w:tcPr>
            <w:tcW w:w="65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5,383</w:t>
            </w:r>
          </w:p>
        </w:tc>
      </w:tr>
      <w:tr>
        <w:trPr>
          <w:trHeight w:val="27"/>
        </w:trPr>
        <w:tc>
          <w:tcPr>
            <w:tcW w:w="654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the Orange County acquisition was a stock purchase, the goodwill is not deductible for tax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April 2003, the Company purchased substantially all of the assets of Peterbilt of Mobile, Inc., a Peterbilt dealer in Mobile, Alabama.</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Peterbilt of Mobile, Inc. acquisition was accounted for as a purchase; operations of the business acquired are included in the accompanying consolidated financial statements from the date of the acquisition. The purchase price was allocated based on the fair values of the assets at the date of acquisition as follows (in thousands):</w:t>
      </w:r>
    </w:p>
    <w:p>
      <w:pPr>
        <w:spacing w:after="0" w:line="196"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448</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860</w:t>
            </w:r>
          </w:p>
        </w:tc>
      </w:tr>
      <w:tr>
        <w:trPr>
          <w:trHeight w:val="210"/>
        </w:trPr>
        <w:tc>
          <w:tcPr>
            <w:tcW w:w="36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1,434</w:t>
            </w:r>
          </w:p>
        </w:tc>
      </w:tr>
      <w:tr>
        <w:trPr>
          <w:trHeight w:val="27"/>
        </w:trPr>
        <w:tc>
          <w:tcPr>
            <w:tcW w:w="36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of the goodwill acquired in the Peterbilt of Mobile, Inc. acquisition will be amortized over 15 years for tax purposes.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43" w:name="page44"/>
    <w:bookmarkEnd w:id="43"/>
    <w:p>
      <w:pPr>
        <w:ind w:right="7000" w:firstLine="8"/>
        <w:spacing w:after="0" w:line="496" w:lineRule="auto"/>
        <w:tabs>
          <w:tab w:leader="none" w:pos="671"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UNAUDITED QUARTERLY FINANCIAL DATA</w:t>
      </w:r>
      <w:r>
        <w:rPr>
          <w:rFonts w:ascii="Arial" w:cs="Arial" w:eastAsia="Arial" w:hAnsi="Arial"/>
          <w:sz w:val="18"/>
          <w:szCs w:val="18"/>
          <w:color w:val="auto"/>
        </w:rPr>
        <w:t>: (In thousands, except per share amounts.)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First</w:t>
            </w:r>
          </w:p>
        </w:tc>
        <w:tc>
          <w:tcPr>
            <w:tcW w:w="260" w:type="dxa"/>
            <w:vAlign w:val="bottom"/>
          </w:tcPr>
          <w:p>
            <w:pPr>
              <w:spacing w:after="0"/>
              <w:rPr>
                <w:sz w:val="12"/>
                <w:szCs w:val="12"/>
                <w:color w:val="auto"/>
              </w:rPr>
            </w:pP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2"/>
                <w:szCs w:val="12"/>
                <w:color w:val="auto"/>
              </w:rPr>
            </w:pPr>
          </w:p>
        </w:tc>
        <w:tc>
          <w:tcPr>
            <w:tcW w:w="12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4"/>
                <w:szCs w:val="14"/>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79"/>
              </w:rPr>
              <w:t>2004</w:t>
            </w: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CCEEFF"/>
              <w:bottom w:val="single" w:sz="8" w:color="CCEEFF"/>
            </w:tcBorders>
            <w:shd w:val="clear" w:color="auto" w:fill="CCEEFF"/>
          </w:tcPr>
          <w:p>
            <w:pPr>
              <w:spacing w:after="0"/>
              <w:rPr>
                <w:sz w:val="15"/>
                <w:szCs w:val="15"/>
                <w:color w:val="auto"/>
              </w:rPr>
            </w:pPr>
          </w:p>
        </w:tc>
        <w:tc>
          <w:tcPr>
            <w:tcW w:w="29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gridSpan w:val="2"/>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267,179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296,904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41,319</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45,502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49,788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48,533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6,807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9,548</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Gain (loss) from discontinued operations, net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Earning per share: Basic</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0.28</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 per share: Diluted</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ind w:left="160"/>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0.14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3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CCEEFF"/>
            </w:tcBorders>
            <w:gridSpan w:val="2"/>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402,043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461,817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485,427</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60,947</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71,750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76,359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 from continuing operations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14,926</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21,462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23,897</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12,495</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18,267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20,635</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13,154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7,684</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11,235</w:t>
            </w:r>
          </w:p>
        </w:tc>
        <w:tc>
          <w:tcPr>
            <w:tcW w:w="14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13,154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Earning per share: Basic</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ind w:left="160"/>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0.47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tcPr>
          <w:p>
            <w:pPr>
              <w:spacing w:after="0"/>
              <w:rPr>
                <w:sz w:val="20"/>
                <w:szCs w:val="20"/>
                <w:color w:val="auto"/>
              </w:rPr>
            </w:pPr>
            <w:r>
              <w:rPr>
                <w:rFonts w:ascii="Arial" w:cs="Arial" w:eastAsia="Arial" w:hAnsi="Arial"/>
                <w:sz w:val="18"/>
                <w:szCs w:val="18"/>
                <w:color w:val="auto"/>
              </w:rPr>
              <w:t>Earning per share: Diluted</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4"/>
          </w:tcPr>
          <w:p>
            <w:pPr>
              <w:ind w:left="160"/>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0.31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0.45</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0.53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377"/>
        </w:trPr>
        <w:tc>
          <w:tcPr>
            <w:tcW w:w="360" w:type="dxa"/>
            <w:vAlign w:val="bottom"/>
            <w:gridSpan w:val="2"/>
          </w:tcPr>
          <w:p>
            <w:pPr>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SEGMENTS: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Financial Accounting Standards Board issued Statement of Financial Accounting Standards No. 131, “Disclosures about Segments of an Enterprise and Related Information” (“SFAS 131”). This statement requires that public business enterprises report certain information about operating segments in complete sets of financial statements of the enterprise and in condensed financial statements of interim periods issued to shareholders. It also requires that public business enterprises report certain information about their products and services, the geographic areas in which they operate, and their major customers.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previously mentioned, in November 2002 the Company announced its decision to discontinue its D&amp;D operations. In connection with this decision, financial information related to D&amp;D in 2003 and 2004 is no longer presented as a separate operating segment. Since the disposal of D&amp;D was completed in 2004, there is no related financial activity in 2005.</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currently has two reportable business segments: the Truck segment and the Construction Equipment segment. The truck segment operates a regional network of truck centers that provide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integrated one-stop source for the trucking needs of its customers, including retail sales of new and used heavy-duty and medium-duty trucks; aftermarket parts, service and body shop facilities; and a wide array of financial services, including the financing of new and used truck purchases, insurance products and truck leasing and rentals. The Construction Equipment segment operates a full-service John Deere dealership that serves the Houston, Texas area. Dealership operations include the retail sale of new and used construction equipment, aftermarket parts and service facilities, equipment rentals, and the financing of new and used construction equipment.</w:t>
      </w:r>
    </w:p>
    <w:p>
      <w:pPr>
        <w:spacing w:after="0" w:line="188"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The Company evaluates performance based on income before income taxes not including extraordinary items.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accounts for intersegment sales and transfers as if the sales or transfers were to third parties, that is, at current market prices. There were no material intersegment sales during the years ended December 31, 2003, 2004 and 2005.</w:t>
      </w:r>
    </w:p>
    <w:p>
      <w:pPr>
        <w:spacing w:after="0" w:line="17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reportable segments are strategic business units that offer different products and services. They are managed separately because each business unit requires different technology and marketing strategies. Business units were maintained through expansion and acquisitions. Assets held for sale and goodwill related to discontinued operations are included in the Truck segment for the year ended December 31, 2003. The following table contains summarized information about reportable segment profit or loss and segment assets for the years ended December 31, 2003, 2004 and 2005 (in thousands):</w:t>
      </w:r>
    </w:p>
    <w:p>
      <w:pPr>
        <w:spacing w:after="0" w:line="134"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Truck</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Construction</w:t>
            </w: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All</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Equipment</w:t>
            </w:r>
          </w:p>
        </w:tc>
        <w:tc>
          <w:tcPr>
            <w:tcW w:w="1640" w:type="dxa"/>
            <w:vAlign w:val="bottom"/>
            <w:gridSpan w:val="2"/>
            <w:vMerge w:val="continue"/>
          </w:tcPr>
          <w:p>
            <w:pPr>
              <w:spacing w:after="0"/>
              <w:rPr>
                <w:sz w:val="12"/>
                <w:szCs w:val="12"/>
                <w:color w:val="auto"/>
              </w:rPr>
            </w:pPr>
          </w:p>
        </w:tc>
        <w:tc>
          <w:tcPr>
            <w:tcW w:w="13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Segment</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0" w:gutter="0" w:footer="0" w:header="0"/>
        </w:sectPr>
      </w:pPr>
    </w:p>
    <w:bookmarkStart w:id="44" w:name="page45"/>
    <w:bookmarkEnd w:id="44"/>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2003</w:t>
            </w:r>
          </w:p>
        </w:tc>
        <w:tc>
          <w:tcPr>
            <w:tcW w:w="44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765,565</w:t>
            </w: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41,422</w:t>
            </w:r>
          </w:p>
        </w:tc>
        <w:tc>
          <w:tcPr>
            <w:tcW w:w="4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8,345</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815,332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4"/>
              </w:rPr>
              <w:t>Segment income from continuing operations before income tax</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14,291</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341,037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15,873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9,968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38,431</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2004</w:t>
            </w:r>
          </w:p>
        </w:tc>
        <w:tc>
          <w:tcPr>
            <w:tcW w:w="4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1,039,758</w:t>
            </w: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46,154</w:t>
            </w:r>
          </w:p>
        </w:tc>
        <w:tc>
          <w:tcPr>
            <w:tcW w:w="4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9,067</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1,094,979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4"/>
              </w:rPr>
              <w:t>Segment income from continuing operations before income tax</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26,606</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2,094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534,504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18,863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39,406</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52,784</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471"/>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69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Truck</w:t>
            </w:r>
          </w:p>
        </w:tc>
        <w:tc>
          <w:tcPr>
            <w:tcW w:w="200" w:type="dxa"/>
            <w:vAlign w:val="bottom"/>
          </w:tcPr>
          <w:p>
            <w:pPr>
              <w:spacing w:after="0"/>
              <w:rPr>
                <w:sz w:val="24"/>
                <w:szCs w:val="2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All</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Equipment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2005</w:t>
            </w:r>
          </w:p>
        </w:tc>
        <w:tc>
          <w:tcPr>
            <w:tcW w:w="44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1,793,485</w:t>
            </w:r>
          </w:p>
        </w:tc>
        <w:tc>
          <w:tcPr>
            <w:tcW w:w="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57,731</w:t>
            </w:r>
          </w:p>
        </w:tc>
        <w:tc>
          <w:tcPr>
            <w:tcW w:w="4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13,554</w:t>
            </w:r>
          </w:p>
        </w:tc>
        <w:tc>
          <w:tcPr>
            <w:tcW w:w="30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1,864,770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14,640</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w w:val="94"/>
              </w:rPr>
              <w:t>Segment income from continuing operations before income tax</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64,921</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4,566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1,651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14,237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96,539</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4,075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Expenditures for segment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64,592</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-2035810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-2035810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tire company, an insurance company and a hunting lease operation. None of those segments has ever met any of the quantitative thresholds for determining reportable segments.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There were no changes or disagreements on any matters of accounting principles or financial statement disclosure between the Company and its independent auditors during the two most recent fiscal years or any subsequent interim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accordance with Exchange Act Rules 13a-15 and 15d-15, we carried out an evaluation, under the supervision and with the participation of management, including our Chief Executive Officer and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December 31, 2005 to provide reasonable assurance that information required to be disclosed in our reports filed or submitted under the Exchange Act is recorded, processed, summarized and reported within the time periods specified in the Securities and Exchange Commission’s rules and forms.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There were no changes in the Company’s internal Control Over Financial Reporting that occurred during the quarter ended December 31, 2005 that have materially affected, or are reasonably likely to materially affect, the Company’s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such term is defined in Exchange Act Rules 13a-15(f) and 15d-15(f).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As of December 31, 2005, management assessed the effectiveness of the Company’s internal control over financial reporting based on the criteria for effective internal control over financial reporting established in “Internal Control – Integrated Framework,” issued by the Committee of Sponsoring</w:t>
      </w:r>
    </w:p>
    <w:p>
      <w:pPr>
        <w:sectPr>
          <w:pgSz w:w="11900" w:h="16975" w:orient="portrait"/>
          <w:cols w:equalWidth="0" w:num="1">
            <w:col w:w="11440"/>
          </w:cols>
          <w:pgMar w:left="240" w:top="324" w:right="219" w:bottom="0" w:gutter="0" w:footer="0" w:header="0"/>
        </w:sectPr>
      </w:pPr>
    </w:p>
    <w:bookmarkStart w:id="45" w:name="page46"/>
    <w:bookmarkEnd w:id="45"/>
    <w:p>
      <w:pPr>
        <w:ind w:right="400"/>
        <w:spacing w:after="0" w:line="277" w:lineRule="auto"/>
        <w:rPr>
          <w:sz w:val="20"/>
          <w:szCs w:val="20"/>
          <w:color w:val="auto"/>
        </w:rPr>
      </w:pPr>
      <w:r>
        <w:rPr>
          <w:rFonts w:ascii="Arial" w:cs="Arial" w:eastAsia="Arial" w:hAnsi="Arial"/>
          <w:sz w:val="18"/>
          <w:szCs w:val="18"/>
          <w:color w:val="auto"/>
        </w:rPr>
        <w:t>Organizations (COSO) of the Treadway Commission. Based on the assessment, management determined that the Company maintained effective internal control over financial reporting as of December 31, 2005, based on those criteria.</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Ernst &amp; Young LLP, the independent registered public accounting firm that audited the consolidated financial statements of the Company included in this annual report on Form 10-K, has issued an attestation report on management’s assessment of the effectiveness of the Company’s internal control over financial reporting as of December 31, 2005. The report, which expresses unqualified opinions on management’s assessment and on the effectiveness of the Company’s internal control over financial reporting as of December 31, 2005, is included in this Item 9A under the heading “Attestation 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Attestation Report of Independent Registered Public Accounting Firm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Rush Enterprises, Inc.</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have audited management’s assessment, included in the accompanying Management’s Report on Internal Control Over Financial Reporting, that Rush Enterprises, Inc (the “Corporation”) maintained effective internal control over financial reporting as of December 31, 2005, based on criteria established in “Internal Control — Integrated Framework” issued by the Committee of Sponsoring Organizations of the Treadway Commission (the COSO criteria). The Corporation’s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Corporation’s internal control over financial reporting based on our audit.</w:t>
      </w:r>
    </w:p>
    <w:p>
      <w:pPr>
        <w:spacing w:after="0" w:line="178"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60" w:firstLine="648"/>
        <w:spacing w:after="0" w:line="286" w:lineRule="auto"/>
        <w:rPr>
          <w:sz w:val="20"/>
          <w:szCs w:val="20"/>
          <w:color w:val="auto"/>
        </w:rPr>
      </w:pPr>
      <w:r>
        <w:rPr>
          <w:rFonts w:ascii="Arial" w:cs="Arial" w:eastAsia="Arial" w:hAnsi="Arial"/>
          <w:sz w:val="17"/>
          <w:szCs w:val="17"/>
          <w:color w:val="auto"/>
        </w:rPr>
        <w:t>In our opinion, management’s assessment that Rush Enterprises, Inc. maintained effective internal control over financial reporting as of December 31, 2005, is fairly stated, in all material respects, based on the COSO criteria. Also, in our opinion, Rush Enterprises, Inc. maintained, in all material respects, effective internal control over financial reporting as of December 31, 2005, based on the COSO criteria.</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balance sheets as of December 31, 2005 and 2004 and the related consolidated statements of income, changes in shareholders’ equity, and cash flows for each of the three years in the period ended December 31, 2005 of Rush Enterprises, Inc. and our report dated February 24, 2006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83360" cy="394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148336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information called for by Item 10 of Form 10-K is incorporated herein by reference to such information included in the Company’s Proxy Statement for the 2006 Annual Meeting of Shareholders.</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Code of Ethics</w:t>
      </w:r>
    </w:p>
    <w:p>
      <w:pPr>
        <w:sectPr>
          <w:pgSz w:w="11900" w:h="16838" w:orient="portrait"/>
          <w:cols w:equalWidth="0" w:num="1">
            <w:col w:w="11400"/>
          </w:cols>
          <w:pgMar w:left="240" w:top="125" w:right="259" w:bottom="0" w:gutter="0" w:footer="0" w:header="0"/>
          <w:type w:val="continuous"/>
        </w:sectPr>
      </w:pPr>
    </w:p>
    <w:bookmarkStart w:id="46" w:name="page47"/>
    <w:bookmarkEnd w:id="46"/>
    <w:p>
      <w:pPr>
        <w:ind w:right="100" w:firstLine="648"/>
        <w:spacing w:after="0" w:line="257" w:lineRule="auto"/>
        <w:rPr>
          <w:sz w:val="20"/>
          <w:szCs w:val="20"/>
          <w:color w:val="auto"/>
        </w:rPr>
      </w:pPr>
      <w:r>
        <w:rPr>
          <w:rFonts w:ascii="Arial" w:cs="Arial" w:eastAsia="Arial" w:hAnsi="Arial"/>
          <w:sz w:val="18"/>
          <w:szCs w:val="18"/>
          <w:color w:val="auto"/>
        </w:rPr>
        <w:t>We maintain a code of ethics applicable to our principal executive officer, principal financial officer, principal accounting officer or controller, and other persons performing similar functions. To view this code of ethics free of charge, please visit our website at www.rushenterprises.com (This website address is not intended to function as a hyperlink, and the information contained in our website is not intended to be a part of this filing). We intend to satisfy the disclosure requirements under Item 5.05 of Form 8-K regarding an amendment to, or waiver from, a provision of this code of ethics, if any, by posting such information on our website as set forth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information called for by Item 11 of Form 10-K is incorporated herein by reference to such information included in the Company’s Proxy Statement for the 2006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229"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information called for by Item 12 of Form 10-K, other than the equity compensation plan information set forth below, is incorporated herein by reference to such information included in the Company’s Proxy Statement for the 2006 Annual Meeting of Shareholders.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securities to be</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Weighted-average exercise</w:t>
            </w:r>
          </w:p>
        </w:tc>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available for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compensation plans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outstanding options as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price of outstanding options</w:t>
            </w:r>
          </w:p>
        </w:tc>
        <w:tc>
          <w:tcPr>
            <w:tcW w:w="3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 31, 2005 (excluding</w:t>
            </w:r>
          </w:p>
        </w:tc>
        <w:tc>
          <w:tcPr>
            <w:tcW w:w="0" w:type="dxa"/>
            <w:vAlign w:val="bottom"/>
          </w:tcPr>
          <w:p>
            <w:pPr>
              <w:spacing w:after="0"/>
              <w:rPr>
                <w:sz w:val="1"/>
                <w:szCs w:val="1"/>
                <w:color w:val="auto"/>
              </w:rPr>
            </w:pPr>
          </w:p>
        </w:tc>
      </w:tr>
      <w:tr>
        <w:trPr>
          <w:trHeight w:val="149"/>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 31, 2005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as of December 31, 2005</w:t>
            </w:r>
          </w:p>
        </w:tc>
        <w:tc>
          <w:tcPr>
            <w:tcW w:w="3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securities reflected in column (a))</w:t>
            </w:r>
          </w:p>
        </w:tc>
        <w:tc>
          <w:tcPr>
            <w:tcW w:w="0" w:type="dxa"/>
            <w:vAlign w:val="bottom"/>
          </w:tcPr>
          <w:p>
            <w:pPr>
              <w:spacing w:after="0"/>
              <w:rPr>
                <w:sz w:val="1"/>
                <w:szCs w:val="1"/>
                <w:color w:val="auto"/>
              </w:rPr>
            </w:pPr>
          </w:p>
        </w:tc>
      </w:tr>
      <w:tr>
        <w:trPr>
          <w:trHeight w:val="171"/>
        </w:trPr>
        <w:tc>
          <w:tcPr>
            <w:tcW w:w="3160" w:type="dxa"/>
            <w:vAlign w:val="bottom"/>
            <w:gridSpan w:val="3"/>
            <w:vMerge w:val="continue"/>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(b)</w:t>
            </w:r>
          </w:p>
        </w:tc>
        <w:tc>
          <w:tcPr>
            <w:tcW w:w="3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Equity compensation plans approved by</w:t>
            </w:r>
          </w:p>
        </w:tc>
        <w:tc>
          <w:tcPr>
            <w:tcW w:w="160" w:type="dxa"/>
            <w:vAlign w:val="bottom"/>
            <w:tcBorders>
              <w:top w:val="single" w:sz="8" w:color="CCEEFF"/>
            </w:tcBorders>
            <w:shd w:val="clear" w:color="auto" w:fill="CCEEFF"/>
          </w:tcPr>
          <w:p>
            <w:pPr>
              <w:spacing w:after="0"/>
              <w:rPr>
                <w:sz w:val="16"/>
                <w:szCs w:val="16"/>
                <w:color w:val="auto"/>
              </w:rPr>
            </w:pPr>
          </w:p>
        </w:tc>
        <w:tc>
          <w:tcPr>
            <w:tcW w:w="2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1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1,275,735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w:t>
            </w:r>
          </w:p>
        </w:tc>
        <w:tc>
          <w:tcPr>
            <w:tcW w:w="3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Equity compensation plans not approved</w:t>
            </w:r>
          </w:p>
        </w:tc>
        <w:tc>
          <w:tcPr>
            <w:tcW w:w="2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by security holders (1)</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1,275,735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w:t>
            </w:r>
          </w:p>
        </w:tc>
        <w:tc>
          <w:tcPr>
            <w:tcW w:w="3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1,053,469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780" w:hanging="5612"/>
        <w:spacing w:after="0" w:line="528" w:lineRule="auto"/>
        <w:tabs>
          <w:tab w:leader="none" w:pos="6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one time options granted to certain employees and directors outside any Company plan.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Number of securities to be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0"/>
              </w:rPr>
              <w:t>Weighted-average exercise price</w:t>
            </w:r>
          </w:p>
        </w:tc>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available for 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2"/>
            <w:vMerge w:val="continue"/>
          </w:tcPr>
          <w:p>
            <w:pPr>
              <w:spacing w:after="0"/>
              <w:rPr>
                <w:sz w:val="12"/>
                <w:szCs w:val="12"/>
                <w:color w:val="auto"/>
              </w:rPr>
            </w:pPr>
          </w:p>
        </w:tc>
        <w:tc>
          <w:tcPr>
            <w:tcW w:w="3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compensation plans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outstanding options as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of outstanding options</w:t>
            </w:r>
          </w:p>
        </w:tc>
        <w:tc>
          <w:tcPr>
            <w:tcW w:w="3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 31, 2005 (excluding</w:t>
            </w: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4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 31, 2005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as of December 31, 2005</w:t>
            </w:r>
          </w:p>
        </w:tc>
        <w:tc>
          <w:tcPr>
            <w:tcW w:w="3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securities reflected in column (a))</w:t>
            </w:r>
          </w:p>
        </w:tc>
        <w:tc>
          <w:tcPr>
            <w:tcW w:w="0" w:type="dxa"/>
            <w:vAlign w:val="bottom"/>
          </w:tcPr>
          <w:p>
            <w:pPr>
              <w:spacing w:after="0"/>
              <w:rPr>
                <w:sz w:val="1"/>
                <w:szCs w:val="1"/>
                <w:color w:val="auto"/>
              </w:rPr>
            </w:pPr>
          </w:p>
        </w:tc>
      </w:tr>
      <w:tr>
        <w:trPr>
          <w:trHeight w:val="171"/>
        </w:trPr>
        <w:tc>
          <w:tcPr>
            <w:tcW w:w="3140" w:type="dxa"/>
            <w:vAlign w:val="bottom"/>
            <w:gridSpan w:val="3"/>
            <w:vMerge w:val="continue"/>
          </w:tcPr>
          <w:p>
            <w:pPr>
              <w:spacing w:after="0"/>
              <w:rPr>
                <w:sz w:val="14"/>
                <w:szCs w:val="14"/>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(b)</w:t>
            </w:r>
          </w:p>
        </w:tc>
        <w:tc>
          <w:tcPr>
            <w:tcW w:w="3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Equity compensation plans approved by</w:t>
            </w:r>
          </w:p>
        </w:tc>
        <w:tc>
          <w:tcPr>
            <w:tcW w:w="14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424,084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w:t>
            </w:r>
          </w:p>
        </w:tc>
        <w:tc>
          <w:tcPr>
            <w:tcW w:w="3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Equity compensation plans not approved</w:t>
            </w:r>
          </w:p>
        </w:tc>
        <w:tc>
          <w:tcPr>
            <w:tcW w:w="2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by security holders (1)</w:t>
            </w:r>
          </w:p>
        </w:tc>
        <w:tc>
          <w:tcPr>
            <w:tcW w:w="2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w:t>
            </w:r>
          </w:p>
        </w:tc>
        <w:tc>
          <w:tcPr>
            <w:tcW w:w="3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444,084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CCEEFF"/>
            </w:tcBorders>
            <w:shd w:val="clear" w:color="auto" w:fill="CCEEFF"/>
          </w:tcPr>
          <w:p>
            <w:pPr>
              <w:spacing w:after="0"/>
              <w:rPr>
                <w:sz w:val="19"/>
                <w:szCs w:val="19"/>
                <w:color w:val="auto"/>
              </w:rPr>
            </w:pPr>
          </w:p>
        </w:tc>
        <w:tc>
          <w:tcPr>
            <w:tcW w:w="2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80" w:hanging="672"/>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one time options granted to certain employees and directors outside any Company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information called for by Item 13 of Form 10-K is incorporated herein by reference to such information included in the Company’s Proxy Statement for the 2006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information called for by Item 14 of Form 10-K is incorporated herein by reference to such information included in the Company’s Proxy Statement for the 2006 Annual Meeting of Shareholders.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ectPr>
          <w:pgSz w:w="11900" w:h="16838" w:orient="portrait"/>
          <w:cols w:equalWidth="0" w:num="1">
            <w:col w:w="11420"/>
          </w:cols>
          <w:pgMar w:left="240" w:top="341" w:right="239" w:bottom="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(a)(1) Financial Statements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Included in Item 8 of Part II of this annual report on Form 10-K are the following: Report of Independent Registered Public Accounting Firm; Consolidated Balance Sheets as of December 31, 2004 and 2005; Consolidated Statements of Operations for the years ended December 31, 2003, 2004 and 2005; Consolidated Statements of Shareholders’ Equity for the years ended December 31, 2003, 2004 and 2005; Consolidated Statements of Cash Flows for the years ended December 31, 2003, 2004 and 2005; and Notes to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These schedules are omitted as the required information is inapplicable or the information is presented in the consolidated financial statements or related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80" w:type="dxa"/>
            <w:vAlign w:val="bottom"/>
            <w:vMerge w:val="restart"/>
          </w:tcPr>
          <w:p>
            <w:pPr>
              <w:ind w:left="4400"/>
              <w:spacing w:after="0"/>
              <w:rPr>
                <w:sz w:val="20"/>
                <w:szCs w:val="20"/>
                <w:color w:val="auto"/>
              </w:rPr>
            </w:pPr>
            <w:r>
              <w:rPr>
                <w:rFonts w:ascii="Arial" w:cs="Arial" w:eastAsia="Arial" w:hAnsi="Arial"/>
                <w:sz w:val="14"/>
                <w:szCs w:val="14"/>
                <w:b w:val="1"/>
                <w:bCs w:val="1"/>
                <w:color w:val="auto"/>
              </w:rPr>
              <w:t>Identification of Exhibit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2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Asset Purchase Agreement between Rush Enterprises, Inc. and certain of its subsidiaries, American TruckSource, Inc. and certain of its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subsidiaries, John D. Moore, Jesse T. Kirk and Milo Kirk (incorporated by reference herein from Exhibit 2.1 the Company’s Current Report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on Form 8-K (File No. 000-20797) dated September 16, 2004)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0"/>
              </w:rPr>
              <w:t>First Amendment to the Asset Purchase Agreement between Rush Enterprises, Inc. and certain of its subsidiaries, American TruckSource,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9"/>
              </w:rPr>
              <w:t>and certain of its subsidiaries, John D. Moore, Jesse T. Kirk and Milo Kirk (incorporated by reference herein from Exhibit 2.1 to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Company’s Current Report on Form 8-K (File No. 000-20797) dated November 9, 2004)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Second Amendment to the Asset Purchase Agreement between Rush Enterprises, Inc. and certain of its subsidiaries, American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8"/>
              </w:rPr>
              <w:t>TruckSource, Inc. and certain of its subsidiaries, John D. Moore, Jesse T. Kirk and Milo Kirk (incorporated by reference herein from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2.1 to the Company’s Current Report on Form 8-K (File No. 000-20797) dated December 3, 2004)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5"/>
              </w:rPr>
              <w:t>Restated Articles of Incorporation of the Registrant (incorporated herein by reference to Exhibit 3.1 of the Company’s Annual Report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Form 10-K (File No. 000-20797) for the year ended December 31, 2004)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Bylaws of the Registrant, as amended (incorporated herein by reference to Exhibit 3.3 of the Company’s Registration Statement on Form 8-A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filed July 9,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Specimen of certificate representing Old Common Stock (now Class B Common Stock), $.01 par value, of the Registrant (incorporated herein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by reference to Exhibit 4.1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Rights Agreement dated April 8, 1996 between Rush Enterprises, Inc. and American Stock Transfer &amp; Trust Company, Trustee (incorporated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herein by reference to Exhibit 4.3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0"/>
              </w:rPr>
              <w:t>Specimen of certificate representing Class A Common Stock, $.01 par value, of the Registrant (incorporated herein by reference to Exhibit 4.4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of the Company’s Registration Statement on Form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8-A filed July 9, 2002)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80" w:type="dxa"/>
            <w:vAlign w:val="bottom"/>
          </w:tcPr>
          <w:p>
            <w:pPr>
              <w:ind w:left="4500"/>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8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2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66"/>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5"/>
              </w:rPr>
              <w:t>Right of First Refusal dated April 1, 1996 between Peterbilt Motors Company and W. Marvin Rush (incorporated herein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10.76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7"/>
              </w:rPr>
              <w:t>Right of First Refusal dated April 1, 1996 between Peterbilt Motors Company and Barbara Rush (incorporated herein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10.77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3"/>
              </w:rPr>
              <w:t>Right of First Refusal dated April 1, 1996 between Peterbilt Motors Company and W.M. “Rusty” Rush (incorporated herein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10.78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9"/>
              </w:rPr>
              <w:t>Right of First Refusal dated April 1, 1996 between Peterbilt Motors Company and Robin Rush (incorporated herein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10.79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1"/>
              </w:rPr>
              <w:t>Form of Indemnity Agreement between Rush Enterprises, Inc. and the members of its Board of Directors (incorporated herein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10.80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2"/>
              </w:rPr>
              <w:t>Form of Employment Agreement between W. Marvin Rush and W.M. “Rusty” Rush (incorporated herein by reference to Exhibit 10.81 of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5"/>
              </w:rPr>
              <w:t>Form of Employment Agreement between Rush Enterprises, Inc., and certain of its Vice Presidents (incorporated herein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Exhibit 10.82 of the Company’s Registration Statement No. 333-03346 on Form S-1 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Tax Indemnification Agreement between Rush Enterprises, Inc., Associated Acceptance, Inc. and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80" w:type="dxa"/>
            <w:vAlign w:val="bottom"/>
          </w:tcPr>
          <w:p>
            <w:pPr>
              <w:spacing w:after="0"/>
              <w:rPr>
                <w:sz w:val="20"/>
                <w:szCs w:val="20"/>
                <w:color w:val="auto"/>
              </w:rPr>
            </w:pPr>
            <w:r>
              <w:rPr>
                <w:rFonts w:ascii="Arial" w:cs="Arial" w:eastAsia="Arial" w:hAnsi="Arial"/>
                <w:sz w:val="18"/>
                <w:szCs w:val="18"/>
                <w:color w:val="auto"/>
                <w:w w:val="94"/>
              </w:rPr>
              <w:t>W. Marvin Rush (incorporated herein by reference to Exhibit 10.83 of the Company’s Registration Statement No. 333-03346 on Form S-1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80" w:type="dxa"/>
            <w:vAlign w:val="bottom"/>
          </w:tcPr>
          <w:p>
            <w:pPr>
              <w:spacing w:after="0"/>
              <w:rPr>
                <w:sz w:val="20"/>
                <w:szCs w:val="20"/>
                <w:color w:val="auto"/>
              </w:rPr>
            </w:pPr>
            <w:r>
              <w:rPr>
                <w:rFonts w:ascii="Arial" w:cs="Arial" w:eastAsia="Arial" w:hAnsi="Arial"/>
                <w:sz w:val="18"/>
                <w:szCs w:val="18"/>
                <w:color w:val="auto"/>
              </w:rPr>
              <w:t>filed April 10, 1996)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-3665220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-3665220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48" w:name="page49"/>
    <w:bookmarkEnd w:id="48"/>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Rush Enterprises, Inc. Long-Term Incentive Plan, as amended (incorporated herein by reference to Exhibit 4.1 of the Company’s Registration</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Statement No. 333-117305 on Form S-8 filed July 12, 2004)</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Form of Rush Enterprises, Inc. Long-Term Incentive Plan Stock Option Agreement (incorporated herein by reference to Exhibit 10.85 of the</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Company’s Registration Statement No. 333-03346 on Form S-1 filed April 10, 1996)</w:t>
            </w:r>
          </w:p>
        </w:tc>
      </w:tr>
      <w:tr>
        <w:trPr>
          <w:trHeight w:val="424"/>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 xml:space="preserve">Rush Enterprises, Inc. Amended and Restated 1997 Non-Employee Director Stock Option Plan, as amended </w:t>
            </w:r>
            <w:r>
              <w:rPr>
                <w:rFonts w:ascii="Arial" w:cs="Arial" w:eastAsia="Arial" w:hAnsi="Arial"/>
                <w:sz w:val="17"/>
                <w:szCs w:val="17"/>
                <w:color w:val="auto"/>
                <w:w w:val="91"/>
              </w:rPr>
              <w:t>(incorporated herein by reference</w:t>
            </w:r>
          </w:p>
        </w:tc>
      </w:tr>
      <w:tr>
        <w:trPr>
          <w:trHeight w:val="222"/>
        </w:trPr>
        <w:tc>
          <w:tcPr>
            <w:tcW w:w="88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to Exhibit 4.3 of the Company’s Registration Statement No. 333-117305 on Form S-8 filed July 12, 2004)</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60" w:type="dxa"/>
            <w:vAlign w:val="bottom"/>
          </w:tcPr>
          <w:p>
            <w:pPr>
              <w:ind w:left="240"/>
              <w:spacing w:after="0"/>
              <w:rPr>
                <w:sz w:val="20"/>
                <w:szCs w:val="20"/>
                <w:color w:val="auto"/>
              </w:rPr>
            </w:pPr>
            <w:r>
              <w:rPr>
                <w:rFonts w:ascii="Arial" w:cs="Arial" w:eastAsia="Arial" w:hAnsi="Arial"/>
                <w:sz w:val="18"/>
                <w:szCs w:val="18"/>
                <w:color w:val="auto"/>
                <w:w w:val="94"/>
              </w:rPr>
              <w:t xml:space="preserve">Form of Rush Enterprises, Inc. 1997 Non-Employee Director Stock Option Agreement </w:t>
            </w:r>
            <w:r>
              <w:rPr>
                <w:rFonts w:ascii="Arial" w:cs="Arial" w:eastAsia="Arial" w:hAnsi="Arial"/>
                <w:sz w:val="17"/>
                <w:szCs w:val="17"/>
                <w:color w:val="auto"/>
                <w:w w:val="94"/>
              </w:rPr>
              <w:t>(incorporated herein by reference to Exhibit 4.4 of the</w:t>
            </w:r>
          </w:p>
        </w:tc>
      </w:tr>
      <w:tr>
        <w:trPr>
          <w:trHeight w:val="222"/>
        </w:trPr>
        <w:tc>
          <w:tcPr>
            <w:tcW w:w="88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Company’s Registration Statement No. 333-117305 on Form S-8 filed July 12, 2004)</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60" w:type="dxa"/>
            <w:vAlign w:val="bottom"/>
          </w:tcPr>
          <w:p>
            <w:pPr>
              <w:ind w:left="240"/>
              <w:spacing w:after="0"/>
              <w:rPr>
                <w:sz w:val="20"/>
                <w:szCs w:val="20"/>
                <w:color w:val="auto"/>
              </w:rPr>
            </w:pPr>
            <w:r>
              <w:rPr>
                <w:rFonts w:ascii="Arial" w:cs="Arial" w:eastAsia="Arial" w:hAnsi="Arial"/>
                <w:sz w:val="18"/>
                <w:szCs w:val="18"/>
                <w:color w:val="auto"/>
                <w:w w:val="93"/>
              </w:rPr>
              <w:t xml:space="preserve">Non-Qualified Stock Option Agreement between Rush Enterprises, Inc. and J.M. Lowe, Jr. </w:t>
            </w:r>
            <w:r>
              <w:rPr>
                <w:rFonts w:ascii="Arial" w:cs="Arial" w:eastAsia="Arial" w:hAnsi="Arial"/>
                <w:sz w:val="17"/>
                <w:szCs w:val="17"/>
                <w:color w:val="auto"/>
                <w:w w:val="93"/>
              </w:rPr>
              <w:t>(incorporated herein by reference to Exhibit 4.5 of</w:t>
            </w:r>
          </w:p>
        </w:tc>
      </w:tr>
      <w:tr>
        <w:trPr>
          <w:trHeight w:val="222"/>
        </w:trPr>
        <w:tc>
          <w:tcPr>
            <w:tcW w:w="88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the Company’s Registration Statement No. 333-117305 on Form S-8 filed July 12, 2004)</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60" w:type="dxa"/>
            <w:vAlign w:val="bottom"/>
          </w:tcPr>
          <w:p>
            <w:pPr>
              <w:ind w:left="240"/>
              <w:spacing w:after="0"/>
              <w:rPr>
                <w:sz w:val="20"/>
                <w:szCs w:val="20"/>
                <w:color w:val="auto"/>
              </w:rPr>
            </w:pPr>
            <w:r>
              <w:rPr>
                <w:rFonts w:ascii="Arial" w:cs="Arial" w:eastAsia="Arial" w:hAnsi="Arial"/>
                <w:sz w:val="18"/>
                <w:szCs w:val="18"/>
                <w:color w:val="auto"/>
                <w:w w:val="97"/>
              </w:rPr>
              <w:t>Non-Qualified Stock Option Agreement between Rush Enterprises, Inc. and Ronald J. Krause, John D. Rock and Harold D. Marshall</w:t>
            </w:r>
          </w:p>
        </w:tc>
      </w:tr>
      <w:tr>
        <w:trPr>
          <w:trHeight w:val="222"/>
        </w:trPr>
        <w:tc>
          <w:tcPr>
            <w:tcW w:w="88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89"/>
              </w:rPr>
              <w:t>(incorporated herein by reference to Exhibit 4.2 of the Company’s Registration Statement No. 333-121355 on Form S-8 filed December 17, 2004)</w:t>
            </w:r>
          </w:p>
        </w:tc>
      </w:tr>
      <w:tr>
        <w:trPr>
          <w:trHeight w:val="426"/>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 xml:space="preserve">The Rush Enterprises, Inc. 2004 Employee Stock Purchase Plan, as amended </w:t>
            </w:r>
            <w:r>
              <w:rPr>
                <w:rFonts w:ascii="Arial" w:cs="Arial" w:eastAsia="Arial" w:hAnsi="Arial"/>
                <w:sz w:val="17"/>
                <w:szCs w:val="17"/>
                <w:color w:val="auto"/>
                <w:w w:val="91"/>
              </w:rPr>
              <w:t>(incorporated herein by reference to Exhibit 4.1 of the Company’s</w:t>
            </w:r>
          </w:p>
        </w:tc>
      </w:tr>
      <w:tr>
        <w:trPr>
          <w:trHeight w:val="222"/>
        </w:trPr>
        <w:tc>
          <w:tcPr>
            <w:tcW w:w="880" w:type="dxa"/>
            <w:vAlign w:val="bottom"/>
          </w:tcPr>
          <w:p>
            <w:pPr>
              <w:spacing w:after="0"/>
              <w:rPr>
                <w:sz w:val="19"/>
                <w:szCs w:val="19"/>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Registration Statement No. 333-121355 on Form S-8 filed December 17, 2004)</w:t>
            </w:r>
          </w:p>
        </w:tc>
      </w:tr>
      <w:tr>
        <w:trPr>
          <w:trHeight w:val="420"/>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Form of dealer agreement between Peterbilt Motors Company and Rush Truck Centers (incorporated herein by reference to Exhibit 10.18 of</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 xml:space="preserve">the Company’s Form 10-K (File No. 000-20797) </w:t>
            </w:r>
            <w:r>
              <w:rPr>
                <w:rFonts w:ascii="Arial" w:cs="Arial" w:eastAsia="Arial" w:hAnsi="Arial"/>
                <w:sz w:val="17"/>
                <w:szCs w:val="17"/>
                <w:color w:val="auto"/>
              </w:rPr>
              <w:t>for the year ended December 31, 1999)</w:t>
            </w:r>
          </w:p>
        </w:tc>
      </w:tr>
      <w:tr>
        <w:trPr>
          <w:trHeight w:val="432"/>
        </w:trPr>
        <w:tc>
          <w:tcPr>
            <w:tcW w:w="88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8"/>
                <w:szCs w:val="18"/>
                <w:color w:val="auto"/>
              </w:rPr>
              <w:t>74</w:t>
            </w:r>
          </w:p>
        </w:tc>
      </w:tr>
      <w:tr>
        <w:trPr>
          <w:trHeight w:val="118"/>
        </w:trPr>
        <w:tc>
          <w:tcPr>
            <w:tcW w:w="880" w:type="dxa"/>
            <w:vAlign w:val="bottom"/>
            <w:tcBorders>
              <w:bottom w:val="single" w:sz="8" w:color="808080"/>
            </w:tcBorders>
          </w:tcPr>
          <w:p>
            <w:pPr>
              <w:spacing w:after="0"/>
              <w:rPr>
                <w:sz w:val="10"/>
                <w:szCs w:val="10"/>
                <w:color w:val="auto"/>
              </w:rPr>
            </w:pPr>
          </w:p>
        </w:tc>
        <w:tc>
          <w:tcPr>
            <w:tcW w:w="10560" w:type="dxa"/>
            <w:vAlign w:val="bottom"/>
            <w:tcBorders>
              <w:bottom w:val="single" w:sz="8" w:color="808080"/>
            </w:tcBorders>
          </w:tcPr>
          <w:p>
            <w:pPr>
              <w:spacing w:after="0"/>
              <w:rPr>
                <w:sz w:val="10"/>
                <w:szCs w:val="10"/>
                <w:color w:val="auto"/>
              </w:rPr>
            </w:pPr>
          </w:p>
        </w:tc>
      </w:tr>
      <w:tr>
        <w:trPr>
          <w:trHeight w:val="766"/>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Wholesale Security Agreement, dated September 20, 2005, by and among General Electric Capital Corporation and Rush Truck Centers of</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5"/>
              </w:rPr>
              <w:t>Alabama, Inc., Rush Truck Centers of Arizona, Inc., Rush Truck Centers of California, Inc., Rush Truck Centers of Colorado, Inc., Rush</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6"/>
              </w:rPr>
              <w:t>Truck Centers of Florida, Inc., Rush Truck Centers of New Mexico, Inc., Rush Truck Centers of Oklahoma, Inc., Rush Truck Centers of</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0"/>
              </w:rPr>
              <w:t>Tennessee, Inc., and Rush Truck Centers of Texas, L.P. (incorporated herein by reference to Exhibit 10.1 of the Company’s Current Report on</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Form 8-K (File No. 000-20797) filed September 23,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60" w:type="dxa"/>
            <w:vAlign w:val="bottom"/>
          </w:tcPr>
          <w:p>
            <w:pPr>
              <w:ind w:left="240"/>
              <w:spacing w:after="0"/>
              <w:rPr>
                <w:sz w:val="20"/>
                <w:szCs w:val="20"/>
                <w:color w:val="auto"/>
              </w:rPr>
            </w:pPr>
            <w:r>
              <w:rPr>
                <w:rFonts w:ascii="Arial" w:cs="Arial" w:eastAsia="Arial" w:hAnsi="Arial"/>
                <w:sz w:val="18"/>
                <w:szCs w:val="18"/>
                <w:color w:val="auto"/>
                <w:w w:val="91"/>
              </w:rPr>
              <w:t>Addendum to Wholesale Security Agreement, dated September 20, 2005, by and among General Electric Capital Corporation and Rush Truck</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Centers of Alabama, Inc., Rush Truck Centers of Arizona, Inc., Rush Truck Centers of California, Inc., Rush Truck Centers of Colorado, Inc.,</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Rush Truck Centers of Florida, Inc., Rush Truck Centers of New Mexico, Inc., Rush Truck Centers of Oklahoma, Inc., Rush Truck Centers of</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0"/>
              </w:rPr>
              <w:t>Tennessee, Inc., and Rush Truck Centers of Texas, L.P. (incorporated herein by reference to Exhibit 10.2 of the Company’s Current Report on</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Form 8-K (File No. 000-20797) filed September 23,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60" w:type="dxa"/>
            <w:vAlign w:val="bottom"/>
          </w:tcPr>
          <w:p>
            <w:pPr>
              <w:ind w:left="240"/>
              <w:spacing w:after="0"/>
              <w:rPr>
                <w:sz w:val="20"/>
                <w:szCs w:val="20"/>
                <w:color w:val="auto"/>
              </w:rPr>
            </w:pPr>
            <w:r>
              <w:rPr>
                <w:rFonts w:ascii="Arial" w:cs="Arial" w:eastAsia="Arial" w:hAnsi="Arial"/>
                <w:sz w:val="18"/>
                <w:szCs w:val="18"/>
                <w:color w:val="auto"/>
                <w:w w:val="94"/>
              </w:rPr>
              <w:t>Agreement Amending the Wholesale Security Agreement and Conditionally the Sale of Collateral on a Delayed Payment Privilege Basis,</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0"/>
              </w:rPr>
              <w:t>dated September 20, 2005, by and among General Electric Capital Corporation and Rush Truck Centers of Alabama, Inc., Rush Truck Centers</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5"/>
              </w:rPr>
              <w:t>of Arizona, Inc., Rush Truck Centers of California, Inc., Rush Truck Centers of Colorado, Inc., Rush Truck Centers of Florida, Inc., Rush</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Truck Centers of New Mexico, Inc., Rush Truck Centers of Oklahoma, Inc., Rush Truck Centers of Tennessee, Inc., and Rush Truck Centers</w:t>
            </w:r>
          </w:p>
        </w:tc>
      </w:tr>
      <w:tr>
        <w:trPr>
          <w:trHeight w:val="216"/>
        </w:trPr>
        <w:tc>
          <w:tcPr>
            <w:tcW w:w="880" w:type="dxa"/>
            <w:vAlign w:val="bottom"/>
          </w:tcPr>
          <w:p>
            <w:pPr>
              <w:spacing w:after="0"/>
              <w:rPr>
                <w:sz w:val="18"/>
                <w:szCs w:val="18"/>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5"/>
              </w:rPr>
              <w:t>of Texas, L.P. (incorporated herein by reference to Exhibit 10.3 of the Company’s Current Report on Form 8-K (File No. 000-20797) filed</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September 23, 2005).</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60" w:type="dxa"/>
            <w:vAlign w:val="bottom"/>
          </w:tcPr>
          <w:p>
            <w:pPr>
              <w:ind w:left="240"/>
              <w:spacing w:after="0"/>
              <w:rPr>
                <w:sz w:val="20"/>
                <w:szCs w:val="20"/>
                <w:color w:val="auto"/>
              </w:rPr>
            </w:pPr>
            <w:r>
              <w:rPr>
                <w:rFonts w:ascii="Arial" w:cs="Arial" w:eastAsia="Arial" w:hAnsi="Arial"/>
                <w:sz w:val="18"/>
                <w:szCs w:val="18"/>
                <w:color w:val="auto"/>
                <w:w w:val="90"/>
              </w:rPr>
              <w:t>Continuing Guaranty, dated September 20, 2005, by and among General Electric Capital Corporation and Rush Enterprises, Inc. (incorporated</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w w:val="99"/>
              </w:rPr>
              <w:t>herein by reference to Exhibit 10.4 of the Company’s Current Report on Form 8-K (File No. 000-20797) filed September 23, 2005).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21.1*</w:t>
            </w:r>
          </w:p>
        </w:tc>
        <w:tc>
          <w:tcPr>
            <w:tcW w:w="10560" w:type="dxa"/>
            <w:vAlign w:val="bottom"/>
          </w:tcPr>
          <w:p>
            <w:pPr>
              <w:ind w:left="240"/>
              <w:spacing w:after="0"/>
              <w:rPr>
                <w:sz w:val="20"/>
                <w:szCs w:val="20"/>
                <w:color w:val="auto"/>
              </w:rPr>
            </w:pPr>
            <w:r>
              <w:rPr>
                <w:rFonts w:ascii="Arial" w:cs="Arial" w:eastAsia="Arial" w:hAnsi="Arial"/>
                <w:sz w:val="18"/>
                <w:szCs w:val="18"/>
                <w:color w:val="auto"/>
              </w:rPr>
              <w:t>Subsidiaries of the Company</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40"/>
              <w:spacing w:after="0"/>
              <w:rPr>
                <w:sz w:val="20"/>
                <w:szCs w:val="20"/>
                <w:color w:val="auto"/>
              </w:rPr>
            </w:pPr>
            <w:r>
              <w:rPr>
                <w:rFonts w:ascii="Arial" w:cs="Arial" w:eastAsia="Arial" w:hAnsi="Arial"/>
                <w:sz w:val="18"/>
                <w:szCs w:val="18"/>
                <w:color w:val="auto"/>
                <w:w w:val="92"/>
              </w:rPr>
              <w:t>Certification of Chairman and Chief Executive Officer pursuant to Rules 13a-14(a) and 15d-14(a), as adopted pursuant to Section 302 of the</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Sarbanes-Oxley Act of 2002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240"/>
              <w:spacing w:after="0"/>
              <w:rPr>
                <w:sz w:val="20"/>
                <w:szCs w:val="20"/>
                <w:color w:val="auto"/>
              </w:rPr>
            </w:pPr>
            <w:r>
              <w:rPr>
                <w:rFonts w:ascii="Arial" w:cs="Arial" w:eastAsia="Arial" w:hAnsi="Arial"/>
                <w:sz w:val="18"/>
                <w:szCs w:val="18"/>
                <w:color w:val="auto"/>
                <w:w w:val="97"/>
              </w:rPr>
              <w:t>Certification of Senior Vice President and Chief Financial Officer pursuant to Rules 13a-14(a) and 15d-14(a), as adopted pursuant to</w:t>
            </w:r>
          </w:p>
        </w:tc>
      </w:tr>
      <w:tr>
        <w:trPr>
          <w:trHeight w:val="230"/>
        </w:trPr>
        <w:tc>
          <w:tcPr>
            <w:tcW w:w="880" w:type="dxa"/>
            <w:vAlign w:val="bottom"/>
          </w:tcPr>
          <w:p>
            <w:pPr>
              <w:spacing w:after="0"/>
              <w:rPr>
                <w:sz w:val="20"/>
                <w:szCs w:val="20"/>
                <w:color w:val="auto"/>
              </w:rPr>
            </w:pPr>
          </w:p>
        </w:tc>
        <w:tc>
          <w:tcPr>
            <w:tcW w:w="105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24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-5174615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-5174615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660" w:right="120" w:hanging="652"/>
        <w:spacing w:after="0" w:line="255" w:lineRule="auto"/>
        <w:tabs>
          <w:tab w:leader="none" w:pos="6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45" w:orient="portrait"/>
          <w:cols w:equalWidth="0" w:num="1">
            <w:col w:w="11440"/>
          </w:cols>
          <w:pgMar w:left="240" w:top="125" w:right="2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ectPr>
          <w:pgSz w:w="11900" w:h="16845" w:orient="portrait"/>
          <w:cols w:equalWidth="0" w:num="1">
            <w:col w:w="11440"/>
          </w:cols>
          <w:pgMar w:left="240" w:top="125" w:right="219" w:bottom="0" w:gutter="0" w:footer="0" w:header="0"/>
          <w:type w:val="continuous"/>
        </w:sectPr>
      </w:pPr>
    </w:p>
    <w:bookmarkStart w:id="49" w:name="page50"/>
    <w:bookmarkEnd w:id="49"/>
    <w:p>
      <w:pPr>
        <w:ind w:right="24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3820" w:type="dxa"/>
        <w:tblCellMar>
          <w:top w:w="0" w:type="dxa"/>
          <w:left w:w="0" w:type="dxa"/>
          <w:bottom w:w="0" w:type="dxa"/>
          <w:right w:w="0" w:type="dxa"/>
        </w:tblCellMar>
      </w:tblP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RUSH ENTERPRISES, INC.</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3240" w:type="dxa"/>
            <w:vAlign w:val="bottom"/>
          </w:tcPr>
          <w:p>
            <w:pPr>
              <w:ind w:left="220"/>
              <w:spacing w:after="0"/>
              <w:rPr>
                <w:sz w:val="20"/>
                <w:szCs w:val="20"/>
                <w:color w:val="auto"/>
              </w:rPr>
            </w:pPr>
            <w:r>
              <w:rPr>
                <w:rFonts w:ascii="Arial" w:cs="Arial" w:eastAsia="Arial" w:hAnsi="Arial"/>
                <w:sz w:val="18"/>
                <w:szCs w:val="18"/>
                <w:color w:val="auto"/>
              </w:rPr>
              <w:t>/s/  W. M.”RUSTY” RUSH</w:t>
            </w:r>
          </w:p>
        </w:tc>
        <w:tc>
          <w:tcPr>
            <w:tcW w:w="2100" w:type="dxa"/>
            <w:vAlign w:val="bottom"/>
            <w:gridSpan w:val="2"/>
          </w:tcPr>
          <w:p>
            <w:pPr>
              <w:ind w:left="480"/>
              <w:spacing w:after="0"/>
              <w:rPr>
                <w:sz w:val="20"/>
                <w:szCs w:val="20"/>
                <w:color w:val="auto"/>
              </w:rPr>
            </w:pPr>
            <w:r>
              <w:rPr>
                <w:rFonts w:ascii="Arial" w:cs="Arial" w:eastAsia="Arial" w:hAnsi="Arial"/>
                <w:sz w:val="18"/>
                <w:szCs w:val="18"/>
                <w:color w:val="auto"/>
                <w:w w:val="92"/>
              </w:rPr>
              <w:t>Date: March 13, 2006</w:t>
            </w:r>
          </w:p>
        </w:tc>
      </w:tr>
      <w:tr>
        <w:trPr>
          <w:trHeight w:val="195"/>
        </w:trPr>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M. “Rusty” Rush</w:t>
            </w:r>
          </w:p>
        </w:tc>
        <w:tc>
          <w:tcPr>
            <w:tcW w:w="480" w:type="dxa"/>
            <w:vAlign w:val="bottom"/>
            <w:tcBorders>
              <w:top w:val="single" w:sz="8" w:color="auto"/>
            </w:tcBorders>
          </w:tcPr>
          <w:p>
            <w:pPr>
              <w:spacing w:after="0"/>
              <w:rPr>
                <w:sz w:val="16"/>
                <w:szCs w:val="16"/>
                <w:color w:val="auto"/>
              </w:rPr>
            </w:pPr>
          </w:p>
        </w:tc>
        <w:tc>
          <w:tcPr>
            <w:tcW w:w="1620" w:type="dxa"/>
            <w:vAlign w:val="bottom"/>
          </w:tcPr>
          <w:p>
            <w:pPr>
              <w:spacing w:after="0"/>
              <w:rPr>
                <w:sz w:val="16"/>
                <w:szCs w:val="16"/>
                <w:color w:val="auto"/>
              </w:rPr>
            </w:pPr>
          </w:p>
        </w:tc>
      </w:tr>
      <w:tr>
        <w:trPr>
          <w:trHeight w:val="230"/>
        </w:trPr>
        <w:tc>
          <w:tcPr>
            <w:tcW w:w="320" w:type="dxa"/>
            <w:vAlign w:val="bottom"/>
          </w:tcPr>
          <w:p>
            <w:pPr>
              <w:spacing w:after="0"/>
              <w:rPr>
                <w:sz w:val="20"/>
                <w:szCs w:val="20"/>
                <w:color w:val="auto"/>
              </w:rPr>
            </w:pPr>
          </w:p>
        </w:tc>
        <w:tc>
          <w:tcPr>
            <w:tcW w:w="3320" w:type="dxa"/>
            <w:vAlign w:val="bottom"/>
            <w:gridSpan w:val="2"/>
          </w:tcPr>
          <w:p>
            <w:pPr>
              <w:ind w:left="80"/>
              <w:spacing w:after="0"/>
              <w:rPr>
                <w:sz w:val="20"/>
                <w:szCs w:val="20"/>
                <w:color w:val="auto"/>
              </w:rPr>
            </w:pPr>
            <w:r>
              <w:rPr>
                <w:rFonts w:ascii="Arial" w:cs="Arial" w:eastAsia="Arial" w:hAnsi="Arial"/>
                <w:sz w:val="18"/>
                <w:szCs w:val="18"/>
                <w:color w:val="auto"/>
              </w:rPr>
              <w:t>President and Chief Executive Officer</w:t>
            </w: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800" w:type="dxa"/>
            <w:vAlign w:val="bottom"/>
          </w:tcPr>
          <w:p>
            <w:pPr>
              <w:spacing w:after="0"/>
              <w:rPr>
                <w:sz w:val="14"/>
                <w:szCs w:val="14"/>
                <w:color w:val="auto"/>
              </w:rPr>
            </w:pPr>
          </w:p>
        </w:tc>
        <w:tc>
          <w:tcPr>
            <w:tcW w:w="5140" w:type="dxa"/>
            <w:vAlign w:val="bottom"/>
            <w:gridSpan w:val="2"/>
          </w:tcPr>
          <w:p>
            <w:pPr>
              <w:ind w:left="1920"/>
              <w:spacing w:after="0"/>
              <w:rPr>
                <w:sz w:val="20"/>
                <w:szCs w:val="20"/>
                <w:color w:val="auto"/>
              </w:rPr>
            </w:pPr>
            <w:r>
              <w:rPr>
                <w:rFonts w:ascii="Arial" w:cs="Arial" w:eastAsia="Arial" w:hAnsi="Arial"/>
                <w:sz w:val="14"/>
                <w:szCs w:val="14"/>
                <w:b w:val="1"/>
                <w:bCs w:val="1"/>
                <w:color w:val="auto"/>
              </w:rPr>
              <w:t>Capacity</w:t>
            </w: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740" w:type="dxa"/>
            <w:vAlign w:val="bottom"/>
            <w:gridSpan w:val="2"/>
          </w:tcPr>
          <w:p>
            <w:pPr>
              <w:spacing w:after="0"/>
              <w:rPr>
                <w:sz w:val="20"/>
                <w:szCs w:val="20"/>
                <w:color w:val="auto"/>
              </w:rPr>
            </w:pPr>
            <w:r>
              <w:rPr>
                <w:rFonts w:ascii="Arial" w:cs="Arial" w:eastAsia="Arial" w:hAnsi="Arial"/>
                <w:sz w:val="18"/>
                <w:szCs w:val="18"/>
                <w:color w:val="auto"/>
              </w:rPr>
              <w:t>/s/ W. MARVIN RUSH</w:t>
            </w:r>
          </w:p>
        </w:tc>
        <w:tc>
          <w:tcPr>
            <w:tcW w:w="8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Chairman of the Board and Director</w:t>
            </w:r>
          </w:p>
        </w:tc>
        <w:tc>
          <w:tcPr>
            <w:tcW w:w="740" w:type="dxa"/>
            <w:vAlign w:val="bottom"/>
          </w:tcPr>
          <w:p>
            <w:pPr>
              <w:spacing w:after="0"/>
              <w:rPr>
                <w:sz w:val="20"/>
                <w:szCs w:val="20"/>
                <w:color w:val="auto"/>
              </w:rPr>
            </w:pPr>
            <w:r>
              <w:rPr>
                <w:rFonts w:ascii="Arial" w:cs="Arial" w:eastAsia="Arial" w:hAnsi="Arial"/>
                <w:sz w:val="18"/>
                <w:szCs w:val="18"/>
                <w:color w:val="auto"/>
                <w:w w:val="89"/>
              </w:rPr>
              <w:t>March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 Marvin Rush</w:t>
            </w:r>
          </w:p>
        </w:tc>
        <w:tc>
          <w:tcPr>
            <w:tcW w:w="8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40" w:type="dxa"/>
            <w:vAlign w:val="bottom"/>
            <w:gridSpan w:val="2"/>
          </w:tcPr>
          <w:p>
            <w:pPr>
              <w:spacing w:after="0"/>
              <w:rPr>
                <w:sz w:val="20"/>
                <w:szCs w:val="20"/>
                <w:color w:val="auto"/>
              </w:rPr>
            </w:pPr>
            <w:r>
              <w:rPr>
                <w:rFonts w:ascii="Arial" w:cs="Arial" w:eastAsia="Arial" w:hAnsi="Arial"/>
                <w:sz w:val="18"/>
                <w:szCs w:val="18"/>
                <w:color w:val="auto"/>
              </w:rPr>
              <w:t>/s/ W. M. “RUSTY” RUSH</w:t>
            </w:r>
          </w:p>
        </w:tc>
        <w:tc>
          <w:tcPr>
            <w:tcW w:w="8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740" w:type="dxa"/>
            <w:vAlign w:val="bottom"/>
          </w:tcPr>
          <w:p>
            <w:pPr>
              <w:spacing w:after="0"/>
              <w:rPr>
                <w:sz w:val="20"/>
                <w:szCs w:val="20"/>
                <w:color w:val="auto"/>
              </w:rPr>
            </w:pPr>
            <w:r>
              <w:rPr>
                <w:rFonts w:ascii="Arial" w:cs="Arial" w:eastAsia="Arial" w:hAnsi="Arial"/>
                <w:sz w:val="18"/>
                <w:szCs w:val="18"/>
                <w:color w:val="auto"/>
                <w:w w:val="89"/>
              </w:rPr>
              <w:t>March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Director (Principal Executive Officer)</w:t>
            </w:r>
          </w:p>
        </w:tc>
        <w:tc>
          <w:tcPr>
            <w:tcW w:w="7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 M. “Rusty” Rush</w:t>
            </w:r>
          </w:p>
        </w:tc>
        <w:tc>
          <w:tcPr>
            <w:tcW w:w="800" w:type="dxa"/>
            <w:vAlign w:val="bottom"/>
          </w:tcPr>
          <w:p>
            <w:pPr>
              <w:spacing w:after="0"/>
              <w:rPr>
                <w:sz w:val="19"/>
                <w:szCs w:val="19"/>
                <w:color w:val="auto"/>
              </w:rPr>
            </w:pPr>
          </w:p>
        </w:tc>
        <w:tc>
          <w:tcPr>
            <w:tcW w:w="51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40" w:type="dxa"/>
            <w:vAlign w:val="bottom"/>
            <w:gridSpan w:val="2"/>
          </w:tcPr>
          <w:p>
            <w:pPr>
              <w:spacing w:after="0"/>
              <w:rPr>
                <w:sz w:val="20"/>
                <w:szCs w:val="20"/>
                <w:color w:val="auto"/>
              </w:rPr>
            </w:pPr>
            <w:r>
              <w:rPr>
                <w:rFonts w:ascii="Arial" w:cs="Arial" w:eastAsia="Arial" w:hAnsi="Arial"/>
                <w:sz w:val="18"/>
                <w:szCs w:val="18"/>
                <w:color w:val="auto"/>
              </w:rPr>
              <w:t>/s/ MARTIN A. NAEGELIN, JR.</w:t>
            </w:r>
          </w:p>
        </w:tc>
        <w:tc>
          <w:tcPr>
            <w:tcW w:w="8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Senior Vice President and</w:t>
            </w:r>
          </w:p>
        </w:tc>
        <w:tc>
          <w:tcPr>
            <w:tcW w:w="740" w:type="dxa"/>
            <w:vAlign w:val="bottom"/>
          </w:tcPr>
          <w:p>
            <w:pPr>
              <w:spacing w:after="0"/>
              <w:rPr>
                <w:sz w:val="20"/>
                <w:szCs w:val="20"/>
                <w:color w:val="auto"/>
              </w:rPr>
            </w:pPr>
            <w:r>
              <w:rPr>
                <w:rFonts w:ascii="Arial" w:cs="Arial" w:eastAsia="Arial" w:hAnsi="Arial"/>
                <w:sz w:val="18"/>
                <w:szCs w:val="18"/>
                <w:color w:val="auto"/>
                <w:w w:val="89"/>
              </w:rPr>
              <w:t>March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Chief Financial Officer</w:t>
            </w:r>
          </w:p>
        </w:tc>
        <w:tc>
          <w:tcPr>
            <w:tcW w:w="7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c>
          <w:tcPr>
            <w:tcW w:w="800" w:type="dxa"/>
            <w:vAlign w:val="bottom"/>
          </w:tcPr>
          <w:p>
            <w:pPr>
              <w:spacing w:after="0"/>
              <w:rPr>
                <w:sz w:val="16"/>
                <w:szCs w:val="16"/>
                <w:color w:val="auto"/>
              </w:rPr>
            </w:pPr>
          </w:p>
        </w:tc>
        <w:tc>
          <w:tcPr>
            <w:tcW w:w="514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(Principal Financial Accounting Officer)</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40" w:type="dxa"/>
            <w:vAlign w:val="bottom"/>
            <w:gridSpan w:val="2"/>
          </w:tcPr>
          <w:p>
            <w:pPr>
              <w:spacing w:after="0"/>
              <w:rPr>
                <w:sz w:val="20"/>
                <w:szCs w:val="20"/>
                <w:color w:val="auto"/>
              </w:rPr>
            </w:pPr>
            <w:r>
              <w:rPr>
                <w:rFonts w:ascii="Arial" w:cs="Arial" w:eastAsia="Arial" w:hAnsi="Arial"/>
                <w:sz w:val="18"/>
                <w:szCs w:val="18"/>
                <w:color w:val="auto"/>
              </w:rPr>
              <w:t>/s/ THOMAS A. AKIN</w:t>
            </w:r>
          </w:p>
        </w:tc>
        <w:tc>
          <w:tcPr>
            <w:tcW w:w="8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0"/>
                <w:szCs w:val="20"/>
                <w:color w:val="auto"/>
              </w:rPr>
            </w:pPr>
            <w:r>
              <w:rPr>
                <w:rFonts w:ascii="Arial" w:cs="Arial" w:eastAsia="Arial" w:hAnsi="Arial"/>
                <w:sz w:val="18"/>
                <w:szCs w:val="18"/>
                <w:color w:val="auto"/>
                <w:w w:val="89"/>
              </w:rPr>
              <w:t>March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Thomas A. Akin</w:t>
            </w:r>
          </w:p>
        </w:tc>
        <w:tc>
          <w:tcPr>
            <w:tcW w:w="8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40" w:type="dxa"/>
            <w:vAlign w:val="bottom"/>
            <w:gridSpan w:val="2"/>
          </w:tcPr>
          <w:p>
            <w:pPr>
              <w:spacing w:after="0"/>
              <w:rPr>
                <w:sz w:val="20"/>
                <w:szCs w:val="20"/>
                <w:color w:val="auto"/>
              </w:rPr>
            </w:pPr>
            <w:r>
              <w:rPr>
                <w:rFonts w:ascii="Arial" w:cs="Arial" w:eastAsia="Arial" w:hAnsi="Arial"/>
                <w:sz w:val="18"/>
                <w:szCs w:val="18"/>
                <w:color w:val="auto"/>
              </w:rPr>
              <w:t>/s/ RONALD J. KRAUSE</w:t>
            </w:r>
          </w:p>
        </w:tc>
        <w:tc>
          <w:tcPr>
            <w:tcW w:w="8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0"/>
                <w:szCs w:val="20"/>
                <w:color w:val="auto"/>
              </w:rPr>
            </w:pPr>
            <w:r>
              <w:rPr>
                <w:rFonts w:ascii="Arial" w:cs="Arial" w:eastAsia="Arial" w:hAnsi="Arial"/>
                <w:sz w:val="18"/>
                <w:szCs w:val="18"/>
                <w:color w:val="auto"/>
                <w:w w:val="89"/>
              </w:rPr>
              <w:t>March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Ronald J. Krause</w:t>
            </w:r>
          </w:p>
        </w:tc>
        <w:tc>
          <w:tcPr>
            <w:tcW w:w="8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40" w:type="dxa"/>
            <w:vAlign w:val="bottom"/>
            <w:gridSpan w:val="2"/>
          </w:tcPr>
          <w:p>
            <w:pPr>
              <w:spacing w:after="0"/>
              <w:rPr>
                <w:sz w:val="20"/>
                <w:szCs w:val="20"/>
                <w:color w:val="auto"/>
              </w:rPr>
            </w:pPr>
            <w:r>
              <w:rPr>
                <w:rFonts w:ascii="Arial" w:cs="Arial" w:eastAsia="Arial" w:hAnsi="Arial"/>
                <w:sz w:val="18"/>
                <w:szCs w:val="18"/>
                <w:color w:val="auto"/>
              </w:rPr>
              <w:t>/s/ HAROLD D. MARSHALL</w:t>
            </w:r>
          </w:p>
        </w:tc>
        <w:tc>
          <w:tcPr>
            <w:tcW w:w="8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0"/>
                <w:szCs w:val="20"/>
                <w:color w:val="auto"/>
              </w:rPr>
            </w:pPr>
            <w:r>
              <w:rPr>
                <w:rFonts w:ascii="Arial" w:cs="Arial" w:eastAsia="Arial" w:hAnsi="Arial"/>
                <w:sz w:val="18"/>
                <w:szCs w:val="18"/>
                <w:color w:val="auto"/>
                <w:w w:val="89"/>
              </w:rPr>
              <w:t>March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Harold D. Marshall</w:t>
            </w:r>
          </w:p>
        </w:tc>
        <w:tc>
          <w:tcPr>
            <w:tcW w:w="8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740" w:type="dxa"/>
            <w:vAlign w:val="bottom"/>
            <w:gridSpan w:val="2"/>
          </w:tcPr>
          <w:p>
            <w:pPr>
              <w:spacing w:after="0"/>
              <w:rPr>
                <w:sz w:val="20"/>
                <w:szCs w:val="20"/>
                <w:color w:val="auto"/>
              </w:rPr>
            </w:pPr>
            <w:r>
              <w:rPr>
                <w:rFonts w:ascii="Arial" w:cs="Arial" w:eastAsia="Arial" w:hAnsi="Arial"/>
                <w:sz w:val="18"/>
                <w:szCs w:val="18"/>
                <w:color w:val="auto"/>
              </w:rPr>
              <w:t>/s/ JOHN D. ROCK</w:t>
            </w:r>
          </w:p>
        </w:tc>
        <w:tc>
          <w:tcPr>
            <w:tcW w:w="80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740" w:type="dxa"/>
            <w:vAlign w:val="bottom"/>
          </w:tcPr>
          <w:p>
            <w:pPr>
              <w:spacing w:after="0"/>
              <w:rPr>
                <w:sz w:val="20"/>
                <w:szCs w:val="20"/>
                <w:color w:val="auto"/>
              </w:rPr>
            </w:pPr>
            <w:r>
              <w:rPr>
                <w:rFonts w:ascii="Arial" w:cs="Arial" w:eastAsia="Arial" w:hAnsi="Arial"/>
                <w:sz w:val="18"/>
                <w:szCs w:val="18"/>
                <w:color w:val="auto"/>
                <w:w w:val="89"/>
              </w:rPr>
              <w:t>March 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John D. Rock</w:t>
            </w:r>
          </w:p>
        </w:tc>
        <w:tc>
          <w:tcPr>
            <w:tcW w:w="8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180" w:type="dxa"/>
            <w:vAlign w:val="bottom"/>
            <w:gridSpan w:val="2"/>
          </w:tcPr>
          <w:p>
            <w:pPr>
              <w:jc w:val="right"/>
              <w:ind w:right="4032"/>
              <w:spacing w:after="0"/>
              <w:rPr>
                <w:sz w:val="20"/>
                <w:szCs w:val="20"/>
                <w:color w:val="auto"/>
              </w:rPr>
            </w:pPr>
            <w:r>
              <w:rPr>
                <w:rFonts w:ascii="Arial" w:cs="Arial" w:eastAsia="Arial" w:hAnsi="Arial"/>
                <w:sz w:val="18"/>
                <w:szCs w:val="18"/>
                <w:color w:val="auto"/>
              </w:rPr>
              <w:t>76</w:t>
            </w: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50" w:name="page51"/>
    <w:bookmarkEnd w:id="50"/>
    <w:p>
      <w:pPr>
        <w:spacing w:after="0" w:line="73" w:lineRule="exact"/>
        <w:rPr>
          <w:sz w:val="20"/>
          <w:szCs w:val="20"/>
          <w:color w:val="auto"/>
        </w:rPr>
      </w:pPr>
    </w:p>
    <w:p>
      <w:pPr>
        <w:ind w:left="10300"/>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SUBSIDIARIES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State of</w:t>
            </w:r>
          </w:p>
        </w:tc>
        <w:tc>
          <w:tcPr>
            <w:tcW w:w="4560" w:type="dxa"/>
            <w:vAlign w:val="bottom"/>
            <w:vMerge w:val="restart"/>
          </w:tcPr>
          <w:p>
            <w:pPr>
              <w:ind w:left="840"/>
              <w:spacing w:after="0"/>
              <w:rPr>
                <w:sz w:val="20"/>
                <w:szCs w:val="20"/>
                <w:color w:val="auto"/>
              </w:rPr>
            </w:pPr>
            <w:r>
              <w:rPr>
                <w:rFonts w:ascii="Arial" w:cs="Arial" w:eastAsia="Arial" w:hAnsi="Arial"/>
                <w:sz w:val="14"/>
                <w:szCs w:val="14"/>
                <w:b w:val="1"/>
                <w:bCs w:val="1"/>
                <w:color w:val="auto"/>
              </w:rPr>
              <w:t>Names Under Which Subsidiary Does Business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Incorporation</w:t>
            </w:r>
          </w:p>
        </w:tc>
        <w:tc>
          <w:tcPr>
            <w:tcW w:w="4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Rush Truck Centers of Texas, L.P.</w:t>
            </w:r>
          </w:p>
        </w:tc>
        <w:tc>
          <w:tcPr>
            <w:tcW w:w="36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Texas</w:t>
            </w:r>
          </w:p>
        </w:tc>
        <w:tc>
          <w:tcPr>
            <w:tcW w:w="340" w:type="dxa"/>
            <w:vAlign w:val="bottom"/>
            <w:tcBorders>
              <w:top w:val="single" w:sz="8" w:color="CCEEFF"/>
            </w:tcBorders>
            <w:shd w:val="clear" w:color="auto" w:fill="CCEEFF"/>
          </w:tcPr>
          <w:p>
            <w:pPr>
              <w:spacing w:after="0"/>
              <w:rPr>
                <w:sz w:val="16"/>
                <w:szCs w:val="16"/>
                <w:color w:val="auto"/>
              </w:rPr>
            </w:pPr>
          </w:p>
        </w:tc>
        <w:tc>
          <w:tcPr>
            <w:tcW w:w="45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Houston Peterbilt, Inc.</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Laredo Peterbilt,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Lufkin Peterbilt,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GMC Truck Center of El Paso,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Isuzu Trucks, Austin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Medium Duty Truck Center, Dallas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Abilene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Alice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Austin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Dallas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El Paso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Fort Worth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Houston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Laredo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Lufkin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Pharr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San Antonio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Sealy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Texarkana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Peterbilt Truck Center, Tyler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Abilene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Alice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Austin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Dallas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El Paso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Fort Worth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Houston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Laredo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Lufkin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Pharr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San Antonio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Sealy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Texarkana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Tyler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Used Truck Center, Austin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Rush Crane and Refuse Systems International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San Antonio Peterbilt,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San Antonio Peterbilt-GMC Truck,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Translease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World Wide Tires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Rush Truck Centers of Oklahoma, Inc.</w:t>
            </w:r>
          </w:p>
        </w:tc>
        <w:tc>
          <w:tcPr>
            <w:tcW w:w="262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Delaware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Rush Peterbilt Truck Center, Ardmore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Peterbilt Truck Center, Oklahoma City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Peterbilt Truck Center, Tulsa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Truck Center, Ardmore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Truck Center, Oklahoma City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Truck Center, Tulsa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Volvo Truck Center, Oklahoma City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Volvo Truck Center, Tulsa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Used Truck Center, Tulsa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40" w:type="dxa"/>
            <w:vAlign w:val="bottom"/>
          </w:tcPr>
          <w:p>
            <w:pPr>
              <w:spacing w:after="0"/>
              <w:rPr>
                <w:sz w:val="24"/>
                <w:szCs w:val="24"/>
                <w:color w:val="auto"/>
              </w:rPr>
            </w:pPr>
          </w:p>
        </w:tc>
        <w:tc>
          <w:tcPr>
            <w:tcW w:w="2280" w:type="dxa"/>
            <w:vAlign w:val="bottom"/>
            <w:gridSpan w:val="2"/>
          </w:tcPr>
          <w:p>
            <w:pPr>
              <w:jc w:val="right"/>
              <w:ind w:right="682"/>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564"/>
        </w:trPr>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Rigging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Perfection Equipment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Perfection Truck Parts &amp; Equipment, Oklahoma City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Perfection Truck Parts &amp; Equipment, Tulsa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Translease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Oklahoma Trucks, Inc.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Tulsa Trucks, Inc.</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Rush Truck Centers of California, Inc.</w:t>
            </w:r>
          </w:p>
        </w:tc>
        <w:tc>
          <w:tcPr>
            <w:tcW w:w="262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Delaware</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Complete Rush Truck Centers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Isuzu Trucks,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Peterbilt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Truck Center, Pico Rivera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Peterbilt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Peterbilt Medium Duty Truck Center, Fontana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Rush Truck Center, Fontana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-2430780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-2430780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11" w:orient="portrait"/>
          <w:cols w:equalWidth="0" w:num="1">
            <w:col w:w="11440"/>
          </w:cols>
          <w:pgMar w:left="240" w:top="121" w:right="219" w:bottom="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Sylmar</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Sylmar</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Escondido</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Escondido</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El Centro</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El Centro</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San Diego</w:t>
            </w:r>
          </w:p>
        </w:tc>
        <w:tc>
          <w:tcPr>
            <w:tcW w:w="2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San Diego</w:t>
            </w:r>
          </w:p>
        </w:tc>
        <w:tc>
          <w:tcPr>
            <w:tcW w:w="20" w:type="dxa"/>
            <w:vAlign w:val="bottom"/>
          </w:tcPr>
          <w:p>
            <w:pPr>
              <w:spacing w:after="0"/>
              <w:rPr>
                <w:sz w:val="20"/>
                <w:szCs w:val="20"/>
                <w:color w:val="auto"/>
              </w:rPr>
            </w:pPr>
          </w:p>
        </w:tc>
      </w:tr>
      <w:tr>
        <w:trPr>
          <w:trHeight w:val="202"/>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Florida, Inc.</w:t>
            </w:r>
          </w:p>
        </w:tc>
        <w:tc>
          <w:tcPr>
            <w:tcW w:w="17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Rush Isuzu Trucks, Orlando</w:t>
            </w:r>
          </w:p>
        </w:tc>
        <w:tc>
          <w:tcPr>
            <w:tcW w:w="2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Isuzu Trucks, Winter Garden</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Truck Center, Orlando</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Peterbilt Truck Center, Orlando</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Truck Center, Winter Garden</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Peterbilt Truck Center, Winter Garden</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Truck Center, Haines City</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Peterbilt Truck Center, Haines City</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Truck Center, Tampa</w:t>
            </w:r>
          </w:p>
        </w:tc>
        <w:tc>
          <w:tcPr>
            <w:tcW w:w="20" w:type="dxa"/>
            <w:vAlign w:val="bottom"/>
          </w:tcPr>
          <w:p>
            <w:pPr>
              <w:spacing w:after="0"/>
              <w:rPr>
                <w:sz w:val="18"/>
                <w:szCs w:val="18"/>
                <w:color w:val="auto"/>
              </w:rPr>
            </w:pPr>
          </w:p>
        </w:tc>
      </w:tr>
      <w:tr>
        <w:trPr>
          <w:trHeight w:val="230"/>
        </w:trPr>
        <w:tc>
          <w:tcPr>
            <w:tcW w:w="39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Peterbilt Truck Center, Tampa</w:t>
            </w:r>
          </w:p>
        </w:tc>
        <w:tc>
          <w:tcPr>
            <w:tcW w:w="20" w:type="dxa"/>
            <w:vAlign w:val="bottom"/>
          </w:tcPr>
          <w:p>
            <w:pPr>
              <w:spacing w:after="0"/>
              <w:rPr>
                <w:sz w:val="20"/>
                <w:szCs w:val="20"/>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Rush Truck Centers of Tennessee, Inc.</w:t>
            </w:r>
          </w:p>
        </w:tc>
        <w:tc>
          <w:tcPr>
            <w:tcW w:w="1700" w:type="dxa"/>
            <w:vAlign w:val="bottom"/>
          </w:tcPr>
          <w:p>
            <w:pPr>
              <w:ind w:left="700"/>
              <w:spacing w:after="0" w:line="201" w:lineRule="exact"/>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line="201" w:lineRule="exact"/>
              <w:rPr>
                <w:sz w:val="20"/>
                <w:szCs w:val="20"/>
                <w:color w:val="auto"/>
              </w:rPr>
            </w:pPr>
            <w:r>
              <w:rPr>
                <w:rFonts w:ascii="Arial" w:cs="Arial" w:eastAsia="Arial" w:hAnsi="Arial"/>
                <w:sz w:val="18"/>
                <w:szCs w:val="18"/>
                <w:color w:val="auto"/>
              </w:rPr>
              <w:t>Rush Truck Center, Nashville</w:t>
            </w:r>
          </w:p>
        </w:tc>
        <w:tc>
          <w:tcPr>
            <w:tcW w:w="20" w:type="dxa"/>
            <w:vAlign w:val="bottom"/>
          </w:tcPr>
          <w:p>
            <w:pPr>
              <w:spacing w:after="0"/>
              <w:rPr>
                <w:sz w:val="17"/>
                <w:szCs w:val="17"/>
                <w:color w:val="auto"/>
              </w:rPr>
            </w:pPr>
          </w:p>
        </w:tc>
      </w:tr>
      <w:tr>
        <w:trPr>
          <w:trHeight w:val="230"/>
        </w:trPr>
        <w:tc>
          <w:tcPr>
            <w:tcW w:w="3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Nashville</w:t>
            </w:r>
          </w:p>
        </w:tc>
        <w:tc>
          <w:tcPr>
            <w:tcW w:w="2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 Cuernos, Inc.</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Los Cuernos Ranch</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International General Agency</w:t>
            </w:r>
          </w:p>
        </w:tc>
        <w:tc>
          <w:tcPr>
            <w:tcW w:w="1700" w:type="dxa"/>
            <w:vAlign w:val="bottom"/>
          </w:tcPr>
          <w:p>
            <w:pPr>
              <w:ind w:left="700"/>
              <w:spacing w:after="0"/>
              <w:rPr>
                <w:sz w:val="20"/>
                <w:szCs w:val="20"/>
                <w:color w:val="auto"/>
              </w:rPr>
            </w:pPr>
            <w:r>
              <w:rPr>
                <w:rFonts w:ascii="Arial" w:cs="Arial" w:eastAsia="Arial" w:hAnsi="Arial"/>
                <w:sz w:val="18"/>
                <w:szCs w:val="18"/>
                <w:color w:val="auto"/>
              </w:rPr>
              <w:t>Texas</w:t>
            </w:r>
          </w:p>
        </w:tc>
        <w:tc>
          <w:tcPr>
            <w:tcW w:w="5820" w:type="dxa"/>
            <w:vAlign w:val="bottom"/>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Rush Administrative Services, Inc.</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AiRush, Inc.</w:t>
            </w:r>
          </w:p>
        </w:tc>
        <w:tc>
          <w:tcPr>
            <w:tcW w:w="1700" w:type="dxa"/>
            <w:vAlign w:val="bottom"/>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Rush Truck Leasing, Inc.</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Crane Systems</w:t>
            </w:r>
          </w:p>
        </w:tc>
        <w:tc>
          <w:tcPr>
            <w:tcW w:w="20" w:type="dxa"/>
            <w:vAlign w:val="bottom"/>
          </w:tcPr>
          <w:p>
            <w:pPr>
              <w:spacing w:after="0"/>
              <w:rPr>
                <w:sz w:val="18"/>
                <w:szCs w:val="18"/>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Rush Truck Centers of Colorado, Inc.</w:t>
            </w:r>
          </w:p>
        </w:tc>
        <w:tc>
          <w:tcPr>
            <w:tcW w:w="1700" w:type="dxa"/>
            <w:vAlign w:val="bottom"/>
          </w:tcPr>
          <w:p>
            <w:pPr>
              <w:ind w:left="700"/>
              <w:spacing w:after="0" w:line="201" w:lineRule="exact"/>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line="201" w:lineRule="exact"/>
              <w:rPr>
                <w:sz w:val="20"/>
                <w:szCs w:val="20"/>
                <w:color w:val="auto"/>
              </w:rPr>
            </w:pPr>
            <w:r>
              <w:rPr>
                <w:rFonts w:ascii="Arial" w:cs="Arial" w:eastAsia="Arial" w:hAnsi="Arial"/>
                <w:sz w:val="18"/>
                <w:szCs w:val="18"/>
                <w:color w:val="auto"/>
              </w:rPr>
              <w:t>Rush Truck Centers, Inc.</w:t>
            </w:r>
          </w:p>
        </w:tc>
        <w:tc>
          <w:tcPr>
            <w:tcW w:w="20" w:type="dxa"/>
            <w:vAlign w:val="bottom"/>
          </w:tcPr>
          <w:p>
            <w:pPr>
              <w:spacing w:after="0"/>
              <w:rPr>
                <w:sz w:val="17"/>
                <w:szCs w:val="17"/>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Denver</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Denver</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Greeley</w:t>
            </w:r>
          </w:p>
        </w:tc>
        <w:tc>
          <w:tcPr>
            <w:tcW w:w="2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Greeley</w:t>
            </w:r>
          </w:p>
        </w:tc>
        <w:tc>
          <w:tcPr>
            <w:tcW w:w="20" w:type="dxa"/>
            <w:vAlign w:val="bottom"/>
          </w:tcPr>
          <w:p>
            <w:pPr>
              <w:spacing w:after="0"/>
              <w:rPr>
                <w:sz w:val="20"/>
                <w:szCs w:val="20"/>
                <w:color w:val="auto"/>
              </w:rPr>
            </w:pPr>
          </w:p>
        </w:tc>
      </w:tr>
      <w:tr>
        <w:trPr>
          <w:trHeight w:val="202"/>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Truck Centers of Alabama, Inc.</w:t>
            </w:r>
          </w:p>
        </w:tc>
        <w:tc>
          <w:tcPr>
            <w:tcW w:w="17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Rush Truck Center, Mobile</w:t>
            </w:r>
          </w:p>
        </w:tc>
        <w:tc>
          <w:tcPr>
            <w:tcW w:w="20" w:type="dxa"/>
            <w:vAlign w:val="bottom"/>
          </w:tcPr>
          <w:p>
            <w:pPr>
              <w:spacing w:after="0"/>
              <w:rPr>
                <w:sz w:val="17"/>
                <w:szCs w:val="17"/>
                <w:color w:val="auto"/>
              </w:rPr>
            </w:pPr>
          </w:p>
        </w:tc>
      </w:tr>
      <w:tr>
        <w:trPr>
          <w:trHeight w:val="230"/>
        </w:trPr>
        <w:tc>
          <w:tcPr>
            <w:tcW w:w="39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Peterbilt Truck Center, Mobile</w:t>
            </w:r>
          </w:p>
        </w:tc>
        <w:tc>
          <w:tcPr>
            <w:tcW w:w="20" w:type="dxa"/>
            <w:vAlign w:val="bottom"/>
          </w:tcPr>
          <w:p>
            <w:pPr>
              <w:spacing w:after="0"/>
              <w:rPr>
                <w:sz w:val="20"/>
                <w:szCs w:val="20"/>
                <w:color w:val="auto"/>
              </w:rPr>
            </w:pPr>
          </w:p>
        </w:tc>
      </w:tr>
      <w:tr>
        <w:trPr>
          <w:trHeight w:val="202"/>
        </w:trPr>
        <w:tc>
          <w:tcPr>
            <w:tcW w:w="3900" w:type="dxa"/>
            <w:vAlign w:val="bottom"/>
          </w:tcPr>
          <w:p>
            <w:pPr>
              <w:spacing w:after="0" w:line="201" w:lineRule="exact"/>
              <w:rPr>
                <w:sz w:val="20"/>
                <w:szCs w:val="20"/>
                <w:color w:val="auto"/>
              </w:rPr>
            </w:pPr>
            <w:r>
              <w:rPr>
                <w:rFonts w:ascii="Arial" w:cs="Arial" w:eastAsia="Arial" w:hAnsi="Arial"/>
                <w:sz w:val="18"/>
                <w:szCs w:val="18"/>
                <w:color w:val="auto"/>
              </w:rPr>
              <w:t>Rush Truck Centers of Arizona, Inc.</w:t>
            </w:r>
          </w:p>
        </w:tc>
        <w:tc>
          <w:tcPr>
            <w:tcW w:w="1700" w:type="dxa"/>
            <w:vAlign w:val="bottom"/>
          </w:tcPr>
          <w:p>
            <w:pPr>
              <w:ind w:left="700"/>
              <w:spacing w:after="0" w:line="201" w:lineRule="exact"/>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line="201" w:lineRule="exact"/>
              <w:rPr>
                <w:sz w:val="20"/>
                <w:szCs w:val="20"/>
                <w:color w:val="auto"/>
              </w:rPr>
            </w:pPr>
            <w:r>
              <w:rPr>
                <w:rFonts w:ascii="Arial" w:cs="Arial" w:eastAsia="Arial" w:hAnsi="Arial"/>
                <w:sz w:val="18"/>
                <w:szCs w:val="18"/>
                <w:color w:val="auto"/>
              </w:rPr>
              <w:t>Rush Truck Center, Phoenix</w:t>
            </w:r>
          </w:p>
        </w:tc>
        <w:tc>
          <w:tcPr>
            <w:tcW w:w="20" w:type="dxa"/>
            <w:vAlign w:val="bottom"/>
          </w:tcPr>
          <w:p>
            <w:pPr>
              <w:spacing w:after="0"/>
              <w:rPr>
                <w:sz w:val="17"/>
                <w:szCs w:val="17"/>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Phoenix</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Chandler</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Chandler</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Flagstaff</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Flagstaff</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Truck Center, Tucson</w:t>
            </w:r>
          </w:p>
        </w:tc>
        <w:tc>
          <w:tcPr>
            <w:tcW w:w="20" w:type="dxa"/>
            <w:vAlign w:val="bottom"/>
          </w:tcPr>
          <w:p>
            <w:pPr>
              <w:spacing w:after="0"/>
              <w:rPr>
                <w:sz w:val="18"/>
                <w:szCs w:val="18"/>
                <w:color w:val="auto"/>
              </w:rPr>
            </w:pPr>
          </w:p>
        </w:tc>
      </w:tr>
      <w:tr>
        <w:trPr>
          <w:trHeight w:val="230"/>
        </w:trPr>
        <w:tc>
          <w:tcPr>
            <w:tcW w:w="39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820" w:type="dxa"/>
            <w:vAlign w:val="bottom"/>
          </w:tcPr>
          <w:p>
            <w:pPr>
              <w:ind w:left="1260"/>
              <w:spacing w:after="0"/>
              <w:rPr>
                <w:sz w:val="20"/>
                <w:szCs w:val="20"/>
                <w:color w:val="auto"/>
              </w:rPr>
            </w:pPr>
            <w:r>
              <w:rPr>
                <w:rFonts w:ascii="Arial" w:cs="Arial" w:eastAsia="Arial" w:hAnsi="Arial"/>
                <w:sz w:val="18"/>
                <w:szCs w:val="18"/>
                <w:color w:val="auto"/>
              </w:rPr>
              <w:t>Rush Peterbilt Truck Center, Tucson</w:t>
            </w:r>
          </w:p>
        </w:tc>
        <w:tc>
          <w:tcPr>
            <w:tcW w:w="20" w:type="dxa"/>
            <w:vAlign w:val="bottom"/>
          </w:tcPr>
          <w:p>
            <w:pPr>
              <w:spacing w:after="0"/>
              <w:rPr>
                <w:sz w:val="20"/>
                <w:szCs w:val="20"/>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Rush Truck Center of New Mexico, Inc.</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Truck Center, Albuquerque</w:t>
            </w:r>
          </w:p>
        </w:tc>
        <w:tc>
          <w:tcPr>
            <w:tcW w:w="20" w:type="dxa"/>
            <w:vAlign w:val="bottom"/>
          </w:tcPr>
          <w:p>
            <w:pPr>
              <w:spacing w:after="0"/>
              <w:rPr>
                <w:sz w:val="18"/>
                <w:szCs w:val="18"/>
                <w:color w:val="auto"/>
              </w:rPr>
            </w:pPr>
          </w:p>
        </w:tc>
      </w:tr>
      <w:tr>
        <w:trPr>
          <w:trHeight w:val="432"/>
        </w:trPr>
        <w:tc>
          <w:tcPr>
            <w:tcW w:w="3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118"/>
        </w:trPr>
        <w:tc>
          <w:tcPr>
            <w:tcW w:w="390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r>
        <w:trPr>
          <w:trHeight w:val="564"/>
        </w:trPr>
        <w:tc>
          <w:tcPr>
            <w:tcW w:w="3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39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582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Rush Peterbilt Truck Center, Albuquerque</w:t>
            </w:r>
          </w:p>
        </w:tc>
        <w:tc>
          <w:tcPr>
            <w:tcW w:w="20" w:type="dxa"/>
            <w:vAlign w:val="bottom"/>
          </w:tcPr>
          <w:p>
            <w:pPr>
              <w:spacing w:after="0"/>
              <w:rPr>
                <w:sz w:val="17"/>
                <w:szCs w:val="17"/>
                <w:color w:val="auto"/>
              </w:rPr>
            </w:pPr>
          </w:p>
        </w:tc>
      </w:tr>
      <w:tr>
        <w:trPr>
          <w:trHeight w:val="216"/>
        </w:trPr>
        <w:tc>
          <w:tcPr>
            <w:tcW w:w="39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Truck Center, Las Cruces</w:t>
            </w:r>
          </w:p>
        </w:tc>
        <w:tc>
          <w:tcPr>
            <w:tcW w:w="20" w:type="dxa"/>
            <w:vAlign w:val="bottom"/>
          </w:tcPr>
          <w:p>
            <w:pPr>
              <w:spacing w:after="0"/>
              <w:rPr>
                <w:sz w:val="18"/>
                <w:szCs w:val="18"/>
                <w:color w:val="auto"/>
              </w:rPr>
            </w:pPr>
          </w:p>
        </w:tc>
      </w:tr>
      <w:tr>
        <w:trPr>
          <w:trHeight w:val="230"/>
        </w:trPr>
        <w:tc>
          <w:tcPr>
            <w:tcW w:w="39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Peterbilt Truck Center, Las Cruces</w:t>
            </w:r>
          </w:p>
        </w:tc>
        <w:tc>
          <w:tcPr>
            <w:tcW w:w="20" w:type="dxa"/>
            <w:vAlign w:val="bottom"/>
          </w:tcPr>
          <w:p>
            <w:pPr>
              <w:spacing w:after="0"/>
              <w:rPr>
                <w:sz w:val="20"/>
                <w:szCs w:val="20"/>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Rush Truck Center of Albuquerque, Inc.</w:t>
            </w:r>
          </w:p>
        </w:tc>
        <w:tc>
          <w:tcPr>
            <w:tcW w:w="1700" w:type="dxa"/>
            <w:vAlign w:val="bottom"/>
          </w:tcPr>
          <w:p>
            <w:pPr>
              <w:ind w:left="700"/>
              <w:spacing w:after="0"/>
              <w:rPr>
                <w:sz w:val="20"/>
                <w:szCs w:val="20"/>
                <w:color w:val="auto"/>
              </w:rPr>
            </w:pPr>
            <w:r>
              <w:rPr>
                <w:rFonts w:ascii="Arial" w:cs="Arial" w:eastAsia="Arial" w:hAnsi="Arial"/>
                <w:sz w:val="18"/>
                <w:szCs w:val="18"/>
                <w:color w:val="auto"/>
                <w:w w:val="99"/>
              </w:rPr>
              <w:t>New Mexico</w:t>
            </w:r>
          </w:p>
        </w:tc>
        <w:tc>
          <w:tcPr>
            <w:tcW w:w="5820" w:type="dxa"/>
            <w:vAlign w:val="bottom"/>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Rush GMC Truck Center of El Paso, Inc.</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Rush GMC Truck Center of Phoenix, Inc.</w:t>
            </w:r>
          </w:p>
        </w:tc>
        <w:tc>
          <w:tcPr>
            <w:tcW w:w="1700" w:type="dxa"/>
            <w:vAlign w:val="bottom"/>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Rush GMC Truck Center of San Diego, Inc.</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Rush GMC Truck Center of Tucson, Inc.</w:t>
            </w:r>
          </w:p>
        </w:tc>
        <w:tc>
          <w:tcPr>
            <w:tcW w:w="1700" w:type="dxa"/>
            <w:vAlign w:val="bottom"/>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02"/>
        </w:trPr>
        <w:tc>
          <w:tcPr>
            <w:tcW w:w="3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Rush Equipment Centers of Texas, Inc.</w:t>
            </w:r>
          </w:p>
        </w:tc>
        <w:tc>
          <w:tcPr>
            <w:tcW w:w="170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line="201" w:lineRule="exact"/>
              <w:rPr>
                <w:sz w:val="20"/>
                <w:szCs w:val="20"/>
                <w:color w:val="auto"/>
              </w:rPr>
            </w:pPr>
            <w:r>
              <w:rPr>
                <w:rFonts w:ascii="Arial" w:cs="Arial" w:eastAsia="Arial" w:hAnsi="Arial"/>
                <w:sz w:val="18"/>
                <w:szCs w:val="18"/>
                <w:color w:val="auto"/>
              </w:rPr>
              <w:t>Rush Equipment Center, Houston</w:t>
            </w:r>
          </w:p>
        </w:tc>
        <w:tc>
          <w:tcPr>
            <w:tcW w:w="20" w:type="dxa"/>
            <w:vAlign w:val="bottom"/>
          </w:tcPr>
          <w:p>
            <w:pPr>
              <w:spacing w:after="0"/>
              <w:rPr>
                <w:sz w:val="17"/>
                <w:szCs w:val="17"/>
                <w:color w:val="auto"/>
              </w:rPr>
            </w:pPr>
          </w:p>
        </w:tc>
      </w:tr>
      <w:tr>
        <w:trPr>
          <w:trHeight w:val="230"/>
        </w:trPr>
        <w:tc>
          <w:tcPr>
            <w:tcW w:w="39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Rush Equipment Rental Center, San Antonio</w:t>
            </w:r>
          </w:p>
        </w:tc>
        <w:tc>
          <w:tcPr>
            <w:tcW w:w="20" w:type="dxa"/>
            <w:vAlign w:val="bottom"/>
          </w:tcPr>
          <w:p>
            <w:pPr>
              <w:spacing w:after="0"/>
              <w:rPr>
                <w:sz w:val="20"/>
                <w:szCs w:val="20"/>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Rush Retail Centers, Inc.</w:t>
            </w:r>
          </w:p>
        </w:tc>
        <w:tc>
          <w:tcPr>
            <w:tcW w:w="1700" w:type="dxa"/>
            <w:vAlign w:val="bottom"/>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Rushtex, Inc.</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Rushco, Inc.</w:t>
            </w:r>
          </w:p>
        </w:tc>
        <w:tc>
          <w:tcPr>
            <w:tcW w:w="1700" w:type="dxa"/>
            <w:vAlign w:val="bottom"/>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tcPr>
          <w:p>
            <w:pPr>
              <w:ind w:left="1260"/>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Rush Accessories Corp.</w:t>
            </w:r>
          </w:p>
        </w:tc>
        <w:tc>
          <w:tcPr>
            <w:tcW w:w="1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Delaware</w:t>
            </w:r>
          </w:p>
        </w:tc>
        <w:tc>
          <w:tcPr>
            <w:tcW w:w="58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Chrome Country, Inc.</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-2293620</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-2293620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Statements (Form S-8 (File Nos. 333-07043, 333-70451, 333-117305 and 333-121355) and Form S-3 (File No. 333-119131)) of our reports dated February 24, 2006, with respect to the consolidated financial statements of Rush Enterprises, Inc., Rush Enterprises, Inc. management’s assessment of the effectiveness of internal control over financial reporting and the effectiveness of internal control over financial reporting of Rush Enterprises, Inc. included in this Annual Report (Form 10-K) for the year ended December 31,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San Antonio,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2006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M. “Rusty” Rush, certify that:</w:t>
      </w:r>
    </w:p>
    <w:p>
      <w:pPr>
        <w:spacing w:after="0" w:line="225"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80" w:firstLine="8"/>
        <w:spacing w:after="0" w:line="264" w:lineRule="auto"/>
        <w:tabs>
          <w:tab w:leader="none" w:pos="6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40" w:firstLine="656"/>
        <w:spacing w:after="0" w:line="264" w:lineRule="auto"/>
        <w:tabs>
          <w:tab w:leader="none" w:pos="1301"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656"/>
        <w:spacing w:after="0" w:line="264"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60" w:firstLine="656"/>
        <w:spacing w:after="0" w:line="342" w:lineRule="auto"/>
        <w:tabs>
          <w:tab w:leader="none" w:pos="1301"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40" w:firstLine="656"/>
        <w:spacing w:after="0" w:line="264"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6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700" w:firstLine="656"/>
        <w:spacing w:after="0" w:line="308" w:lineRule="auto"/>
        <w:tabs>
          <w:tab w:leader="none" w:pos="1301"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656"/>
        <w:spacing w:after="0" w:line="277" w:lineRule="auto"/>
        <w:tabs>
          <w:tab w:leader="none" w:pos="1298"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Date: March 13, 2006</w:t>
            </w:r>
          </w:p>
        </w:tc>
        <w:tc>
          <w:tcPr>
            <w:tcW w:w="7460" w:type="dxa"/>
            <w:vAlign w:val="bottom"/>
            <w:gridSpan w:val="2"/>
          </w:tcPr>
          <w:p>
            <w:pPr>
              <w:ind w:left="2180"/>
              <w:spacing w:after="0"/>
              <w:rPr>
                <w:sz w:val="20"/>
                <w:szCs w:val="20"/>
                <w:color w:val="auto"/>
              </w:rPr>
            </w:pPr>
            <w:r>
              <w:rPr>
                <w:rFonts w:ascii="Arial" w:cs="Arial" w:eastAsia="Arial" w:hAnsi="Arial"/>
                <w:sz w:val="18"/>
                <w:szCs w:val="18"/>
                <w:color w:val="auto"/>
              </w:rPr>
              <w:t>By:  /S/ W. M. “RUSTY” RUSH</w:t>
            </w:r>
          </w:p>
        </w:tc>
        <w:tc>
          <w:tcPr>
            <w:tcW w:w="20" w:type="dxa"/>
            <w:vAlign w:val="bottom"/>
          </w:tcPr>
          <w:p>
            <w:pPr>
              <w:spacing w:after="0"/>
              <w:rPr>
                <w:sz w:val="20"/>
                <w:szCs w:val="20"/>
                <w:color w:val="auto"/>
              </w:rPr>
            </w:pPr>
          </w:p>
        </w:tc>
      </w:tr>
      <w:tr>
        <w:trPr>
          <w:trHeight w:val="195"/>
        </w:trPr>
        <w:tc>
          <w:tcPr>
            <w:tcW w:w="39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4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 M. “RUSTY” Rush</w:t>
            </w:r>
          </w:p>
        </w:tc>
        <w:tc>
          <w:tcPr>
            <w:tcW w:w="20" w:type="dxa"/>
            <w:vAlign w:val="bottom"/>
          </w:tcPr>
          <w:p>
            <w:pPr>
              <w:spacing w:after="0"/>
              <w:rPr>
                <w:sz w:val="16"/>
                <w:szCs w:val="16"/>
                <w:color w:val="auto"/>
              </w:rPr>
            </w:pPr>
          </w:p>
        </w:tc>
      </w:tr>
      <w:tr>
        <w:trPr>
          <w:trHeight w:val="216"/>
        </w:trPr>
        <w:tc>
          <w:tcPr>
            <w:tcW w:w="3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432"/>
        </w:trPr>
        <w:tc>
          <w:tcPr>
            <w:tcW w:w="3960" w:type="dxa"/>
            <w:vAlign w:val="bottom"/>
          </w:tcPr>
          <w:p>
            <w:pPr>
              <w:spacing w:after="0"/>
              <w:rPr>
                <w:sz w:val="24"/>
                <w:szCs w:val="24"/>
                <w:color w:val="auto"/>
              </w:rPr>
            </w:pPr>
          </w:p>
        </w:tc>
        <w:tc>
          <w:tcPr>
            <w:tcW w:w="2620" w:type="dxa"/>
            <w:vAlign w:val="bottom"/>
          </w:tcPr>
          <w:p>
            <w:pPr>
              <w:jc w:val="right"/>
              <w:ind w:right="730"/>
              <w:spacing w:after="0"/>
              <w:rPr>
                <w:sz w:val="20"/>
                <w:szCs w:val="20"/>
                <w:color w:val="auto"/>
              </w:rPr>
            </w:pPr>
            <w:r>
              <w:rPr>
                <w:rFonts w:ascii="Arial" w:cs="Arial" w:eastAsia="Arial" w:hAnsi="Arial"/>
                <w:sz w:val="18"/>
                <w:szCs w:val="18"/>
                <w:color w:val="auto"/>
              </w:rPr>
              <w:t>1</w:t>
            </w:r>
          </w:p>
        </w:tc>
        <w:tc>
          <w:tcPr>
            <w:tcW w:w="4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960" w:type="dxa"/>
            <w:vAlign w:val="bottom"/>
            <w:tcBorders>
              <w:bottom w:val="single" w:sz="8" w:color="808080"/>
            </w:tcBorders>
          </w:tcPr>
          <w:p>
            <w:pPr>
              <w:spacing w:after="0"/>
              <w:rPr>
                <w:sz w:val="10"/>
                <w:szCs w:val="10"/>
                <w:color w:val="auto"/>
              </w:rPr>
            </w:pPr>
          </w:p>
        </w:tc>
        <w:tc>
          <w:tcPr>
            <w:tcW w:w="2620" w:type="dxa"/>
            <w:vAlign w:val="bottom"/>
            <w:tcBorders>
              <w:bottom w:val="single" w:sz="8" w:color="808080"/>
            </w:tcBorders>
          </w:tcPr>
          <w:p>
            <w:pPr>
              <w:spacing w:after="0"/>
              <w:rPr>
                <w:sz w:val="10"/>
                <w:szCs w:val="10"/>
                <w:color w:val="auto"/>
              </w:rPr>
            </w:pPr>
          </w:p>
        </w:tc>
        <w:tc>
          <w:tcPr>
            <w:tcW w:w="48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4" w:name="page55"/>
    <w:bookmarkEnd w:id="54"/>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A. Naegelin, Jr., certify that:</w:t>
      </w:r>
    </w:p>
    <w:p>
      <w:pPr>
        <w:spacing w:after="0" w:line="225"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Rush Enterprises, Inc.;</w:t>
      </w:r>
    </w:p>
    <w:p>
      <w:pPr>
        <w:spacing w:after="0" w:line="225" w:lineRule="exact"/>
        <w:rPr>
          <w:rFonts w:ascii="Arial" w:cs="Arial" w:eastAsia="Arial" w:hAnsi="Arial"/>
          <w:sz w:val="18"/>
          <w:szCs w:val="18"/>
          <w:color w:val="auto"/>
        </w:rPr>
      </w:pPr>
    </w:p>
    <w:p>
      <w:pPr>
        <w:ind w:right="300" w:firstLine="8"/>
        <w:spacing w:after="0" w:line="342" w:lineRule="auto"/>
        <w:tabs>
          <w:tab w:leader="none" w:pos="6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8"/>
        <w:spacing w:after="0" w:line="277" w:lineRule="auto"/>
        <w:tabs>
          <w:tab w:leader="none" w:pos="6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80" w:firstLine="8"/>
        <w:spacing w:after="0" w:line="264" w:lineRule="auto"/>
        <w:tabs>
          <w:tab w:leader="none" w:pos="66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40" w:firstLine="656"/>
        <w:spacing w:after="0" w:line="264" w:lineRule="auto"/>
        <w:tabs>
          <w:tab w:leader="none" w:pos="1301"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40" w:firstLine="656"/>
        <w:spacing w:after="0" w:line="264"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60" w:firstLine="656"/>
        <w:spacing w:after="0" w:line="342" w:lineRule="auto"/>
        <w:tabs>
          <w:tab w:leader="none" w:pos="1301"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right="440" w:firstLine="656"/>
        <w:spacing w:after="0" w:line="264"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180" w:firstLine="8"/>
        <w:spacing w:after="0" w:line="308" w:lineRule="auto"/>
        <w:tabs>
          <w:tab w:leader="none" w:pos="662"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right="700" w:firstLine="656"/>
        <w:spacing w:after="0" w:line="308" w:lineRule="auto"/>
        <w:tabs>
          <w:tab w:leader="none" w:pos="1301"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656"/>
        <w:spacing w:after="0" w:line="277" w:lineRule="auto"/>
        <w:tabs>
          <w:tab w:leader="none" w:pos="129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Date: March 13, 2006</w:t>
            </w:r>
          </w:p>
        </w:tc>
        <w:tc>
          <w:tcPr>
            <w:tcW w:w="7460" w:type="dxa"/>
            <w:vAlign w:val="bottom"/>
            <w:gridSpan w:val="2"/>
          </w:tcPr>
          <w:p>
            <w:pPr>
              <w:ind w:left="2380"/>
              <w:spacing w:after="0"/>
              <w:rPr>
                <w:sz w:val="20"/>
                <w:szCs w:val="20"/>
                <w:color w:val="auto"/>
              </w:rPr>
            </w:pPr>
            <w:r>
              <w:rPr>
                <w:rFonts w:ascii="Arial" w:cs="Arial" w:eastAsia="Arial" w:hAnsi="Arial"/>
                <w:sz w:val="18"/>
                <w:szCs w:val="18"/>
                <w:color w:val="auto"/>
              </w:rPr>
              <w:t>By:  /S/ MARTIN A. NAEGELIN, JR.</w:t>
            </w:r>
          </w:p>
        </w:tc>
        <w:tc>
          <w:tcPr>
            <w:tcW w:w="20" w:type="dxa"/>
            <w:vAlign w:val="bottom"/>
          </w:tcPr>
          <w:p>
            <w:pPr>
              <w:spacing w:after="0"/>
              <w:rPr>
                <w:sz w:val="20"/>
                <w:szCs w:val="20"/>
                <w:color w:val="auto"/>
              </w:rPr>
            </w:pPr>
          </w:p>
        </w:tc>
      </w:tr>
      <w:tr>
        <w:trPr>
          <w:trHeight w:val="195"/>
        </w:trPr>
        <w:tc>
          <w:tcPr>
            <w:tcW w:w="39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Martin A. Naegelin, Jr.</w:t>
            </w:r>
          </w:p>
        </w:tc>
        <w:tc>
          <w:tcPr>
            <w:tcW w:w="20" w:type="dxa"/>
            <w:vAlign w:val="bottom"/>
          </w:tcPr>
          <w:p>
            <w:pPr>
              <w:spacing w:after="0"/>
              <w:rPr>
                <w:sz w:val="16"/>
                <w:szCs w:val="16"/>
                <w:color w:val="auto"/>
              </w:rPr>
            </w:pPr>
          </w:p>
        </w:tc>
      </w:tr>
      <w:tr>
        <w:trPr>
          <w:trHeight w:val="216"/>
        </w:trPr>
        <w:tc>
          <w:tcPr>
            <w:tcW w:w="3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20" w:type="dxa"/>
            <w:vAlign w:val="bottom"/>
          </w:tcPr>
          <w:p>
            <w:pPr>
              <w:spacing w:after="0"/>
              <w:rPr>
                <w:sz w:val="18"/>
                <w:szCs w:val="18"/>
                <w:color w:val="auto"/>
              </w:rPr>
            </w:pPr>
          </w:p>
        </w:tc>
      </w:tr>
      <w:tr>
        <w:trPr>
          <w:trHeight w:val="230"/>
        </w:trPr>
        <w:tc>
          <w:tcPr>
            <w:tcW w:w="39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 w:type="dxa"/>
            <w:vAlign w:val="bottom"/>
          </w:tcPr>
          <w:p>
            <w:pPr>
              <w:spacing w:after="0"/>
              <w:rPr>
                <w:sz w:val="20"/>
                <w:szCs w:val="20"/>
                <w:color w:val="auto"/>
              </w:rPr>
            </w:pPr>
          </w:p>
        </w:tc>
      </w:tr>
      <w:tr>
        <w:trPr>
          <w:trHeight w:val="432"/>
        </w:trPr>
        <w:tc>
          <w:tcPr>
            <w:tcW w:w="3960" w:type="dxa"/>
            <w:vAlign w:val="bottom"/>
          </w:tcPr>
          <w:p>
            <w:pPr>
              <w:spacing w:after="0"/>
              <w:rPr>
                <w:sz w:val="24"/>
                <w:szCs w:val="24"/>
                <w:color w:val="auto"/>
              </w:rPr>
            </w:pPr>
          </w:p>
        </w:tc>
        <w:tc>
          <w:tcPr>
            <w:tcW w:w="2820" w:type="dxa"/>
            <w:vAlign w:val="bottom"/>
          </w:tcPr>
          <w:p>
            <w:pPr>
              <w:jc w:val="right"/>
              <w:ind w:right="930"/>
              <w:spacing w:after="0"/>
              <w:rPr>
                <w:sz w:val="20"/>
                <w:szCs w:val="20"/>
                <w:color w:val="auto"/>
              </w:rPr>
            </w:pPr>
            <w:r>
              <w:rPr>
                <w:rFonts w:ascii="Arial" w:cs="Arial" w:eastAsia="Arial" w:hAnsi="Arial"/>
                <w:sz w:val="18"/>
                <w:szCs w:val="18"/>
                <w:color w:val="auto"/>
              </w:rPr>
              <w:t>1</w:t>
            </w:r>
          </w:p>
        </w:tc>
        <w:tc>
          <w:tcPr>
            <w:tcW w:w="4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960" w:type="dxa"/>
            <w:vAlign w:val="bottom"/>
            <w:tcBorders>
              <w:bottom w:val="single" w:sz="8" w:color="808080"/>
            </w:tcBorders>
          </w:tcPr>
          <w:p>
            <w:pPr>
              <w:spacing w:after="0"/>
              <w:rPr>
                <w:sz w:val="10"/>
                <w:szCs w:val="10"/>
                <w:color w:val="auto"/>
              </w:rPr>
            </w:pPr>
          </w:p>
        </w:tc>
        <w:tc>
          <w:tcPr>
            <w:tcW w:w="282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2005 as filed with the Securities and Exchange Commission on the date hereof (the “Report”), I, W. M. “Rusty” Rush, Chairman and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440" w:hanging="4"/>
        <w:spacing w:after="0" w:line="277" w:lineRule="auto"/>
        <w:tabs>
          <w:tab w:leader="none" w:pos="132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tbl>
      <w:tblPr>
        <w:tblLayout w:type="fixed"/>
        <w:tblInd w:w="590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 “RUSTY” RUSH</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W. M. “Rusty” Rush</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March 13, 2006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In connection with this annual report of Rush Enterprises, Inc. (the “Company”) on Form 10-K for the year ended December 31, 2005 as filed with the Securities and Exchange Commission on the date hereof (the “Report”), I, Martin A. Naegelin, Jr., Senior Vice President and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1320" w:hanging="66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440" w:hanging="4"/>
        <w:spacing w:after="0" w:line="277" w:lineRule="auto"/>
        <w:tabs>
          <w:tab w:leader="none" w:pos="132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59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A. NAEGELIN, JR</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80" w:type="dxa"/>
            <w:vAlign w:val="bottom"/>
          </w:tcPr>
          <w:p>
            <w:pPr>
              <w:spacing w:after="0" w:line="195" w:lineRule="exact"/>
              <w:rPr>
                <w:sz w:val="20"/>
                <w:szCs w:val="20"/>
                <w:color w:val="auto"/>
              </w:rPr>
            </w:pPr>
            <w:r>
              <w:rPr>
                <w:rFonts w:ascii="Arial" w:cs="Arial" w:eastAsia="Arial" w:hAnsi="Arial"/>
                <w:sz w:val="18"/>
                <w:szCs w:val="18"/>
                <w:color w:val="auto"/>
              </w:rPr>
              <w:t>Martin A. Naegelin, Jr.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780" w:type="dxa"/>
            <w:vAlign w:val="bottom"/>
          </w:tcPr>
          <w:p>
            <w:pPr>
              <w:spacing w:after="0"/>
              <w:rPr>
                <w:sz w:val="20"/>
                <w:szCs w:val="20"/>
                <w:color w:val="auto"/>
              </w:rPr>
            </w:pPr>
            <w:r>
              <w:rPr>
                <w:rFonts w:ascii="Arial" w:cs="Arial" w:eastAsia="Arial" w:hAnsi="Arial"/>
                <w:sz w:val="18"/>
                <w:szCs w:val="18"/>
                <w:color w:val="auto"/>
              </w:rPr>
              <w:t>March 13, 2006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1)"/>
      <w:numFmt w:val="lowerLetter"/>
      <w:start w:val="25"/>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2"/>
    </w:lvl>
  </w:abstractNum>
  <w:abstractNum w:abstractNumId="9">
    <w:nsid w:val="628C895D"/>
    <w:multiLevelType w:val="hybridMultilevel"/>
    <w:lvl w:ilvl="0">
      <w:lvlJc w:val="left"/>
      <w:lvlText w:val="%1."/>
      <w:numFmt w:val="decimal"/>
      <w:start w:val="3"/>
    </w:lvl>
  </w:abstractNum>
  <w:abstractNum w:abstractNumId="10">
    <w:nsid w:val="333AB105"/>
    <w:multiLevelType w:val="hybridMultilevel"/>
    <w:lvl w:ilvl="0">
      <w:lvlJc w:val="left"/>
      <w:lvlText w:val="%1."/>
      <w:numFmt w:val="decimal"/>
      <w:start w:val="4"/>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7"/>
    </w:lvl>
  </w:abstractNum>
  <w:abstractNum w:abstractNumId="13">
    <w:nsid w:val="2D1D5AE9"/>
    <w:multiLevelType w:val="hybridMultilevel"/>
    <w:lvl w:ilvl="0">
      <w:lvlJc w:val="left"/>
      <w:lvlText w:val="%1."/>
      <w:numFmt w:val="decimal"/>
      <w:start w:val="8"/>
    </w:lvl>
  </w:abstractNum>
  <w:abstractNum w:abstractNumId="14">
    <w:nsid w:val="6763845E"/>
    <w:multiLevelType w:val="hybridMultilevel"/>
    <w:lvl w:ilvl="0">
      <w:lvlJc w:val="left"/>
      <w:lvlText w:val="%1."/>
      <w:numFmt w:val="decimal"/>
      <w:start w:val="10"/>
    </w:lvl>
  </w:abstractNum>
  <w:abstractNum w:abstractNumId="15">
    <w:nsid w:val="75A2A8D4"/>
    <w:multiLevelType w:val="hybridMultilevel"/>
    <w:lvl w:ilvl="0">
      <w:lvlJc w:val="left"/>
      <w:lvlText w:val="%1."/>
      <w:numFmt w:val="decimal"/>
      <w:start w:val="11"/>
    </w:lvl>
  </w:abstractNum>
  <w:abstractNum w:abstractNumId="16">
    <w:nsid w:val="8EDBDAB"/>
    <w:multiLevelType w:val="hybridMultilevel"/>
    <w:lvl w:ilvl="0">
      <w:lvlJc w:val="left"/>
      <w:lvlText w:val="%1."/>
      <w:numFmt w:val="decimal"/>
      <w:start w:val="12"/>
    </w:lvl>
  </w:abstractNum>
  <w:abstractNum w:abstractNumId="17">
    <w:nsid w:val="79838CB2"/>
    <w:multiLevelType w:val="hybridMultilevel"/>
    <w:lvl w:ilvl="0">
      <w:lvlJc w:val="left"/>
      <w:lvlText w:val="%1."/>
      <w:numFmt w:val="decimal"/>
      <w:start w:val="13"/>
    </w:lvl>
  </w:abstractNum>
  <w:abstractNum w:abstractNumId="18">
    <w:nsid w:val="4353D0CD"/>
    <w:multiLevelType w:val="hybridMultilevel"/>
    <w:lvl w:ilvl="0">
      <w:lvlJc w:val="left"/>
      <w:lvlText w:val="%1."/>
      <w:numFmt w:val="decimal"/>
      <w:start w:val="14"/>
    </w:lvl>
  </w:abstractNum>
  <w:abstractNum w:abstractNumId="19">
    <w:nsid w:val="B03E0C6"/>
    <w:multiLevelType w:val="hybridMultilevel"/>
    <w:lvl w:ilvl="0">
      <w:lvlJc w:val="left"/>
      <w:lvlText w:val="%1."/>
      <w:numFmt w:val="decimal"/>
      <w:start w:val="15"/>
    </w:lvl>
  </w:abstractNum>
  <w:abstractNum w:abstractNumId="20">
    <w:nsid w:val="189A769B"/>
    <w:multiLevelType w:val="hybridMultilevel"/>
    <w:lvl w:ilvl="0">
      <w:lvlJc w:val="left"/>
      <w:lvlText w:val="%1."/>
      <w:numFmt w:val="decimal"/>
      <w:start w:val="16"/>
    </w:lvl>
  </w:abstractNum>
  <w:abstractNum w:abstractNumId="21">
    <w:nsid w:val="54E49EB4"/>
    <w:multiLevelType w:val="hybridMultilevel"/>
    <w:lvl w:ilvl="0">
      <w:lvlJc w:val="left"/>
      <w:lvlText w:val="%1."/>
      <w:numFmt w:val="decimal"/>
      <w:start w:val="17"/>
    </w:lvl>
  </w:abstractNum>
  <w:abstractNum w:abstractNumId="22">
    <w:nsid w:val="71F32454"/>
    <w:multiLevelType w:val="hybridMultilevel"/>
    <w:lvl w:ilvl="0">
      <w:lvlJc w:val="left"/>
      <w:lvlText w:val="%1."/>
      <w:numFmt w:val="decimal"/>
      <w:start w:val="18"/>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 Id="rId79" Type="http://schemas.openxmlformats.org/officeDocument/2006/relationships/image" Target="media/image57.png"/><Relationship Id="rId80" Type="http://schemas.openxmlformats.org/officeDocument/2006/relationships/image" Target="media/image58.png"/><Relationship Id="rId81" Type="http://schemas.openxmlformats.org/officeDocument/2006/relationships/image" Target="media/image59.png"/><Relationship Id="rId82" Type="http://schemas.openxmlformats.org/officeDocument/2006/relationships/image" Target="media/image60.png"/><Relationship Id="rId83" Type="http://schemas.openxmlformats.org/officeDocument/2006/relationships/image" Target="media/image61.png"/><Relationship Id="rId84" Type="http://schemas.openxmlformats.org/officeDocument/2006/relationships/image" Target="media/image62.png"/><Relationship Id="rId85" Type="http://schemas.openxmlformats.org/officeDocument/2006/relationships/image" Target="media/image63.png"/><Relationship Id="rId86" Type="http://schemas.openxmlformats.org/officeDocument/2006/relationships/image" Target="media/image64.png"/><Relationship Id="rId87" Type="http://schemas.openxmlformats.org/officeDocument/2006/relationships/image" Target="media/image65.png"/><Relationship Id="rId88" Type="http://schemas.openxmlformats.org/officeDocument/2006/relationships/image" Target="media/image66.png"/><Relationship Id="rId89" Type="http://schemas.openxmlformats.org/officeDocument/2006/relationships/image" Target="media/image67.png"/><Relationship Id="rId90"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3" Type="http://schemas.openxmlformats.org/officeDocument/2006/relationships/image" Target="media/image71.png"/><Relationship Id="rId94"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jpe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31" Type="http://schemas.openxmlformats.org/officeDocument/2006/relationships/image" Target="media/image109.png"/><Relationship Id="rId132"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7" Type="http://schemas.openxmlformats.org/officeDocument/2006/relationships/image" Target="media/image115.png"/><Relationship Id="rId138" Type="http://schemas.openxmlformats.org/officeDocument/2006/relationships/image" Target="media/image116.png"/><Relationship Id="rId139" Type="http://schemas.openxmlformats.org/officeDocument/2006/relationships/image" Target="media/image117.png"/><Relationship Id="rId140" Type="http://schemas.openxmlformats.org/officeDocument/2006/relationships/image" Target="media/image118.png"/><Relationship Id="rId13" Type="http://schemas.openxmlformats.org/officeDocument/2006/relationships/hyperlink" Target="file:///data/convert/a06-1987_110k.htm#Item6_SelectedFinancialData_042027" TargetMode="External"/><Relationship Id="rId14" Type="http://schemas.openxmlformats.org/officeDocument/2006/relationships/hyperlink" Target="file:///data/convert/a06-1987_110k.htm#Item7_ManagementsDiscussionAndAna_042046" TargetMode="External"/><Relationship Id="rId15" Type="http://schemas.openxmlformats.org/officeDocument/2006/relationships/hyperlink" Target="file:///data/convert/a06-1987_110k.htm#Item7a_QuantitativeAndQualitative_042100" TargetMode="External"/><Relationship Id="rId16" Type="http://schemas.openxmlformats.org/officeDocument/2006/relationships/hyperlink" Target="file:///data/convert/a06-1987_110k.htm#Item8_FinancialStatementsAndSuppl_042109" TargetMode="External"/><Relationship Id="rId17" Type="http://schemas.openxmlformats.org/officeDocument/2006/relationships/hyperlink" Target="file:///data/convert/a06-1987_110k.htm#Item9_ChangesInAndDisagreementsWi_042124" TargetMode="External"/><Relationship Id="rId18" Type="http://schemas.openxmlformats.org/officeDocument/2006/relationships/hyperlink" Target="file:///data/convert/a06-1987_110k.htm#Item9a_ControlsAndProcedures_042126" TargetMode="External"/><Relationship Id="rId19" Type="http://schemas.openxmlformats.org/officeDocument/2006/relationships/hyperlink" Target="file:///data/convert/a06-1987_110k.htm#Item9b_OtherInformation_042131" TargetMode="External"/><Relationship Id="rId20" Type="http://schemas.openxmlformats.org/officeDocument/2006/relationships/hyperlink" Target="file:///data/convert/a06-1987_110k.htm#Partiii_042142" TargetMode="External"/><Relationship Id="rId21" Type="http://schemas.openxmlformats.org/officeDocument/2006/relationships/hyperlink" Target="file:///data/convert/a06-1987_110k.htm#Item10_DirectorsAndExecutiveOffic_042142" TargetMode="External"/><Relationship Id="rId22" Type="http://schemas.openxmlformats.org/officeDocument/2006/relationships/hyperlink" Target="file:///data/convert/a06-1987_110k.htm#Item11_ExecutiveCompensation_042145" TargetMode="External"/><Relationship Id="rId23" Type="http://schemas.openxmlformats.org/officeDocument/2006/relationships/hyperlink" Target="file:///data/convert/a06-1987_110k.htm#Item12_SecurityOwnershipOfCertain_042146" TargetMode="External"/><Relationship Id="rId24" Type="http://schemas.openxmlformats.org/officeDocument/2006/relationships/hyperlink" Target="file:///data/convert/a06-1987_110k.htm#Item13_CertainRelationshipsAndRel_042156" TargetMode="External"/><Relationship Id="rId25" Type="http://schemas.openxmlformats.org/officeDocument/2006/relationships/hyperlink" Target="file:///data/convert/a06-1987_110k.htm#Item14_PrincipalAccountantFeesAnd_042157" TargetMode="External"/><Relationship Id="rId26" Type="http://schemas.openxmlformats.org/officeDocument/2006/relationships/hyperlink" Target="file:///data/convert/a06-1987_110k.htm#Partiv_042159" TargetMode="External"/><Relationship Id="rId27" Type="http://schemas.openxmlformats.org/officeDocument/2006/relationships/hyperlink" Target="file:///data/convert/a06-1987_110k.htm#Item15_ExhibitsAndFinancialStatem_042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2019-12-14T08:20:19Z</dcterms:created>
  <dcterms:modified xsi:type="dcterms:W3CDTF">2019-12-14T08:20:19Z</dcterms:modified>
</cp:coreProperties>
</file>