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rusha20260930_10q.htm"/>
      <w:bookmarkStart w:id="1" w:name="ksrusha20260930_10q"/>
      <w:bookmarkEnd w:id="0"/>
      <w:bookmarkEnd w:id="1"/>
      <w:r>
        <w:t> </w:t>
      </w:r>
    </w:p>
    <w:p>
      <w:pPr>
        <w:pStyle w:val="TextBody"/>
        <w:bidi w:val="0"/>
        <w:spacing w:before="0" w:after="0"/>
        <w:ind w:left="0" w:right="0" w:hanging="0"/>
        <w:jc w:val="left"/>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_____________________ to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0-20797</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RUSH ENTERPRISES,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585"/>
        <w:gridCol w:w="60"/>
        <w:gridCol w:w="3440"/>
      </w:tblGrid>
      <w:tr>
        <w:tc>
          <w:tcPr>
            <w:tcW w:w="2585" w:type="dxa"/>
            <w:tcBorders/>
            <w:vAlign w:val="center"/>
          </w:tcPr>
          <w:p>
            <w:pPr>
              <w:pStyle w:val="TableContents"/>
              <w:bidi w:val="0"/>
              <w:spacing w:before="0" w:after="283"/>
              <w:jc w:val="center"/>
            </w:pPr>
            <w:r>
              <w:t>Texas</w:t>
            </w:r>
          </w:p>
        </w:tc>
        <w:tc>
          <w:tcPr>
            <w:tcW w:w="60" w:type="dxa"/>
            <w:tcBorders/>
            <w:vAlign w:val="center"/>
          </w:tcPr>
          <w:p>
            <w:pPr>
              <w:pStyle w:val="TableContents"/>
              <w:bidi w:val="0"/>
              <w:spacing w:before="0" w:after="283"/>
              <w:jc w:val="left"/>
            </w:pPr>
            <w:r>
              <w:t> </w:t>
            </w:r>
          </w:p>
        </w:tc>
        <w:tc>
          <w:tcPr>
            <w:tcW w:w="3440" w:type="dxa"/>
            <w:tcBorders/>
            <w:vAlign w:val="center"/>
          </w:tcPr>
          <w:p>
            <w:pPr>
              <w:pStyle w:val="TableContents"/>
              <w:bidi w:val="0"/>
              <w:spacing w:before="0" w:after="283"/>
              <w:jc w:val="center"/>
            </w:pPr>
            <w:r>
              <w:t>74-1733016</w:t>
            </w:r>
          </w:p>
        </w:tc>
      </w:tr>
      <w:tr>
        <w:tc>
          <w:tcPr>
            <w:tcW w:w="258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bidi w:val="0"/>
              <w:spacing w:before="0" w:after="0"/>
              <w:ind w:left="0" w:right="0" w:hanging="0"/>
              <w:jc w:val="center"/>
            </w:pPr>
            <w:r>
              <w:t> </w:t>
            </w:r>
            <w:r>
              <w:rPr>
                <w:rFonts w:ascii="Times New Roman;Times;serif" w:hAnsi="Times New Roman;Times;serif"/>
                <w:sz w:val="20"/>
              </w:rPr>
              <w:t>incorporation or organization) </w:t>
            </w:r>
          </w:p>
        </w:tc>
        <w:tc>
          <w:tcPr>
            <w:tcW w:w="60" w:type="dxa"/>
            <w:tcBorders/>
            <w:vAlign w:val="center"/>
          </w:tcPr>
          <w:p>
            <w:pPr>
              <w:pStyle w:val="TableContents"/>
              <w:bidi w:val="0"/>
              <w:spacing w:before="0" w:after="283"/>
              <w:jc w:val="left"/>
            </w:pPr>
            <w:r>
              <w:t> </w:t>
            </w:r>
          </w:p>
        </w:tc>
        <w:tc>
          <w:tcPr>
            <w:tcW w:w="3440" w:type="dxa"/>
            <w:tcBorders/>
            <w:vAlign w:val="center"/>
          </w:tcPr>
          <w:p>
            <w:pPr>
              <w:pStyle w:val="TableContents"/>
              <w:bidi w:val="0"/>
              <w:spacing w:before="0" w:after="283"/>
              <w:jc w:val="center"/>
            </w:pPr>
            <w: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555 I.H. 35 South, Suite 500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Braunfels, Texas 78130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(830) 302-5200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firstLine="540"/>
        <w:jc w:val="center"/>
        <w:rPr>
          <w:caps w:val="false"/>
          <w:smallCaps w:val="false"/>
        </w:rPr>
      </w:pPr>
      <w:r>
        <w:rPr>
          <w:caps w:val="false"/>
          <w:smallCaps w:val="false"/>
        </w:rPr>
        <w:t>                               </w:t>
      </w: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before="0" w:after="0"/>
        <w:ind w:left="0" w:right="0" w:firstLine="640"/>
        <w:jc w:val="center"/>
        <w:rPr>
          <w:caps w:val="false"/>
          <w:smallCaps w:val="false"/>
        </w:rPr>
      </w:pPr>
      <w:r>
        <w:rPr>
          <w:caps w:val="false"/>
          <w:smallCaps w:val="false"/>
        </w:rPr>
        <w:t>                             </w:t>
      </w: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165" w:type="dxa"/>
        <w:jc w:val="left"/>
        <w:tblInd w:w="0" w:type="dxa"/>
        <w:tblLayout w:type="fixed"/>
        <w:tblCellMar>
          <w:top w:w="0" w:type="dxa"/>
          <w:left w:w="0" w:type="dxa"/>
          <w:bottom w:w="0" w:type="dxa"/>
          <w:right w:w="0" w:type="dxa"/>
        </w:tblCellMar>
      </w:tblPr>
      <w:tblGrid>
        <w:gridCol w:w="2060"/>
        <w:gridCol w:w="1625"/>
        <w:gridCol w:w="1940"/>
        <w:gridCol w:w="2540"/>
      </w:tblGrid>
      <w:tr>
        <w:tc>
          <w:tcPr>
            <w:tcW w:w="20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 ☐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2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 ☐</w:t>
            </w:r>
          </w:p>
        </w:tc>
      </w:tr>
      <w:tr>
        <w:tc>
          <w:tcPr>
            <w:tcW w:w="2060" w:type="dxa"/>
            <w:tcBorders/>
            <w:vAlign w:val="center"/>
          </w:tcPr>
          <w:p>
            <w:pPr>
              <w:pStyle w:val="TableContents"/>
              <w:bidi w:val="0"/>
              <w:spacing w:before="0" w:after="283"/>
              <w:jc w:val="left"/>
            </w:pPr>
            <w:r>
              <w:t> </w:t>
            </w:r>
          </w:p>
        </w:tc>
        <w:tc>
          <w:tcPr>
            <w:tcW w:w="1625" w:type="dxa"/>
            <w:tcBorders/>
            <w:vAlign w:val="center"/>
          </w:tcPr>
          <w:p>
            <w:pPr>
              <w:pStyle w:val="TableContents"/>
              <w:bidi w:val="0"/>
              <w:spacing w:before="0" w:after="283"/>
              <w:jc w:val="left"/>
            </w:pPr>
            <w:r>
              <w:t> </w:t>
            </w:r>
          </w:p>
        </w:tc>
        <w:tc>
          <w:tcPr>
            <w:tcW w:w="1940" w:type="dxa"/>
            <w:tcBorders/>
            <w:vAlign w:val="center"/>
          </w:tcPr>
          <w:p>
            <w:pPr>
              <w:pStyle w:val="TableContents"/>
              <w:bidi w:val="0"/>
              <w:spacing w:before="0" w:after="283"/>
              <w:jc w:val="left"/>
            </w:pPr>
            <w:r>
              <w:t> </w:t>
            </w:r>
          </w:p>
        </w:tc>
        <w:tc>
          <w:tcPr>
            <w:tcW w:w="2540" w:type="dxa"/>
            <w:tcBorders/>
            <w:vAlign w:val="center"/>
          </w:tcPr>
          <w:p>
            <w:pPr>
              <w:pStyle w:val="TableContents"/>
              <w:bidi w:val="0"/>
              <w:spacing w:before="0" w:after="283"/>
              <w:jc w:val="both"/>
            </w:pPr>
            <w:r>
              <w:t> </w:t>
            </w:r>
          </w:p>
        </w:tc>
      </w:tr>
      <w:tr>
        <w:tc>
          <w:tcPr>
            <w:tcW w:w="2060" w:type="dxa"/>
            <w:tcBorders/>
            <w:vAlign w:val="center"/>
          </w:tcPr>
          <w:p>
            <w:pPr>
              <w:pStyle w:val="TableContents"/>
              <w:bidi w:val="0"/>
              <w:spacing w:before="0" w:after="283"/>
              <w:jc w:val="left"/>
            </w:pPr>
            <w:r>
              <w:t> </w:t>
            </w:r>
          </w:p>
        </w:tc>
        <w:tc>
          <w:tcPr>
            <w:tcW w:w="1625" w:type="dxa"/>
            <w:tcBorders/>
            <w:vAlign w:val="center"/>
          </w:tcPr>
          <w:p>
            <w:pPr>
              <w:pStyle w:val="TableContents"/>
              <w:bidi w:val="0"/>
              <w:spacing w:before="0" w:after="283"/>
              <w:jc w:val="left"/>
            </w:pPr>
            <w:r>
              <w:t> </w:t>
            </w:r>
          </w:p>
        </w:tc>
        <w:tc>
          <w:tcPr>
            <w:tcW w:w="1940" w:type="dxa"/>
            <w:tcBorders/>
            <w:vAlign w:val="center"/>
          </w:tcPr>
          <w:p>
            <w:pPr>
              <w:pStyle w:val="TableContents"/>
              <w:bidi w:val="0"/>
              <w:spacing w:before="0" w:after="283"/>
              <w:jc w:val="left"/>
            </w:pPr>
            <w:r>
              <w:t> </w:t>
            </w:r>
          </w:p>
        </w:tc>
        <w:tc>
          <w:tcPr>
            <w:tcW w:w="2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Indicated below is the number of shares outstanding of each of the issuer’s classes of common stock, as of October 30, 2026.</w:t>
      </w:r>
    </w:p>
    <w:p>
      <w:pPr>
        <w:pStyle w:val="TextBody"/>
        <w:bidi w:val="0"/>
        <w:spacing w:before="0" w:after="0"/>
        <w:ind w:left="0" w:right="0" w:hanging="0"/>
        <w:jc w:val="left"/>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3860"/>
        <w:gridCol w:w="1745"/>
      </w:tblGrid>
      <w:tr>
        <w:tc>
          <w:tcPr>
            <w:tcW w:w="3860" w:type="dxa"/>
            <w:tcBorders/>
            <w:vAlign w:val="center"/>
          </w:tcPr>
          <w:p>
            <w:pPr>
              <w:pStyle w:val="TableContents"/>
              <w:bidi w:val="0"/>
              <w:spacing w:before="0" w:after="283"/>
              <w:jc w:val="left"/>
            </w:pPr>
            <w:r>
              <w:t> </w:t>
            </w:r>
          </w:p>
        </w:tc>
        <w:tc>
          <w:tcPr>
            <w:tcW w:w="1745" w:type="dxa"/>
            <w:tcBorders/>
            <w:vAlign w:val="center"/>
          </w:tcPr>
          <w:p>
            <w:pPr>
              <w:pStyle w:val="TableContents"/>
              <w:bidi w:val="0"/>
              <w:spacing w:before="0" w:after="283"/>
              <w:jc w:val="center"/>
            </w:pPr>
            <w:r>
              <w:t>Number of Shares</w:t>
            </w:r>
          </w:p>
        </w:tc>
      </w:tr>
      <w:tr>
        <w:tc>
          <w:tcPr>
            <w:tcW w:w="3860" w:type="dxa"/>
            <w:tcBorders/>
            <w:vAlign w:val="center"/>
          </w:tcPr>
          <w:p>
            <w:pPr>
              <w:pStyle w:val="TableContents"/>
              <w:bidi w:val="0"/>
              <w:spacing w:before="0" w:after="283"/>
              <w:jc w:val="center"/>
              <w:rPr>
                <w:u w:val="single"/>
              </w:rPr>
            </w:pPr>
            <w:r>
              <w:rPr>
                <w:u w:val="single"/>
              </w:rPr>
              <w:t>Title of Class</w:t>
            </w:r>
          </w:p>
        </w:tc>
        <w:tc>
          <w:tcPr>
            <w:tcW w:w="1745" w:type="dxa"/>
            <w:tcBorders/>
            <w:vAlign w:val="center"/>
          </w:tcPr>
          <w:p>
            <w:pPr>
              <w:pStyle w:val="TableContents"/>
              <w:bidi w:val="0"/>
              <w:spacing w:before="0" w:after="283"/>
              <w:jc w:val="center"/>
              <w:rPr>
                <w:u w:val="single"/>
              </w:rPr>
            </w:pPr>
            <w:r>
              <w:rPr>
                <w:u w:val="single"/>
              </w:rPr>
              <w:t>Outstanding</w:t>
            </w:r>
          </w:p>
        </w:tc>
      </w:tr>
      <w:tr>
        <w:tc>
          <w:tcPr>
            <w:tcW w:w="3860" w:type="dxa"/>
            <w:tcBorders/>
            <w:vAlign w:val="center"/>
          </w:tcPr>
          <w:p>
            <w:pPr>
              <w:pStyle w:val="TableContents"/>
              <w:bidi w:val="0"/>
              <w:spacing w:before="0" w:after="283"/>
              <w:jc w:val="center"/>
            </w:pPr>
            <w:r>
              <w:t>Class A Common Stock, $.01 Par Value</w:t>
            </w:r>
          </w:p>
        </w:tc>
        <w:tc>
          <w:tcPr>
            <w:tcW w:w="1745" w:type="dxa"/>
            <w:tcBorders/>
            <w:vAlign w:val="center"/>
          </w:tcPr>
          <w:p>
            <w:pPr>
              <w:pStyle w:val="TableContents"/>
              <w:bidi w:val="0"/>
              <w:spacing w:before="0" w:after="283"/>
              <w:jc w:val="center"/>
            </w:pPr>
            <w:r>
              <w:t>91,177,835</w:t>
            </w:r>
          </w:p>
        </w:tc>
      </w:tr>
      <w:tr>
        <w:tc>
          <w:tcPr>
            <w:tcW w:w="3860" w:type="dxa"/>
            <w:tcBorders/>
            <w:vAlign w:val="center"/>
          </w:tcPr>
          <w:p>
            <w:pPr>
              <w:pStyle w:val="TableContents"/>
              <w:bidi w:val="0"/>
              <w:spacing w:before="0" w:after="283"/>
              <w:jc w:val="center"/>
            </w:pPr>
            <w:r>
              <w:t>Class B Common Stock, $.01 Par Value</w:t>
            </w:r>
          </w:p>
        </w:tc>
        <w:tc>
          <w:tcPr>
            <w:tcW w:w="1745" w:type="dxa"/>
            <w:tcBorders/>
            <w:vAlign w:val="center"/>
          </w:tcPr>
          <w:p>
            <w:pPr>
              <w:pStyle w:val="TableContents"/>
              <w:bidi w:val="0"/>
              <w:spacing w:before="0" w:after="283"/>
              <w:jc w:val="center"/>
            </w:pPr>
            <w:r>
              <w:t>25,003,388</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28" w:type="dxa"/>
          <w:left w:w="28" w:type="dxa"/>
          <w:bottom w:w="28" w:type="dxa"/>
          <w:right w:w="0" w:type="dxa"/>
        </w:tblCellMar>
      </w:tblPr>
      <w:tblGrid>
        <w:gridCol w:w="3390"/>
        <w:gridCol w:w="1535"/>
        <w:gridCol w:w="3575"/>
      </w:tblGrid>
      <w:tr>
        <w:tc>
          <w:tcPr>
            <w:tcW w:w="339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c>
          <w:tcPr>
            <w:tcW w:w="3390" w:type="dxa"/>
            <w:tcBorders>
              <w:left w:val="single" w:sz="2" w:space="0" w:color="000000"/>
            </w:tcBorders>
            <w:tcMar>
              <w:top w:w="0" w:type="dxa"/>
              <w:bottom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A Common Stock, $0.01 par value</w:t>
            </w:r>
          </w:p>
        </w:tc>
        <w:tc>
          <w:tcPr>
            <w:tcW w:w="1535" w:type="dxa"/>
            <w:tcBorders>
              <w:left w:val="single" w:sz="2" w:space="0" w:color="000000"/>
              <w:right w:val="single" w:sz="2" w:space="0" w:color="000000"/>
            </w:tcBorders>
            <w:tcMar>
              <w:top w:w="0" w:type="dxa"/>
              <w:bottom w:w="0" w:type="dxa"/>
              <w:right w:w="28" w:type="dxa"/>
            </w:tcMar>
            <w:vAlign w:val="center"/>
          </w:tcPr>
          <w:p>
            <w:pPr>
              <w:pStyle w:val="TableContents"/>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RUSHA</w:t>
            </w:r>
          </w:p>
        </w:tc>
        <w:tc>
          <w:tcPr>
            <w:tcW w:w="3575" w:type="dxa"/>
            <w:tcBorders>
              <w:right w:val="single" w:sz="2" w:space="0" w:color="000000"/>
            </w:tcBorders>
            <w:tcMar>
              <w:top w:w="0" w:type="dxa"/>
              <w:left w:w="0" w:type="dxa"/>
              <w:bottom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r>
        <w:tc>
          <w:tcPr>
            <w:tcW w:w="3390" w:type="dxa"/>
            <w:tcBorders>
              <w:left w:val="single" w:sz="2" w:space="0" w:color="000000"/>
            </w:tcBorders>
            <w:tcMar>
              <w:top w:w="0" w:type="dxa"/>
              <w:bottom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B Common Stock, $0.01 par value</w:t>
            </w:r>
          </w:p>
        </w:tc>
        <w:tc>
          <w:tcPr>
            <w:tcW w:w="1535" w:type="dxa"/>
            <w:tcBorders>
              <w:left w:val="single" w:sz="2" w:space="0" w:color="000000"/>
              <w:right w:val="single" w:sz="2" w:space="0" w:color="000000"/>
            </w:tcBorders>
            <w:tcMar>
              <w:top w:w="0" w:type="dxa"/>
              <w:bottom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RUSHB</w:t>
            </w:r>
          </w:p>
        </w:tc>
        <w:tc>
          <w:tcPr>
            <w:tcW w:w="3575" w:type="dxa"/>
            <w:tcBorders>
              <w:right w:val="single" w:sz="2" w:space="0" w:color="000000"/>
            </w:tcBorders>
            <w:tcMar>
              <w:top w:w="0" w:type="dxa"/>
              <w:left w:w="0" w:type="dxa"/>
              <w:bottom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r>
        <w:tc>
          <w:tcPr>
            <w:tcW w:w="3390" w:type="dxa"/>
            <w:tcBorders>
              <w:left w:val="single" w:sz="2" w:space="0" w:color="000000"/>
            </w:tcBorders>
            <w:tcMar>
              <w:top w:w="0" w:type="dxa"/>
              <w:bottom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A Common Stock, $0.01 par value</w:t>
            </w:r>
          </w:p>
        </w:tc>
        <w:tc>
          <w:tcPr>
            <w:tcW w:w="1535" w:type="dxa"/>
            <w:tcBorders>
              <w:left w:val="single" w:sz="2" w:space="0" w:color="000000"/>
              <w:right w:val="single" w:sz="2" w:space="0" w:color="000000"/>
            </w:tcBorders>
            <w:tcMar>
              <w:top w:w="0" w:type="dxa"/>
              <w:bottom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RUSHA</w:t>
            </w:r>
          </w:p>
        </w:tc>
        <w:tc>
          <w:tcPr>
            <w:tcW w:w="3575" w:type="dxa"/>
            <w:tcBorders>
              <w:right w:val="single" w:sz="2" w:space="0" w:color="000000"/>
            </w:tcBorders>
            <w:tcMar>
              <w:top w:w="0" w:type="dxa"/>
              <w:left w:w="0" w:type="dxa"/>
              <w:bottom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Texas, LLC</w:t>
            </w:r>
          </w:p>
        </w:tc>
      </w:tr>
      <w:tr>
        <w:tc>
          <w:tcPr>
            <w:tcW w:w="3390" w:type="dxa"/>
            <w:tcBorders>
              <w:left w:val="single" w:sz="2" w:space="0" w:color="000000"/>
              <w:bottom w:val="single" w:sz="2" w:space="0" w:color="000000"/>
            </w:tcBorders>
            <w:tcMar>
              <w:top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B Common Stock, $0.01 par value</w:t>
            </w:r>
          </w:p>
        </w:tc>
        <w:tc>
          <w:tcPr>
            <w:tcW w:w="153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RUSHB</w:t>
            </w:r>
          </w:p>
        </w:tc>
        <w:tc>
          <w:tcPr>
            <w:tcW w:w="357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Texas, LLC</w:t>
            </w:r>
          </w:p>
        </w:tc>
      </w:tr>
    </w:tbl>
    <w:p>
      <w:pPr>
        <w:pStyle w:val="TextBody"/>
        <w:bidi w:val="0"/>
        <w:spacing w:before="0" w:after="0"/>
        <w:ind w:left="0" w:right="0" w:hanging="0"/>
        <w:jc w:val="left"/>
      </w:pPr>
      <w:r>
        <w:t> </w:t>
      </w:r>
    </w:p>
    <w:p>
      <w:pPr>
        <w:pStyle w:val="TextBody"/>
        <w:bidi w:val="0"/>
        <w:spacing w:before="0" w:after="0"/>
        <w:ind w:left="0" w:right="0" w:hanging="0"/>
        <w:jc w:val="center"/>
      </w:pPr>
      <w:r>
        <w:t> </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firstLine="36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RUSH ENTERPRISES, INC.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25"/>
        <w:gridCol w:w="8425"/>
        <w:gridCol w:w="455"/>
      </w:tblGrid>
      <w:tr>
        <w:tc>
          <w:tcPr>
            <w:tcW w:w="9750" w:type="dxa"/>
            <w:gridSpan w:val="2"/>
            <w:tcBorders/>
            <w:vAlign w:val="center"/>
          </w:tcPr>
          <w:p>
            <w:pPr>
              <w:pStyle w:val="TableContents"/>
              <w:bidi w:val="0"/>
              <w:spacing w:before="0" w:after="283"/>
              <w:jc w:val="left"/>
            </w:pPr>
            <w:hyperlink w:anchor="p1">
              <w:r>
                <w:rPr>
                  <w:rStyle w:val="InternetLink"/>
                  <w:rFonts w:ascii="Times New Roman;Times;serif" w:hAnsi="Times New Roman;Times;serif"/>
                  <w:b/>
                  <w:sz w:val="20"/>
                </w:rPr>
                <w:t>PART I. FINANCIAL INFORMATION</w:t>
              </w:r>
            </w:hyperlink>
          </w:p>
        </w:tc>
        <w:tc>
          <w:tcPr>
            <w:tcW w:w="45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Page</w:t>
            </w:r>
          </w:p>
        </w:tc>
      </w:tr>
      <w:tr>
        <w:tc>
          <w:tcPr>
            <w:tcW w:w="9750" w:type="dxa"/>
            <w:gridSpan w:val="2"/>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center"/>
            </w:pPr>
            <w:r>
              <w:t> </w:t>
            </w:r>
          </w:p>
        </w:tc>
      </w:tr>
      <w:tr>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Item 1.</w:t>
            </w:r>
          </w:p>
        </w:tc>
        <w:tc>
          <w:tcPr>
            <w:tcW w:w="8425" w:type="dxa"/>
            <w:tcBorders/>
            <w:vAlign w:val="center"/>
          </w:tcPr>
          <w:p>
            <w:pPr>
              <w:pStyle w:val="TableContents"/>
              <w:bidi w:val="0"/>
              <w:spacing w:before="0" w:after="283"/>
              <w:jc w:val="left"/>
            </w:pPr>
            <w:hyperlink w:anchor="bs">
              <w:r>
                <w:rPr>
                  <w:rStyle w:val="InternetLink"/>
                  <w:rFonts w:ascii="Times New Roman;Times;serif" w:hAnsi="Times New Roman;Times;serif"/>
                  <w:sz w:val="20"/>
                </w:rPr>
                <w:t>Consolidated Balance Sheets - September 30, 2026 (unaudited) and December 31, 2025</w:t>
              </w:r>
            </w:hyperlink>
          </w:p>
        </w:tc>
        <w:tc>
          <w:tcPr>
            <w:tcW w:w="455" w:type="dxa"/>
            <w:tcBorders/>
            <w:vAlign w:val="center"/>
          </w:tcPr>
          <w:p>
            <w:pPr>
              <w:pStyle w:val="TableContents"/>
              <w:bidi w:val="0"/>
              <w:spacing w:before="0" w:after="283"/>
              <w:jc w:val="center"/>
            </w:pPr>
            <w:hyperlink w:anchor="bs">
              <w:r>
                <w:rPr>
                  <w:rStyle w:val="InternetLink"/>
                  <w:rFonts w:ascii="Times New Roman;Times;serif" w:hAnsi="Times New Roman;Times;serif"/>
                  <w:sz w:val="20"/>
                </w:rPr>
                <w:t>3</w:t>
              </w:r>
            </w:hyperlink>
          </w:p>
        </w:tc>
      </w:tr>
      <w:tr>
        <w:tc>
          <w:tcPr>
            <w:tcW w:w="1325" w:type="dxa"/>
            <w:tcBorders/>
            <w:vAlign w:val="center"/>
          </w:tcPr>
          <w:p>
            <w:pPr>
              <w:pStyle w:val="TableContents"/>
              <w:bidi w:val="0"/>
              <w:spacing w:before="0" w:after="283"/>
              <w:jc w:val="center"/>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left"/>
            </w:pPr>
            <w:r>
              <w:t> </w:t>
            </w:r>
          </w:p>
        </w:tc>
        <w:tc>
          <w:tcPr>
            <w:tcW w:w="8425" w:type="dxa"/>
            <w:tcBorders/>
            <w:vAlign w:val="center"/>
          </w:tcPr>
          <w:p>
            <w:pPr>
              <w:pStyle w:val="TableContents"/>
              <w:bidi w:val="0"/>
              <w:spacing w:before="0" w:after="0"/>
              <w:ind w:left="0" w:right="0" w:hanging="0"/>
              <w:jc w:val="left"/>
            </w:pPr>
            <w:hyperlink w:anchor="si">
              <w:r>
                <w:rPr>
                  <w:rStyle w:val="InternetLink"/>
                  <w:rFonts w:ascii="Times New Roman;Times;serif" w:hAnsi="Times New Roman;Times;serif"/>
                  <w:caps w:val="false"/>
                  <w:smallCaps w:val="false"/>
                  <w:sz w:val="20"/>
                </w:rPr>
                <w:t>Consolidated Statements of Income - For the Three and Nine Months Ended September 30, 2026 and 2025 (unaudited)</w:t>
              </w:r>
            </w:hyperlink>
          </w:p>
        </w:tc>
        <w:tc>
          <w:tcPr>
            <w:tcW w:w="455" w:type="dxa"/>
            <w:tcBorders/>
            <w:vAlign w:val="center"/>
          </w:tcPr>
          <w:p>
            <w:pPr>
              <w:pStyle w:val="TableContents"/>
              <w:bidi w:val="0"/>
              <w:spacing w:before="0" w:after="283"/>
              <w:jc w:val="center"/>
            </w:pPr>
            <w:hyperlink w:anchor="si">
              <w:r>
                <w:rPr>
                  <w:rStyle w:val="InternetLink"/>
                  <w:rFonts w:ascii="Times New Roman;Times;serif" w:hAnsi="Times New Roman;Times;serif"/>
                  <w:sz w:val="20"/>
                </w:rPr>
                <w:t>4</w:t>
              </w:r>
            </w:hyperlink>
          </w:p>
        </w:tc>
      </w:tr>
      <w:tr>
        <w:tc>
          <w:tcPr>
            <w:tcW w:w="1325" w:type="dxa"/>
            <w:tcBorders/>
            <w:vAlign w:val="center"/>
          </w:tcPr>
          <w:p>
            <w:pPr>
              <w:pStyle w:val="TableContents"/>
              <w:bidi w:val="0"/>
              <w:spacing w:before="0" w:after="283"/>
              <w:jc w:val="left"/>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left"/>
            </w:pPr>
            <w:r>
              <w:t> </w:t>
            </w:r>
          </w:p>
        </w:tc>
        <w:tc>
          <w:tcPr>
            <w:tcW w:w="8425" w:type="dxa"/>
            <w:tcBorders/>
            <w:vAlign w:val="center"/>
          </w:tcPr>
          <w:p>
            <w:pPr>
              <w:pStyle w:val="TableContents"/>
              <w:bidi w:val="0"/>
              <w:spacing w:before="0" w:after="0"/>
              <w:ind w:left="0" w:right="0" w:hanging="0"/>
              <w:jc w:val="left"/>
            </w:pPr>
            <w:hyperlink w:anchor="ci">
              <w:r>
                <w:rPr>
                  <w:rStyle w:val="InternetLink"/>
                  <w:rFonts w:ascii="Times New Roman;Times;serif" w:hAnsi="Times New Roman;Times;serif"/>
                  <w:caps w:val="false"/>
                  <w:smallCaps w:val="false"/>
                  <w:sz w:val="20"/>
                </w:rPr>
                <w:t>Consolidated Statements of Comprehensive Income - For the Three and Nine Months Ended September 30, 2026 and 2025 (unaudited)</w:t>
              </w:r>
            </w:hyperlink>
          </w:p>
        </w:tc>
        <w:tc>
          <w:tcPr>
            <w:tcW w:w="455" w:type="dxa"/>
            <w:tcBorders/>
            <w:vAlign w:val="center"/>
          </w:tcPr>
          <w:p>
            <w:pPr>
              <w:pStyle w:val="TableContents"/>
              <w:bidi w:val="0"/>
              <w:spacing w:before="0" w:after="283"/>
              <w:jc w:val="center"/>
            </w:pPr>
            <w:hyperlink w:anchor="ci">
              <w:r>
                <w:rPr>
                  <w:rStyle w:val="InternetLink"/>
                  <w:rFonts w:ascii="Times New Roman;Times;serif" w:hAnsi="Times New Roman;Times;serif"/>
                  <w:sz w:val="20"/>
                </w:rPr>
                <w:t>5</w:t>
              </w:r>
            </w:hyperlink>
          </w:p>
        </w:tc>
      </w:tr>
      <w:tr>
        <w:tc>
          <w:tcPr>
            <w:tcW w:w="1325" w:type="dxa"/>
            <w:tcBorders/>
            <w:vAlign w:val="center"/>
          </w:tcPr>
          <w:p>
            <w:pPr>
              <w:pStyle w:val="TableContents"/>
              <w:bidi w:val="0"/>
              <w:spacing w:before="0" w:after="283"/>
              <w:jc w:val="left"/>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left"/>
            </w:pPr>
            <w:r>
              <w:t> </w:t>
            </w:r>
          </w:p>
        </w:tc>
        <w:tc>
          <w:tcPr>
            <w:tcW w:w="8425" w:type="dxa"/>
            <w:tcBorders/>
            <w:vAlign w:val="center"/>
          </w:tcPr>
          <w:p>
            <w:pPr>
              <w:pStyle w:val="TableContents"/>
              <w:bidi w:val="0"/>
              <w:spacing w:before="0" w:after="0"/>
              <w:ind w:left="0" w:right="0" w:hanging="0"/>
              <w:jc w:val="left"/>
            </w:pPr>
            <w:hyperlink w:anchor="se">
              <w:r>
                <w:rPr>
                  <w:rStyle w:val="InternetLink"/>
                  <w:rFonts w:ascii="Times New Roman;Times;serif" w:hAnsi="Times New Roman;Times;serif"/>
                  <w:caps w:val="false"/>
                  <w:smallCaps w:val="false"/>
                  <w:sz w:val="20"/>
                </w:rPr>
                <w:t>Consolidated Statements of Shareholders’ Equity – For the Three and Nine Months Ended September 30, 2026 and 2025 (unaudited)</w:t>
              </w:r>
            </w:hyperlink>
          </w:p>
        </w:tc>
        <w:tc>
          <w:tcPr>
            <w:tcW w:w="455" w:type="dxa"/>
            <w:tcBorders/>
            <w:vAlign w:val="center"/>
          </w:tcPr>
          <w:p>
            <w:pPr>
              <w:pStyle w:val="TableContents"/>
              <w:bidi w:val="0"/>
              <w:spacing w:before="0" w:after="283"/>
              <w:jc w:val="center"/>
            </w:pPr>
            <w:hyperlink w:anchor="se">
              <w:r>
                <w:rPr>
                  <w:rStyle w:val="InternetLink"/>
                  <w:rFonts w:ascii="Times New Roman;Times;serif" w:hAnsi="Times New Roman;Times;serif"/>
                  <w:sz w:val="20"/>
                </w:rPr>
                <w:t>6</w:t>
              </w:r>
            </w:hyperlink>
          </w:p>
        </w:tc>
      </w:tr>
      <w:tr>
        <w:tc>
          <w:tcPr>
            <w:tcW w:w="1325" w:type="dxa"/>
            <w:tcBorders/>
            <w:vAlign w:val="center"/>
          </w:tcPr>
          <w:p>
            <w:pPr>
              <w:pStyle w:val="TableContents"/>
              <w:bidi w:val="0"/>
              <w:spacing w:before="0" w:after="283"/>
              <w:jc w:val="left"/>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center"/>
            </w:pPr>
            <w:r>
              <w:t> </w:t>
            </w:r>
          </w:p>
        </w:tc>
      </w:tr>
      <w:tr>
        <w:tc>
          <w:tcPr>
            <w:tcW w:w="1325" w:type="dxa"/>
            <w:tcBorders/>
            <w:vAlign w:val="center"/>
          </w:tcPr>
          <w:p>
            <w:pPr>
              <w:pStyle w:val="TableContents"/>
              <w:bidi w:val="0"/>
              <w:spacing w:before="0" w:after="283"/>
              <w:jc w:val="left"/>
            </w:pPr>
            <w:r>
              <w:t> </w:t>
            </w:r>
          </w:p>
        </w:tc>
        <w:tc>
          <w:tcPr>
            <w:tcW w:w="8425" w:type="dxa"/>
            <w:tcBorders/>
            <w:vAlign w:val="center"/>
          </w:tcPr>
          <w:p>
            <w:pPr>
              <w:pStyle w:val="TableContents"/>
              <w:bidi w:val="0"/>
              <w:spacing w:before="0" w:after="0"/>
              <w:ind w:left="0" w:right="0" w:hanging="0"/>
              <w:jc w:val="left"/>
            </w:pPr>
            <w:hyperlink w:anchor="cf">
              <w:r>
                <w:rPr>
                  <w:rStyle w:val="InternetLink"/>
                  <w:rFonts w:ascii="Times New Roman;Times;serif" w:hAnsi="Times New Roman;Times;serif"/>
                  <w:caps w:val="false"/>
                  <w:smallCaps w:val="false"/>
                  <w:sz w:val="20"/>
                </w:rPr>
                <w:t>Consolidated Statements of Cash Flows - For the Nine Months Ended September 30, 2026 and 2025 (unaudited) </w:t>
              </w:r>
            </w:hyperlink>
          </w:p>
        </w:tc>
        <w:tc>
          <w:tcPr>
            <w:tcW w:w="455" w:type="dxa"/>
            <w:tcBorders/>
            <w:vAlign w:val="center"/>
          </w:tcPr>
          <w:p>
            <w:pPr>
              <w:pStyle w:val="TableContents"/>
              <w:bidi w:val="0"/>
              <w:spacing w:before="0" w:after="283"/>
              <w:jc w:val="center"/>
            </w:pPr>
            <w:hyperlink w:anchor="cf">
              <w:r>
                <w:rPr>
                  <w:rStyle w:val="InternetLink"/>
                  <w:rFonts w:ascii="Times New Roman;Times;serif" w:hAnsi="Times New Roman;Times;serif"/>
                  <w:sz w:val="20"/>
                </w:rPr>
                <w:t>8</w:t>
              </w:r>
            </w:hyperlink>
          </w:p>
        </w:tc>
      </w:tr>
      <w:tr>
        <w:tc>
          <w:tcPr>
            <w:tcW w:w="1325" w:type="dxa"/>
            <w:tcBorders/>
            <w:vAlign w:val="center"/>
          </w:tcPr>
          <w:p>
            <w:pPr>
              <w:pStyle w:val="TableContents"/>
              <w:bidi w:val="0"/>
              <w:spacing w:before="0" w:after="283"/>
              <w:jc w:val="left"/>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left"/>
            </w:pPr>
            <w:r>
              <w:t> </w:t>
            </w:r>
          </w:p>
        </w:tc>
        <w:tc>
          <w:tcPr>
            <w:tcW w:w="8425" w:type="dxa"/>
            <w:tcBorders/>
            <w:vAlign w:val="center"/>
          </w:tcPr>
          <w:p>
            <w:pPr>
              <w:pStyle w:val="TableContents"/>
              <w:bidi w:val="0"/>
              <w:spacing w:before="0" w:after="283"/>
              <w:jc w:val="left"/>
            </w:pPr>
            <w:hyperlink w:anchor="notes">
              <w:r>
                <w:rPr>
                  <w:rStyle w:val="InternetLink"/>
                  <w:rFonts w:ascii="Times New Roman;Times;serif" w:hAnsi="Times New Roman;Times;serif"/>
                  <w:sz w:val="20"/>
                </w:rPr>
                <w:t>Notes to Consolidated Financial Statements (unaudited)</w:t>
              </w:r>
            </w:hyperlink>
          </w:p>
        </w:tc>
        <w:tc>
          <w:tcPr>
            <w:tcW w:w="455" w:type="dxa"/>
            <w:tcBorders/>
            <w:vAlign w:val="center"/>
          </w:tcPr>
          <w:p>
            <w:pPr>
              <w:pStyle w:val="TableContents"/>
              <w:bidi w:val="0"/>
              <w:spacing w:before="0" w:after="283"/>
              <w:jc w:val="center"/>
            </w:pPr>
            <w:hyperlink w:anchor="notes">
              <w:r>
                <w:rPr>
                  <w:rStyle w:val="InternetLink"/>
                  <w:rFonts w:ascii="Times New Roman;Times;serif" w:hAnsi="Times New Roman;Times;serif"/>
                  <w:sz w:val="20"/>
                </w:rPr>
                <w:t>9</w:t>
              </w:r>
            </w:hyperlink>
          </w:p>
        </w:tc>
      </w:tr>
      <w:tr>
        <w:tc>
          <w:tcPr>
            <w:tcW w:w="1325" w:type="dxa"/>
            <w:tcBorders/>
            <w:vAlign w:val="center"/>
          </w:tcPr>
          <w:p>
            <w:pPr>
              <w:pStyle w:val="TableContents"/>
              <w:bidi w:val="0"/>
              <w:spacing w:before="0" w:after="283"/>
              <w:jc w:val="left"/>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Item 2.</w:t>
            </w:r>
          </w:p>
        </w:tc>
        <w:tc>
          <w:tcPr>
            <w:tcW w:w="8425" w:type="dxa"/>
            <w:tcBorders/>
            <w:vAlign w:val="center"/>
          </w:tcPr>
          <w:p>
            <w:pPr>
              <w:pStyle w:val="TableContents"/>
              <w:bidi w:val="0"/>
              <w:spacing w:before="0" w:after="0"/>
              <w:ind w:left="0" w:right="0" w:hanging="0"/>
              <w:jc w:val="left"/>
            </w:pPr>
            <w:hyperlink w:anchor="p1i2">
              <w:r>
                <w:rPr>
                  <w:rStyle w:val="InternetLink"/>
                  <w:rFonts w:ascii="Times New Roman;Times;serif" w:hAnsi="Times New Roman;Times;serif"/>
                  <w:caps w:val="false"/>
                  <w:smallCaps w:val="false"/>
                  <w:sz w:val="20"/>
                </w:rPr>
                <w:t>Management’s Discussion and Analysis of Financial Condition and Results of Operations</w:t>
              </w:r>
            </w:hyperlink>
          </w:p>
        </w:tc>
        <w:tc>
          <w:tcPr>
            <w:tcW w:w="455" w:type="dxa"/>
            <w:tcBorders/>
            <w:vAlign w:val="center"/>
          </w:tcPr>
          <w:p>
            <w:pPr>
              <w:pStyle w:val="TableContents"/>
              <w:bidi w:val="0"/>
              <w:spacing w:before="0" w:after="283"/>
              <w:jc w:val="center"/>
            </w:pPr>
            <w:hyperlink w:anchor="p1i2">
              <w:r>
                <w:rPr>
                  <w:rStyle w:val="InternetLink"/>
                  <w:rFonts w:ascii="Times New Roman;Times;serif" w:hAnsi="Times New Roman;Times;serif"/>
                  <w:sz w:val="20"/>
                </w:rPr>
                <w:t>16</w:t>
              </w:r>
            </w:hyperlink>
          </w:p>
        </w:tc>
      </w:tr>
      <w:tr>
        <w:tc>
          <w:tcPr>
            <w:tcW w:w="1325" w:type="dxa"/>
            <w:tcBorders/>
            <w:vAlign w:val="center"/>
          </w:tcPr>
          <w:p>
            <w:pPr>
              <w:pStyle w:val="TableContents"/>
              <w:bidi w:val="0"/>
              <w:spacing w:before="0" w:after="283"/>
              <w:jc w:val="center"/>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Item 3.</w:t>
            </w:r>
          </w:p>
        </w:tc>
        <w:tc>
          <w:tcPr>
            <w:tcW w:w="8425" w:type="dxa"/>
            <w:tcBorders/>
            <w:vAlign w:val="center"/>
          </w:tcPr>
          <w:p>
            <w:pPr>
              <w:pStyle w:val="TableContents"/>
              <w:bidi w:val="0"/>
              <w:spacing w:before="0" w:after="283"/>
              <w:jc w:val="left"/>
            </w:pPr>
            <w:hyperlink w:anchor="p1i3">
              <w:r>
                <w:rPr>
                  <w:rStyle w:val="InternetLink"/>
                  <w:rFonts w:ascii="Times New Roman;Times;serif" w:hAnsi="Times New Roman;Times;serif"/>
                  <w:sz w:val="20"/>
                </w:rPr>
                <w:t>Quantitative and Qualitative Disclosures About Market Risk</w:t>
              </w:r>
            </w:hyperlink>
          </w:p>
        </w:tc>
        <w:tc>
          <w:tcPr>
            <w:tcW w:w="455" w:type="dxa"/>
            <w:tcBorders/>
            <w:vAlign w:val="center"/>
          </w:tcPr>
          <w:p>
            <w:pPr>
              <w:pStyle w:val="TableContents"/>
              <w:bidi w:val="0"/>
              <w:spacing w:before="0" w:after="283"/>
              <w:jc w:val="center"/>
            </w:pPr>
            <w:hyperlink w:anchor="p1i3">
              <w:r>
                <w:rPr>
                  <w:rStyle w:val="InternetLink"/>
                  <w:rFonts w:ascii="Times New Roman;Times;serif" w:hAnsi="Times New Roman;Times;serif"/>
                  <w:sz w:val="20"/>
                </w:rPr>
                <w:t>28</w:t>
              </w:r>
            </w:hyperlink>
          </w:p>
        </w:tc>
      </w:tr>
      <w:tr>
        <w:tc>
          <w:tcPr>
            <w:tcW w:w="1325" w:type="dxa"/>
            <w:tcBorders/>
            <w:vAlign w:val="center"/>
          </w:tcPr>
          <w:p>
            <w:pPr>
              <w:pStyle w:val="TableContents"/>
              <w:bidi w:val="0"/>
              <w:spacing w:before="0" w:after="283"/>
              <w:jc w:val="center"/>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Item 4.</w:t>
            </w:r>
          </w:p>
        </w:tc>
        <w:tc>
          <w:tcPr>
            <w:tcW w:w="8425" w:type="dxa"/>
            <w:tcBorders/>
            <w:vAlign w:val="center"/>
          </w:tcPr>
          <w:p>
            <w:pPr>
              <w:pStyle w:val="TableContents"/>
              <w:bidi w:val="0"/>
              <w:spacing w:before="0" w:after="283"/>
              <w:jc w:val="left"/>
            </w:pPr>
            <w:hyperlink w:anchor="p1i4">
              <w:r>
                <w:rPr>
                  <w:rStyle w:val="InternetLink"/>
                  <w:rFonts w:ascii="Times New Roman;Times;serif" w:hAnsi="Times New Roman;Times;serif"/>
                  <w:sz w:val="20"/>
                </w:rPr>
                <w:t>Controls and Procedures</w:t>
              </w:r>
            </w:hyperlink>
          </w:p>
        </w:tc>
        <w:tc>
          <w:tcPr>
            <w:tcW w:w="455" w:type="dxa"/>
            <w:tcBorders/>
            <w:vAlign w:val="center"/>
          </w:tcPr>
          <w:p>
            <w:pPr>
              <w:pStyle w:val="TableContents"/>
              <w:bidi w:val="0"/>
              <w:spacing w:before="0" w:after="283"/>
              <w:jc w:val="center"/>
            </w:pPr>
            <w:hyperlink w:anchor="p1i4">
              <w:r>
                <w:rPr>
                  <w:rStyle w:val="InternetLink"/>
                  <w:rFonts w:ascii="Times New Roman;Times;serif" w:hAnsi="Times New Roman;Times;serif"/>
                  <w:sz w:val="20"/>
                </w:rPr>
                <w:t>28</w:t>
              </w:r>
            </w:hyperlink>
          </w:p>
        </w:tc>
      </w:tr>
      <w:tr>
        <w:tc>
          <w:tcPr>
            <w:tcW w:w="1325" w:type="dxa"/>
            <w:tcBorders/>
            <w:vAlign w:val="center"/>
          </w:tcPr>
          <w:p>
            <w:pPr>
              <w:pStyle w:val="TableContents"/>
              <w:bidi w:val="0"/>
              <w:spacing w:before="0" w:after="283"/>
              <w:jc w:val="center"/>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9750" w:type="dxa"/>
            <w:gridSpan w:val="2"/>
            <w:tcBorders/>
            <w:vAlign w:val="center"/>
          </w:tcPr>
          <w:p>
            <w:pPr>
              <w:pStyle w:val="TableContents"/>
              <w:bidi w:val="0"/>
              <w:spacing w:before="0" w:after="283"/>
              <w:jc w:val="left"/>
            </w:pPr>
            <w:hyperlink w:anchor="p2">
              <w:r>
                <w:rPr>
                  <w:rStyle w:val="InternetLink"/>
                  <w:rFonts w:ascii="Times New Roman;Times;serif" w:hAnsi="Times New Roman;Times;serif"/>
                  <w:b/>
                  <w:sz w:val="20"/>
                </w:rPr>
                <w:t>PART II. OTHER INFORMATION</w:t>
              </w:r>
            </w:hyperlink>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left"/>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Item 1.</w:t>
            </w:r>
          </w:p>
        </w:tc>
        <w:tc>
          <w:tcPr>
            <w:tcW w:w="8425" w:type="dxa"/>
            <w:tcBorders/>
            <w:vAlign w:val="center"/>
          </w:tcPr>
          <w:p>
            <w:pPr>
              <w:pStyle w:val="TableContents"/>
              <w:bidi w:val="0"/>
              <w:spacing w:before="0" w:after="283"/>
              <w:jc w:val="left"/>
            </w:pPr>
            <w:hyperlink w:anchor="p2i1">
              <w:r>
                <w:rPr>
                  <w:rStyle w:val="InternetLink"/>
                  <w:rFonts w:ascii="Times New Roman;Times;serif" w:hAnsi="Times New Roman;Times;serif"/>
                  <w:sz w:val="20"/>
                </w:rPr>
                <w:t>Legal Proceedings</w:t>
              </w:r>
            </w:hyperlink>
          </w:p>
        </w:tc>
        <w:tc>
          <w:tcPr>
            <w:tcW w:w="455" w:type="dxa"/>
            <w:tcBorders/>
            <w:vAlign w:val="center"/>
          </w:tcPr>
          <w:p>
            <w:pPr>
              <w:pStyle w:val="TableContents"/>
              <w:bidi w:val="0"/>
              <w:spacing w:before="0" w:after="283"/>
              <w:jc w:val="center"/>
            </w:pPr>
            <w:hyperlink w:anchor="p2i1">
              <w:r>
                <w:rPr>
                  <w:rStyle w:val="InternetLink"/>
                  <w:rFonts w:ascii="Times New Roman;Times;serif" w:hAnsi="Times New Roman;Times;serif"/>
                  <w:sz w:val="20"/>
                </w:rPr>
                <w:t>29</w:t>
              </w:r>
            </w:hyperlink>
          </w:p>
        </w:tc>
      </w:tr>
      <w:tr>
        <w:tc>
          <w:tcPr>
            <w:tcW w:w="1325" w:type="dxa"/>
            <w:tcBorders/>
            <w:vAlign w:val="center"/>
          </w:tcPr>
          <w:p>
            <w:pPr>
              <w:pStyle w:val="TableContents"/>
              <w:bidi w:val="0"/>
              <w:spacing w:before="0" w:after="283"/>
              <w:jc w:val="center"/>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center"/>
            </w:pPr>
            <w:r>
              <w:t>   </w:t>
            </w:r>
            <w:r>
              <w:rPr>
                <w:rFonts w:ascii="Times New Roman;Times;serif" w:hAnsi="Times New Roman;Times;serif"/>
                <w:sz w:val="20"/>
              </w:rPr>
              <w:t>Item 1A.</w:t>
            </w:r>
          </w:p>
        </w:tc>
        <w:tc>
          <w:tcPr>
            <w:tcW w:w="8425" w:type="dxa"/>
            <w:tcBorders/>
            <w:vAlign w:val="center"/>
          </w:tcPr>
          <w:p>
            <w:pPr>
              <w:pStyle w:val="TableContents"/>
              <w:bidi w:val="0"/>
              <w:spacing w:before="0" w:after="283"/>
              <w:jc w:val="left"/>
            </w:pPr>
            <w:hyperlink w:anchor="p2i1a">
              <w:r>
                <w:rPr>
                  <w:rStyle w:val="InternetLink"/>
                  <w:rFonts w:ascii="Times New Roman;Times;serif" w:hAnsi="Times New Roman;Times;serif"/>
                  <w:sz w:val="20"/>
                </w:rPr>
                <w:t>Risk Factors </w:t>
              </w:r>
            </w:hyperlink>
          </w:p>
        </w:tc>
        <w:tc>
          <w:tcPr>
            <w:tcW w:w="455" w:type="dxa"/>
            <w:tcBorders/>
            <w:vAlign w:val="center"/>
          </w:tcPr>
          <w:p>
            <w:pPr>
              <w:pStyle w:val="TableContents"/>
              <w:bidi w:val="0"/>
              <w:spacing w:before="0" w:after="283"/>
              <w:jc w:val="center"/>
            </w:pPr>
            <w:hyperlink w:anchor="p2i1a">
              <w:r>
                <w:rPr>
                  <w:rStyle w:val="InternetLink"/>
                  <w:rFonts w:ascii="Times New Roman;Times;serif" w:hAnsi="Times New Roman;Times;serif"/>
                  <w:sz w:val="20"/>
                </w:rPr>
                <w:t>29</w:t>
              </w:r>
            </w:hyperlink>
          </w:p>
        </w:tc>
      </w:tr>
      <w:tr>
        <w:tc>
          <w:tcPr>
            <w:tcW w:w="1325" w:type="dxa"/>
            <w:tcBorders/>
            <w:vAlign w:val="center"/>
          </w:tcPr>
          <w:p>
            <w:pPr>
              <w:pStyle w:val="TableContents"/>
              <w:bidi w:val="0"/>
              <w:spacing w:before="0" w:after="283"/>
              <w:jc w:val="center"/>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Item 2.</w:t>
            </w:r>
          </w:p>
        </w:tc>
        <w:tc>
          <w:tcPr>
            <w:tcW w:w="8425" w:type="dxa"/>
            <w:tcBorders/>
            <w:vAlign w:val="center"/>
          </w:tcPr>
          <w:p>
            <w:pPr>
              <w:pStyle w:val="TableContents"/>
              <w:bidi w:val="0"/>
              <w:spacing w:before="0" w:after="283"/>
              <w:jc w:val="left"/>
            </w:pPr>
            <w:hyperlink w:anchor="p2i2">
              <w:r>
                <w:rPr>
                  <w:rStyle w:val="InternetLink"/>
                  <w:rFonts w:ascii="Times New Roman;Times;serif" w:hAnsi="Times New Roman;Times;serif"/>
                  <w:sz w:val="20"/>
                </w:rPr>
                <w:t>Unregistered Sales of Equity Securities and Use of Proceeds</w:t>
              </w:r>
            </w:hyperlink>
          </w:p>
        </w:tc>
        <w:tc>
          <w:tcPr>
            <w:tcW w:w="455" w:type="dxa"/>
            <w:tcBorders/>
            <w:vAlign w:val="center"/>
          </w:tcPr>
          <w:p>
            <w:pPr>
              <w:pStyle w:val="TableContents"/>
              <w:bidi w:val="0"/>
              <w:spacing w:before="0" w:after="283"/>
              <w:jc w:val="center"/>
            </w:pPr>
            <w:hyperlink w:anchor="p2i2">
              <w:r>
                <w:rPr>
                  <w:rStyle w:val="InternetLink"/>
                  <w:rFonts w:ascii="Times New Roman;Times;serif" w:hAnsi="Times New Roman;Times;serif"/>
                  <w:sz w:val="20"/>
                </w:rPr>
                <w:t>29</w:t>
              </w:r>
            </w:hyperlink>
          </w:p>
        </w:tc>
      </w:tr>
      <w:tr>
        <w:tc>
          <w:tcPr>
            <w:tcW w:w="1325" w:type="dxa"/>
            <w:tcBorders/>
            <w:vAlign w:val="center"/>
          </w:tcPr>
          <w:p>
            <w:pPr>
              <w:pStyle w:val="TableContents"/>
              <w:bidi w:val="0"/>
              <w:spacing w:before="0" w:after="283"/>
              <w:jc w:val="center"/>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Item 3.</w:t>
            </w:r>
          </w:p>
        </w:tc>
        <w:tc>
          <w:tcPr>
            <w:tcW w:w="8425" w:type="dxa"/>
            <w:tcBorders/>
            <w:vAlign w:val="center"/>
          </w:tcPr>
          <w:p>
            <w:pPr>
              <w:pStyle w:val="TableContents"/>
              <w:bidi w:val="0"/>
              <w:spacing w:before="0" w:after="283"/>
              <w:jc w:val="left"/>
            </w:pPr>
            <w:hyperlink w:anchor="p2i3">
              <w:r>
                <w:rPr>
                  <w:rStyle w:val="InternetLink"/>
                  <w:rFonts w:ascii="Times New Roman;Times;serif" w:hAnsi="Times New Roman;Times;serif"/>
                  <w:sz w:val="20"/>
                </w:rPr>
                <w:t>Defaults Upon Senior Securities</w:t>
              </w:r>
            </w:hyperlink>
          </w:p>
        </w:tc>
        <w:tc>
          <w:tcPr>
            <w:tcW w:w="455" w:type="dxa"/>
            <w:tcBorders/>
            <w:vAlign w:val="center"/>
          </w:tcPr>
          <w:p>
            <w:pPr>
              <w:pStyle w:val="TableContents"/>
              <w:bidi w:val="0"/>
              <w:spacing w:before="0" w:after="283"/>
              <w:jc w:val="center"/>
            </w:pPr>
            <w:hyperlink w:anchor="p2i3">
              <w:r>
                <w:rPr>
                  <w:rStyle w:val="InternetLink"/>
                  <w:rFonts w:ascii="Times New Roman;Times;serif" w:hAnsi="Times New Roman;Times;serif"/>
                  <w:sz w:val="20"/>
                </w:rPr>
                <w:t>30</w:t>
              </w:r>
            </w:hyperlink>
          </w:p>
        </w:tc>
      </w:tr>
      <w:tr>
        <w:tc>
          <w:tcPr>
            <w:tcW w:w="1325" w:type="dxa"/>
            <w:tcBorders/>
            <w:vAlign w:val="center"/>
          </w:tcPr>
          <w:p>
            <w:pPr>
              <w:pStyle w:val="TableContents"/>
              <w:bidi w:val="0"/>
              <w:spacing w:before="0" w:after="283"/>
              <w:jc w:val="center"/>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Item 4.</w:t>
            </w:r>
          </w:p>
        </w:tc>
        <w:tc>
          <w:tcPr>
            <w:tcW w:w="8425" w:type="dxa"/>
            <w:tcBorders/>
            <w:vAlign w:val="center"/>
          </w:tcPr>
          <w:p>
            <w:pPr>
              <w:pStyle w:val="TableContents"/>
              <w:bidi w:val="0"/>
              <w:spacing w:before="0" w:after="283"/>
              <w:jc w:val="left"/>
            </w:pPr>
            <w:hyperlink w:anchor="p2i4">
              <w:r>
                <w:rPr>
                  <w:rStyle w:val="InternetLink"/>
                  <w:rFonts w:ascii="Times New Roman;Times;serif" w:hAnsi="Times New Roman;Times;serif"/>
                  <w:sz w:val="20"/>
                </w:rPr>
                <w:t>Mine Safety Disclosures</w:t>
              </w:r>
            </w:hyperlink>
          </w:p>
        </w:tc>
        <w:tc>
          <w:tcPr>
            <w:tcW w:w="455" w:type="dxa"/>
            <w:tcBorders/>
            <w:vAlign w:val="center"/>
          </w:tcPr>
          <w:p>
            <w:pPr>
              <w:pStyle w:val="TableContents"/>
              <w:bidi w:val="0"/>
              <w:spacing w:before="0" w:after="283"/>
              <w:jc w:val="center"/>
            </w:pPr>
            <w:hyperlink w:anchor="p2i4">
              <w:r>
                <w:rPr>
                  <w:rStyle w:val="InternetLink"/>
                  <w:rFonts w:ascii="Times New Roman;Times;serif" w:hAnsi="Times New Roman;Times;serif"/>
                  <w:sz w:val="20"/>
                </w:rPr>
                <w:t>30</w:t>
              </w:r>
            </w:hyperlink>
          </w:p>
        </w:tc>
      </w:tr>
      <w:tr>
        <w:tc>
          <w:tcPr>
            <w:tcW w:w="1325" w:type="dxa"/>
            <w:tcBorders/>
            <w:vAlign w:val="center"/>
          </w:tcPr>
          <w:p>
            <w:pPr>
              <w:pStyle w:val="TableContents"/>
              <w:bidi w:val="0"/>
              <w:spacing w:before="0" w:after="283"/>
              <w:jc w:val="center"/>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Item 5.</w:t>
            </w:r>
          </w:p>
        </w:tc>
        <w:tc>
          <w:tcPr>
            <w:tcW w:w="8425" w:type="dxa"/>
            <w:tcBorders/>
            <w:vAlign w:val="center"/>
          </w:tcPr>
          <w:p>
            <w:pPr>
              <w:pStyle w:val="TableContents"/>
              <w:bidi w:val="0"/>
              <w:spacing w:before="0" w:after="283"/>
              <w:jc w:val="left"/>
            </w:pPr>
            <w:hyperlink w:anchor="p2i5">
              <w:r>
                <w:rPr>
                  <w:rStyle w:val="InternetLink"/>
                  <w:rFonts w:ascii="Times New Roman;Times;serif" w:hAnsi="Times New Roman;Times;serif"/>
                  <w:sz w:val="20"/>
                </w:rPr>
                <w:t>Other Information</w:t>
              </w:r>
            </w:hyperlink>
          </w:p>
        </w:tc>
        <w:tc>
          <w:tcPr>
            <w:tcW w:w="455" w:type="dxa"/>
            <w:tcBorders/>
            <w:vAlign w:val="center"/>
          </w:tcPr>
          <w:p>
            <w:pPr>
              <w:pStyle w:val="TableContents"/>
              <w:bidi w:val="0"/>
              <w:spacing w:before="0" w:after="283"/>
              <w:jc w:val="center"/>
            </w:pPr>
            <w:hyperlink w:anchor="p2i5">
              <w:r>
                <w:rPr>
                  <w:rStyle w:val="InternetLink"/>
                  <w:rFonts w:ascii="Times New Roman;Times;serif" w:hAnsi="Times New Roman;Times;serif"/>
                  <w:sz w:val="20"/>
                </w:rPr>
                <w:t>30</w:t>
              </w:r>
            </w:hyperlink>
          </w:p>
        </w:tc>
      </w:tr>
      <w:tr>
        <w:tc>
          <w:tcPr>
            <w:tcW w:w="1325" w:type="dxa"/>
            <w:tcBorders/>
            <w:vAlign w:val="center"/>
          </w:tcPr>
          <w:p>
            <w:pPr>
              <w:pStyle w:val="TableContents"/>
              <w:bidi w:val="0"/>
              <w:spacing w:before="0" w:after="283"/>
              <w:jc w:val="center"/>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Item 6.</w:t>
            </w:r>
          </w:p>
        </w:tc>
        <w:tc>
          <w:tcPr>
            <w:tcW w:w="8425" w:type="dxa"/>
            <w:tcBorders/>
            <w:vAlign w:val="center"/>
          </w:tcPr>
          <w:p>
            <w:pPr>
              <w:pStyle w:val="TableContents"/>
              <w:bidi w:val="0"/>
              <w:spacing w:before="0" w:after="283"/>
              <w:jc w:val="left"/>
            </w:pPr>
            <w:hyperlink w:anchor="p2i6">
              <w:r>
                <w:rPr>
                  <w:rStyle w:val="InternetLink"/>
                  <w:rFonts w:ascii="Times New Roman;Times;serif" w:hAnsi="Times New Roman;Times;serif"/>
                  <w:sz w:val="20"/>
                </w:rPr>
                <w:t>Exhibits</w:t>
              </w:r>
            </w:hyperlink>
          </w:p>
        </w:tc>
        <w:tc>
          <w:tcPr>
            <w:tcW w:w="455" w:type="dxa"/>
            <w:tcBorders/>
            <w:vAlign w:val="center"/>
          </w:tcPr>
          <w:p>
            <w:pPr>
              <w:pStyle w:val="TableContents"/>
              <w:bidi w:val="0"/>
              <w:spacing w:before="0" w:after="283"/>
              <w:jc w:val="center"/>
            </w:pPr>
            <w:hyperlink w:anchor="p2i6">
              <w:r>
                <w:rPr>
                  <w:rStyle w:val="InternetLink"/>
                  <w:rFonts w:ascii="Times New Roman;Times;serif" w:hAnsi="Times New Roman;Times;serif"/>
                  <w:sz w:val="20"/>
                </w:rPr>
                <w:t>30</w:t>
              </w:r>
            </w:hyperlink>
          </w:p>
        </w:tc>
      </w:tr>
      <w:tr>
        <w:tc>
          <w:tcPr>
            <w:tcW w:w="1325" w:type="dxa"/>
            <w:tcBorders/>
            <w:vAlign w:val="center"/>
          </w:tcPr>
          <w:p>
            <w:pPr>
              <w:pStyle w:val="TableContents"/>
              <w:bidi w:val="0"/>
              <w:spacing w:before="0" w:after="283"/>
              <w:jc w:val="center"/>
            </w:pPr>
            <w: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left"/>
            </w:pPr>
            <w:r>
              <w:t> </w:t>
            </w:r>
          </w:p>
        </w:tc>
      </w:tr>
      <w:tr>
        <w:tc>
          <w:tcPr>
            <w:tcW w:w="1325" w:type="dxa"/>
            <w:tcBorders/>
            <w:vAlign w:val="center"/>
          </w:tcPr>
          <w:p>
            <w:pPr>
              <w:pStyle w:val="TableContents"/>
              <w:bidi w:val="0"/>
              <w:spacing w:before="0" w:after="283"/>
              <w:jc w:val="left"/>
            </w:pPr>
            <w:hyperlink w:anchor="sig">
              <w:r>
                <w:rPr>
                  <w:rStyle w:val="InternetLink"/>
                  <w:rFonts w:ascii="Times New Roman;Times;serif" w:hAnsi="Times New Roman;Times;serif"/>
                  <w:b/>
                  <w:sz w:val="20"/>
                </w:rPr>
                <w:t>SIGNATURES</w:t>
              </w:r>
            </w:hyperlink>
            <w:r>
              <w:rPr>
                <w:rFonts w:ascii="Times New Roman;Times;serif" w:hAnsi="Times New Roman;Times;serif"/>
                <w:sz w:val="20"/>
              </w:rPr>
              <w:t> </w:t>
            </w:r>
          </w:p>
        </w:tc>
        <w:tc>
          <w:tcPr>
            <w:tcW w:w="8425" w:type="dxa"/>
            <w:tcBorders/>
            <w:vAlign w:val="center"/>
          </w:tcPr>
          <w:p>
            <w:pPr>
              <w:pStyle w:val="TableContents"/>
              <w:bidi w:val="0"/>
              <w:spacing w:before="0" w:after="283"/>
              <w:jc w:val="left"/>
            </w:pPr>
            <w:r>
              <w:t> </w:t>
            </w:r>
          </w:p>
        </w:tc>
        <w:tc>
          <w:tcPr>
            <w:tcW w:w="455" w:type="dxa"/>
            <w:tcBorders/>
            <w:vAlign w:val="center"/>
          </w:tcPr>
          <w:p>
            <w:pPr>
              <w:pStyle w:val="TableContents"/>
              <w:bidi w:val="0"/>
              <w:spacing w:before="0" w:after="283"/>
              <w:jc w:val="center"/>
            </w:pPr>
            <w:hyperlink w:anchor="sig">
              <w:r>
                <w:rPr>
                  <w:rStyle w:val="InternetLink"/>
                  <w:rFonts w:ascii="Times New Roman;Times;serif" w:hAnsi="Times New Roman;Times;serif"/>
                  <w:sz w:val="20"/>
                </w:rPr>
                <w:t>31</w:t>
              </w:r>
            </w:hyperlink>
          </w:p>
        </w:tc>
      </w:tr>
    </w:tbl>
    <w:p>
      <w:pPr>
        <w:pStyle w:val="TextBody"/>
        <w:bidi w:val="0"/>
        <w:spacing w:before="0" w:after="283"/>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left"/>
        <w:rPr>
          <w:rFonts w:ascii="Times New Roman" w:hAnsi="Times New Roman"/>
          <w:b/>
          <w:caps w:val="false"/>
          <w:smallCaps w:val="false"/>
          <w:sz w:val="20"/>
        </w:rPr>
      </w:pPr>
      <w:bookmarkStart w:id="3" w:name="p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bookmarkStart w:id="4" w:name="bs"/>
      <w:bookmarkEnd w:id="4"/>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43"/>
        <w:gridCol w:w="60"/>
        <w:gridCol w:w="135"/>
        <w:gridCol w:w="912"/>
        <w:gridCol w:w="80"/>
        <w:gridCol w:w="60"/>
        <w:gridCol w:w="133"/>
        <w:gridCol w:w="900"/>
        <w:gridCol w:w="82"/>
      </w:tblGrid>
      <w:tr>
        <w:tc>
          <w:tcPr>
            <w:tcW w:w="7843"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4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3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2" w:type="dxa"/>
            <w:tcBorders/>
            <w:vAlign w:val="center"/>
          </w:tcPr>
          <w:p>
            <w:pPr>
              <w:pStyle w:val="TableContents"/>
              <w:bidi w:val="0"/>
              <w:spacing w:before="0" w:after="283"/>
              <w:jc w:val="left"/>
            </w:pPr>
            <w:r>
              <w:t> </w:t>
            </w:r>
          </w:p>
        </w:tc>
      </w:tr>
      <w:tr>
        <w:tc>
          <w:tcPr>
            <w:tcW w:w="7843"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0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vAlign w:val="center"/>
          </w:tcPr>
          <w:p>
            <w:pPr>
              <w:pStyle w:val="TableContents"/>
              <w:bidi w:val="0"/>
              <w:spacing w:before="0" w:after="283"/>
              <w:jc w:val="left"/>
            </w:pPr>
            <w:r>
              <w:t> </w:t>
            </w:r>
          </w:p>
        </w:tc>
      </w:tr>
      <w:tr>
        <w:tc>
          <w:tcPr>
            <w:tcW w:w="7843"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35" w:type="dxa"/>
            <w:tcBorders/>
            <w:vAlign w:val="center"/>
          </w:tcPr>
          <w:p>
            <w:pPr>
              <w:pStyle w:val="TableContents"/>
              <w:bidi w:val="0"/>
              <w:spacing w:before="0" w:after="283"/>
              <w:jc w:val="left"/>
            </w:pPr>
            <w:r>
              <w:t> </w:t>
            </w:r>
          </w:p>
        </w:tc>
        <w:tc>
          <w:tcPr>
            <w:tcW w:w="912"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33" w:type="dxa"/>
            <w:tcBorders/>
            <w:vAlign w:val="center"/>
          </w:tcPr>
          <w:p>
            <w:pPr>
              <w:pStyle w:val="TableContents"/>
              <w:bidi w:val="0"/>
              <w:spacing w:before="0" w:after="283"/>
              <w:jc w:val="left"/>
            </w:pPr>
            <w:r>
              <w:t> </w:t>
            </w:r>
          </w:p>
        </w:tc>
        <w:tc>
          <w:tcPr>
            <w:tcW w:w="900" w:type="dxa"/>
            <w:tcBorders/>
            <w:vAlign w:val="center"/>
          </w:tcPr>
          <w:p>
            <w:pPr>
              <w:pStyle w:val="TableContents"/>
              <w:bidi w:val="0"/>
              <w:spacing w:before="0" w:after="283"/>
              <w:jc w:val="left"/>
            </w:pPr>
            <w:r>
              <w:t> </w:t>
            </w:r>
          </w:p>
        </w:tc>
        <w:tc>
          <w:tcPr>
            <w:tcW w:w="82" w:type="dxa"/>
            <w:tcBorders/>
            <w:vAlign w:val="center"/>
          </w:tcPr>
          <w:p>
            <w:pPr>
              <w:pStyle w:val="TableContents"/>
              <w:bidi w:val="0"/>
              <w:spacing w:before="0" w:after="283"/>
              <w:jc w:val="left"/>
            </w:pPr>
            <w:r>
              <w:t> </w:t>
            </w:r>
          </w:p>
        </w:tc>
      </w:tr>
      <w:tr>
        <w:tc>
          <w:tcPr>
            <w:tcW w:w="78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91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90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91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jc w:val="left"/>
            </w:pPr>
            <w:r>
              <w:t> </w:t>
            </w:r>
          </w:p>
        </w:tc>
        <w:tc>
          <w:tcPr>
            <w:tcW w:w="90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pPr>
            <w: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212,645</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332,566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277,784</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 receivable, affiliate</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11,576</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1,722,291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1,534,471</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CCEEFF" w:val="clear"/>
            <w:vAlign w:val="center"/>
          </w:tcPr>
          <w:p>
            <w:pPr>
              <w:pStyle w:val="TableContents"/>
              <w:bidi w:val="0"/>
              <w:spacing w:before="0" w:after="283"/>
              <w:jc w:val="left"/>
            </w:pPr>
            <w: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26,228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54,662</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2,318,091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2,091,138</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1,694,934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1,694,738</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124,130</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net</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469,034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441,615</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net</w:t>
            </w:r>
          </w:p>
        </w:tc>
        <w:tc>
          <w:tcPr>
            <w:tcW w:w="60"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128,611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78,915</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pPr>
            <w: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4,737,696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4,430,536</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91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jc w:val="left"/>
            </w:pPr>
            <w:r>
              <w:t> </w:t>
            </w:r>
          </w:p>
        </w:tc>
        <w:tc>
          <w:tcPr>
            <w:tcW w:w="90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r>
      <w:tr>
        <w:tc>
          <w:tcPr>
            <w:tcW w:w="78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jc w:val="left"/>
            </w:pPr>
            <w:r>
              <w:t> </w:t>
            </w:r>
          </w:p>
        </w:tc>
        <w:tc>
          <w:tcPr>
            <w:tcW w:w="912"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jc w:val="left"/>
            </w:pPr>
            <w:r>
              <w:t> </w:t>
            </w:r>
          </w:p>
        </w:tc>
        <w:tc>
          <w:tcPr>
            <w:tcW w:w="90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91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jc w:val="left"/>
            </w:pPr>
            <w:r>
              <w:t> </w:t>
            </w:r>
          </w:p>
        </w:tc>
        <w:tc>
          <w:tcPr>
            <w:tcW w:w="90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Floor plan notes payable</w:t>
            </w:r>
          </w:p>
        </w:tc>
        <w:tc>
          <w:tcPr>
            <w:tcW w:w="60" w:type="dxa"/>
            <w:tcBorders/>
            <w:shd w:fill="CCEEFF" w:val="clear"/>
            <w:vAlign w:val="center"/>
          </w:tcPr>
          <w:p>
            <w:pPr>
              <w:pStyle w:val="TableContents"/>
              <w:bidi w:val="0"/>
              <w:spacing w:before="0" w:after="283"/>
              <w:ind w:left="0" w:right="0" w:hanging="0"/>
              <w:jc w:val="left"/>
            </w:pPr>
            <w: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964,535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917,955</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finance lease obligations</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29,209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34,519</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obligations</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19,285</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payable</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302,969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230,763</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109,552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112,149</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pPr>
            <w: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176,473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177,292</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1,604,902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1,492,090</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current maturities</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269,705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274,798</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obligations, net of current maturities</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81,156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88,149</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obligations, net of current maturities</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107,941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107,698</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40,054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34,225</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215,902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207,733</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jc w:val="left"/>
            </w:pPr>
            <w:r>
              <w:t> </w:t>
            </w:r>
          </w:p>
        </w:tc>
        <w:tc>
          <w:tcPr>
            <w:tcW w:w="91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jc w:val="left"/>
            </w:pPr>
            <w:r>
              <w:t> </w:t>
            </w:r>
          </w:p>
        </w:tc>
        <w:tc>
          <w:tcPr>
            <w:tcW w:w="90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par value $.01 per share; 1,000,000 shares authorized; 0 shares outstanding in 2026 and 2025</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900" w:type="dxa"/>
            <w:tcBorders/>
            <w:shd w:fill="CCEEFF" w:val="clear"/>
            <w:vAlign w:val="center"/>
          </w:tcPr>
          <w:p>
            <w:pPr>
              <w:pStyle w:val="TableContents"/>
              <w:bidi w:val="0"/>
              <w:spacing w:before="0" w:after="283"/>
              <w:ind w:left="0" w:right="0" w:hanging="0"/>
              <w:jc w:val="right"/>
            </w:pPr>
            <w:r>
              <w:t>–</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$.01 per share; 105,000,000 Class A shares and 35,000,000 Class B shares authorized; 91,790,881 Class A shares and 25,003,388 Class B shares outstanding in 2026; and 90,172,640 Class A shares and 24,656,864 Class B shares outstanding in 2025</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680,128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634,266</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202,222 Class A shares and 12,624 Class B shares in 2026; and 6,880,187 Class A shares and 3,528,245 Class B shares in 2025</w:t>
            </w:r>
          </w:p>
        </w:tc>
        <w:tc>
          <w:tcPr>
            <w:tcW w:w="60" w:type="dxa"/>
            <w:tcBorders/>
            <w:shd w:fill="FFFFFF" w:val="clear"/>
            <w:vAlign w:val="center"/>
          </w:tcPr>
          <w:p>
            <w:pPr>
              <w:pStyle w:val="TableContents"/>
              <w:bidi w:val="0"/>
              <w:spacing w:before="0" w:after="283"/>
              <w:jc w:val="left"/>
            </w:pPr>
            <w:r>
              <w:t> </w:t>
            </w:r>
          </w:p>
        </w:tc>
        <w:tc>
          <w:tcPr>
            <w:tcW w:w="135" w:type="dxa"/>
            <w:tcBorders/>
            <w:shd w:fill="FFFFFF" w:val="clear"/>
            <w:vAlign w:val="center"/>
          </w:tcPr>
          <w:p>
            <w:pPr>
              <w:pStyle w:val="TableContents"/>
              <w:bidi w:val="0"/>
              <w:spacing w:before="0" w:after="283"/>
              <w:ind w:left="0" w:right="0" w:hanging="0"/>
              <w:jc w:val="left"/>
            </w:pPr>
            <w: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3" w:type="dxa"/>
            <w:tcBorders/>
            <w:shd w:fill="FFFFFF" w:val="clear"/>
            <w:vAlign w:val="center"/>
          </w:tcPr>
          <w:p>
            <w:pPr>
              <w:pStyle w:val="TableContents"/>
              <w:bidi w:val="0"/>
              <w:spacing w:before="0" w:after="283"/>
              <w:ind w:left="0" w:right="0" w:hanging="0"/>
              <w:jc w:val="left"/>
            </w:pPr>
            <w: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(331,150</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1,733,399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1,904,091</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 (loss)</w:t>
            </w:r>
          </w:p>
        </w:tc>
        <w:tc>
          <w:tcPr>
            <w:tcW w:w="60"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84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Rush Enterprises, Inc. shareholders’ equity</w:t>
            </w:r>
          </w:p>
        </w:tc>
        <w:tc>
          <w:tcPr>
            <w:tcW w:w="60" w:type="dxa"/>
            <w:tcBorders/>
            <w:shd w:fill="CCEEFF" w:val="clear"/>
            <w:vAlign w:val="center"/>
          </w:tcPr>
          <w:p>
            <w:pPr>
              <w:pStyle w:val="TableContents"/>
              <w:bidi w:val="0"/>
              <w:spacing w:before="0" w:after="283"/>
              <w:jc w:val="left"/>
            </w:pPr>
            <w:r>
              <w:t> </w:t>
            </w:r>
          </w:p>
        </w:tc>
        <w:tc>
          <w:tcPr>
            <w:tcW w:w="135" w:type="dxa"/>
            <w:tcBorders/>
            <w:shd w:fill="CCEEFF" w:val="clear"/>
            <w:vAlign w:val="center"/>
          </w:tcPr>
          <w:p>
            <w:pPr>
              <w:pStyle w:val="TableContents"/>
              <w:bidi w:val="0"/>
              <w:spacing w:before="0" w:after="283"/>
              <w:ind w:left="0" w:right="0" w:hanging="0"/>
              <w:jc w:val="left"/>
            </w:pPr>
            <w: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2,394,096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shd w:fill="CCEEFF" w:val="clear"/>
            <w:vAlign w:val="center"/>
          </w:tcPr>
          <w:p>
            <w:pPr>
              <w:pStyle w:val="TableContents"/>
              <w:bidi w:val="0"/>
              <w:spacing w:before="0" w:after="283"/>
              <w:ind w:left="0" w:right="0" w:hanging="0"/>
              <w:jc w:val="left"/>
            </w:pPr>
            <w: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2,203,229</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FFFFFF" w:val="clear"/>
            <w:vAlign w:val="center"/>
          </w:tcPr>
          <w:p>
            <w:pPr>
              <w:pStyle w:val="TableContents"/>
              <w:bidi w:val="0"/>
              <w:spacing w:before="0" w:after="283"/>
              <w:jc w:val="left"/>
            </w:pPr>
            <w: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23,940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22,614</w:t>
            </w:r>
          </w:p>
        </w:tc>
        <w:tc>
          <w:tcPr>
            <w:tcW w:w="82" w:type="dxa"/>
            <w:tcBorders/>
            <w:shd w:fill="FFFFFF" w:val="clear"/>
            <w:vAlign w:val="center"/>
          </w:tcPr>
          <w:p>
            <w:pPr>
              <w:pStyle w:val="TableContents"/>
              <w:bidi w:val="0"/>
              <w:spacing w:before="0" w:after="283"/>
              <w:jc w:val="left"/>
            </w:pPr>
            <w:r>
              <w:t> </w:t>
            </w:r>
          </w:p>
        </w:tc>
      </w:tr>
      <w:tr>
        <w:tc>
          <w:tcPr>
            <w:tcW w:w="78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CCEEFF" w:val="clear"/>
            <w:vAlign w:val="center"/>
          </w:tcPr>
          <w:p>
            <w:pPr>
              <w:pStyle w:val="TableContents"/>
              <w:bidi w:val="0"/>
              <w:spacing w:before="0" w:after="283"/>
              <w:jc w:val="left"/>
            </w:pPr>
            <w: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2,418,036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2,225,843</w:t>
            </w:r>
          </w:p>
        </w:tc>
        <w:tc>
          <w:tcPr>
            <w:tcW w:w="82" w:type="dxa"/>
            <w:tcBorders/>
            <w:shd w:fill="CCEEFF" w:val="clear"/>
            <w:vAlign w:val="center"/>
          </w:tcPr>
          <w:p>
            <w:pPr>
              <w:pStyle w:val="TableContents"/>
              <w:bidi w:val="0"/>
              <w:spacing w:before="0" w:after="283"/>
              <w:jc w:val="left"/>
            </w:pPr>
            <w:r>
              <w:t> </w:t>
            </w:r>
          </w:p>
        </w:tc>
      </w:tr>
      <w:tr>
        <w:tc>
          <w:tcPr>
            <w:tcW w:w="78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ind w:left="0" w:right="0" w:hanging="0"/>
              <w:jc w:val="left"/>
            </w:pPr>
            <w: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4,737,696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4,430,536</w:t>
            </w:r>
          </w:p>
        </w:tc>
        <w:tc>
          <w:tcPr>
            <w:tcW w:w="82"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p>
    <w:p>
      <w:pPr>
        <w:pStyle w:val="TextBody"/>
        <w:bidi w:val="0"/>
        <w:spacing w:before="0" w:after="283"/>
        <w:jc w:val="left"/>
      </w:pPr>
      <w:r>
        <w:t>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u w:val="single"/>
        </w:rPr>
      </w:pPr>
      <w:bookmarkStart w:id="5" w:name="si"/>
      <w:bookmarkEnd w:id="5"/>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5"/>
        <w:gridCol w:w="60"/>
        <w:gridCol w:w="125"/>
        <w:gridCol w:w="845"/>
        <w:gridCol w:w="80"/>
        <w:gridCol w:w="60"/>
        <w:gridCol w:w="125"/>
        <w:gridCol w:w="845"/>
        <w:gridCol w:w="80"/>
        <w:gridCol w:w="60"/>
        <w:gridCol w:w="125"/>
        <w:gridCol w:w="845"/>
        <w:gridCol w:w="80"/>
        <w:gridCol w:w="60"/>
        <w:gridCol w:w="125"/>
        <w:gridCol w:w="845"/>
        <w:gridCol w:w="80"/>
      </w:tblGrid>
      <w:tr>
        <w:tc>
          <w:tcPr>
            <w:tcW w:w="576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20" w:right="0" w:hanging="0"/>
              <w:jc w:val="left"/>
            </w:pPr>
            <w:r>
              <w:t> </w:t>
            </w:r>
          </w:p>
        </w:tc>
        <w:tc>
          <w:tcPr>
            <w:tcW w:w="2080"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20" w:right="0" w:hanging="0"/>
              <w:jc w:val="left"/>
            </w:pPr>
            <w:r>
              <w:t> </w:t>
            </w:r>
          </w:p>
        </w:tc>
        <w:tc>
          <w:tcPr>
            <w:tcW w:w="2080"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vAlign w:val="center"/>
          </w:tcPr>
          <w:p>
            <w:pPr>
              <w:pStyle w:val="TableContents"/>
              <w:bidi w:val="0"/>
              <w:spacing w:before="0" w:after="283"/>
              <w:jc w:val="left"/>
            </w:pPr>
            <w:r>
              <w:t> </w:t>
            </w:r>
          </w:p>
        </w:tc>
      </w:tr>
      <w:tr>
        <w:tc>
          <w:tcPr>
            <w:tcW w:w="576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2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40" w:right="0" w:firstLine="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2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40" w:right="0" w:firstLine="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2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40" w:right="0" w:firstLine="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2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40" w:right="0" w:firstLine="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pPr>
            <w:r>
              <w:t> </w:t>
            </w:r>
          </w:p>
        </w:tc>
      </w:tr>
      <w:tr>
        <w:tc>
          <w:tcPr>
            <w:tcW w:w="576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845"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845"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845"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845"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1,324,922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1,134,856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3,429,057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3,457,130</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679,934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642,658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1,952,787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1,897,984</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98,205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93,304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285,329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276,681</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16,339</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14,168</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2,113,098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1,880,765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5,696,966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5,662,302</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products sold</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1,219,570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1,034,698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3,149,569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3,152,875</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436,833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403,811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1,250,738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1,198,565</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69,729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67,504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204,218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198,679</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products sold</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1,726,132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1,506,013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4,604,525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4,550,119</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386,966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374,752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1,092,441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1,112,183</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259,975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256,403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748,084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757,187</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18,655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53,022</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sale of assets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107,999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100,030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287,393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302,105</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 net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37,307</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taxes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102,417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87,874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270,084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263,548</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23,534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62,204</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income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78,883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67,738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213,584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201,344</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income attributable to noncontrolling interest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78,043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66,690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212,258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199,450</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 per share of common stock:</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shares outstanding:</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116,956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117,353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116,706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118,139</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120,455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120,890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120,271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121,751</w:t>
            </w:r>
          </w:p>
        </w:tc>
        <w:tc>
          <w:tcPr>
            <w:tcW w:w="80" w:type="dxa"/>
            <w:tcBorders/>
            <w:shd w:fill="FFFFFF" w:val="clear"/>
            <w:vAlign w:val="center"/>
          </w:tcPr>
          <w:p>
            <w:pPr>
              <w:pStyle w:val="TableContents"/>
              <w:bidi w:val="0"/>
              <w:spacing w:before="0" w:after="283"/>
              <w:jc w:val="left"/>
            </w:pPr>
            <w:r>
              <w:t> </w:t>
            </w:r>
          </w:p>
        </w:tc>
      </w:tr>
      <w:tr>
        <w:tc>
          <w:tcPr>
            <w:tcW w:w="576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Dividends declared per common share</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8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p>
    <w:p>
      <w:pPr>
        <w:pStyle w:val="TextBody"/>
        <w:bidi w:val="0"/>
        <w:spacing w:before="0" w:after="283"/>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bookmarkStart w:id="6" w:name="ci"/>
      <w:bookmarkEnd w:id="6"/>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COMPREHENSIVE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697" w:type="dxa"/>
        <w:jc w:val="left"/>
        <w:tblInd w:w="0" w:type="dxa"/>
        <w:tblLayout w:type="fixed"/>
        <w:tblCellMar>
          <w:top w:w="0" w:type="dxa"/>
          <w:left w:w="0" w:type="dxa"/>
          <w:bottom w:w="0" w:type="dxa"/>
          <w:right w:w="0" w:type="dxa"/>
        </w:tblCellMar>
      </w:tblPr>
      <w:tblGrid>
        <w:gridCol w:w="5870"/>
        <w:gridCol w:w="60"/>
        <w:gridCol w:w="142"/>
        <w:gridCol w:w="672"/>
        <w:gridCol w:w="91"/>
        <w:gridCol w:w="68"/>
        <w:gridCol w:w="142"/>
        <w:gridCol w:w="672"/>
        <w:gridCol w:w="80"/>
        <w:gridCol w:w="60"/>
        <w:gridCol w:w="125"/>
        <w:gridCol w:w="695"/>
        <w:gridCol w:w="80"/>
        <w:gridCol w:w="60"/>
        <w:gridCol w:w="125"/>
        <w:gridCol w:w="695"/>
        <w:gridCol w:w="60"/>
      </w:tblGrid>
      <w:tr>
        <w:tc>
          <w:tcPr>
            <w:tcW w:w="587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20" w:right="0" w:hanging="0"/>
              <w:jc w:val="left"/>
            </w:pPr>
            <w:r>
              <w:t> </w:t>
            </w:r>
          </w:p>
        </w:tc>
        <w:tc>
          <w:tcPr>
            <w:tcW w:w="1787" w:type="dxa"/>
            <w:gridSpan w:val="6"/>
            <w:tcBorders>
              <w:top w:val="single" w:sz="2" w:space="0" w:color="000000"/>
              <w:bottom w:val="single" w:sz="2" w:space="0" w:color="000000"/>
            </w:tcBorders>
            <w:tcMar>
              <w:top w:w="28" w:type="dxa"/>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0" w:type="dxa"/>
            <w:tcBorders>
              <w:top w:val="single" w:sz="2" w:space="0" w:color="000000"/>
            </w:tcBorders>
            <w:tcMar>
              <w:top w:w="28" w:type="dxa"/>
            </w:tcMar>
            <w:vAlign w:val="center"/>
          </w:tcPr>
          <w:p>
            <w:pPr>
              <w:pStyle w:val="TableContents"/>
              <w:bidi w:val="0"/>
              <w:spacing w:before="0" w:after="283"/>
              <w:jc w:val="left"/>
            </w:pPr>
            <w:r>
              <w:t> </w:t>
            </w:r>
          </w:p>
        </w:tc>
        <w:tc>
          <w:tcPr>
            <w:tcW w:w="60" w:type="dxa"/>
            <w:tcBorders>
              <w:top w:val="single" w:sz="2" w:space="0" w:color="000000"/>
            </w:tcBorders>
            <w:tcMar>
              <w:top w:w="28" w:type="dxa"/>
            </w:tcMar>
            <w:vAlign w:val="center"/>
          </w:tcPr>
          <w:p>
            <w:pPr>
              <w:pStyle w:val="TableContents"/>
              <w:bidi w:val="0"/>
              <w:spacing w:before="0" w:after="283"/>
              <w:ind w:left="20" w:right="0" w:hanging="0"/>
              <w:jc w:val="left"/>
            </w:pPr>
            <w:r>
              <w:t> </w:t>
            </w:r>
          </w:p>
        </w:tc>
        <w:tc>
          <w:tcPr>
            <w:tcW w:w="1780" w:type="dxa"/>
            <w:gridSpan w:val="6"/>
            <w:tcBorders>
              <w:top w:val="single" w:sz="2" w:space="0" w:color="000000"/>
              <w:bottom w:val="single" w:sz="2" w:space="0" w:color="000000"/>
            </w:tcBorders>
            <w:tcMar>
              <w:top w:w="28" w:type="dxa"/>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pPr>
            <w:r>
              <w:t> </w:t>
            </w:r>
          </w:p>
        </w:tc>
      </w:tr>
      <w:tr>
        <w:tc>
          <w:tcPr>
            <w:tcW w:w="587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20" w:right="0" w:hanging="0"/>
              <w:jc w:val="left"/>
            </w:pPr>
            <w:r>
              <w:t> </w:t>
            </w:r>
          </w:p>
        </w:tc>
        <w:tc>
          <w:tcPr>
            <w:tcW w:w="814"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1" w:type="dxa"/>
            <w:tcBorders/>
            <w:vAlign w:val="center"/>
          </w:tcPr>
          <w:p>
            <w:pPr>
              <w:pStyle w:val="TableContents"/>
              <w:bidi w:val="0"/>
              <w:spacing w:before="0" w:after="283"/>
              <w:jc w:val="left"/>
            </w:pPr>
            <w:r>
              <w:t> </w:t>
            </w:r>
          </w:p>
        </w:tc>
        <w:tc>
          <w:tcPr>
            <w:tcW w:w="68" w:type="dxa"/>
            <w:tcBorders/>
            <w:vAlign w:val="center"/>
          </w:tcPr>
          <w:p>
            <w:pPr>
              <w:pStyle w:val="TableContents"/>
              <w:bidi w:val="0"/>
              <w:spacing w:before="0" w:after="283"/>
              <w:ind w:left="20" w:right="0" w:hanging="0"/>
              <w:jc w:val="left"/>
            </w:pPr>
            <w:r>
              <w:t> </w:t>
            </w:r>
          </w:p>
        </w:tc>
        <w:tc>
          <w:tcPr>
            <w:tcW w:w="814"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20" w:right="0" w:hanging="0"/>
              <w:jc w:val="left"/>
            </w:pPr>
            <w: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20" w:right="0" w:hanging="0"/>
              <w:jc w:val="left"/>
            </w:pPr>
            <w:r>
              <w:t> </w:t>
            </w:r>
          </w:p>
        </w:tc>
        <w:tc>
          <w:tcPr>
            <w:tcW w:w="820"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pPr>
            <w:r>
              <w:t> </w:t>
            </w:r>
          </w:p>
        </w:tc>
      </w:tr>
      <w:tr>
        <w:tc>
          <w:tcPr>
            <w:tcW w:w="587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42"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left"/>
            </w:pPr>
            <w:r>
              <w:t> </w:t>
            </w:r>
          </w:p>
        </w:tc>
        <w:tc>
          <w:tcPr>
            <w:tcW w:w="91" w:type="dxa"/>
            <w:tcBorders/>
            <w:vAlign w:val="center"/>
          </w:tcPr>
          <w:p>
            <w:pPr>
              <w:pStyle w:val="TableContents"/>
              <w:bidi w:val="0"/>
              <w:spacing w:before="0" w:after="283"/>
              <w:jc w:val="left"/>
            </w:pPr>
            <w:r>
              <w:t> </w:t>
            </w:r>
          </w:p>
        </w:tc>
        <w:tc>
          <w:tcPr>
            <w:tcW w:w="68" w:type="dxa"/>
            <w:tcBorders/>
            <w:vAlign w:val="center"/>
          </w:tcPr>
          <w:p>
            <w:pPr>
              <w:pStyle w:val="TableContents"/>
              <w:bidi w:val="0"/>
              <w:spacing w:before="0" w:after="283"/>
              <w:jc w:val="left"/>
            </w:pPr>
            <w:r>
              <w:t> </w:t>
            </w:r>
          </w:p>
        </w:tc>
        <w:tc>
          <w:tcPr>
            <w:tcW w:w="142" w:type="dxa"/>
            <w:tcBorders/>
            <w:vAlign w:val="center"/>
          </w:tcPr>
          <w:p>
            <w:pPr>
              <w:pStyle w:val="TableContents"/>
              <w:bidi w:val="0"/>
              <w:spacing w:before="0" w:after="283"/>
              <w:jc w:val="left"/>
            </w:pPr>
            <w:r>
              <w:t> </w:t>
            </w:r>
          </w:p>
        </w:tc>
        <w:tc>
          <w:tcPr>
            <w:tcW w:w="672"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695" w:type="dxa"/>
            <w:tcBorders/>
            <w:vAlign w:val="center"/>
          </w:tcPr>
          <w:p>
            <w:pPr>
              <w:pStyle w:val="TableContents"/>
              <w:bidi w:val="0"/>
              <w:spacing w:before="0" w:after="283"/>
              <w:jc w:val="left"/>
            </w:pPr>
            <w:r>
              <w:t> </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c>
          <w:tcPr>
            <w:tcW w:w="125" w:type="dxa"/>
            <w:tcBorders/>
            <w:vAlign w:val="center"/>
          </w:tcPr>
          <w:p>
            <w:pPr>
              <w:pStyle w:val="TableContents"/>
              <w:bidi w:val="0"/>
              <w:spacing w:before="0" w:after="283"/>
              <w:jc w:val="left"/>
            </w:pPr>
            <w:r>
              <w:t> </w:t>
            </w:r>
          </w:p>
        </w:tc>
        <w:tc>
          <w:tcPr>
            <w:tcW w:w="6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jc w:val="left"/>
            </w:pPr>
            <w:r>
              <w:t> </w:t>
            </w:r>
          </w:p>
        </w:tc>
      </w:tr>
      <w:tr>
        <w:tc>
          <w:tcPr>
            <w:tcW w:w="58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78,883</w:t>
            </w:r>
          </w:p>
        </w:tc>
        <w:tc>
          <w:tcPr>
            <w:tcW w:w="91"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ind w:left="0" w:right="0" w:hanging="0"/>
              <w:jc w:val="left"/>
            </w:pPr>
            <w: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67,738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213,584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201,344</w:t>
            </w:r>
          </w:p>
        </w:tc>
        <w:tc>
          <w:tcPr>
            <w:tcW w:w="60" w:type="dxa"/>
            <w:tcBorders/>
            <w:shd w:fill="CCEEFF" w:val="clear"/>
            <w:vAlign w:val="center"/>
          </w:tcPr>
          <w:p>
            <w:pPr>
              <w:pStyle w:val="TableContents"/>
              <w:bidi w:val="0"/>
              <w:spacing w:before="0" w:after="283"/>
              <w:jc w:val="left"/>
            </w:pPr>
            <w:r>
              <w:t> </w:t>
            </w:r>
          </w:p>
        </w:tc>
      </w:tr>
      <w:tr>
        <w:tc>
          <w:tcPr>
            <w:tcW w:w="58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672" w:type="dxa"/>
            <w:tcBorders/>
            <w:shd w:fill="FFFFFF" w:val="clear"/>
            <w:vAlign w:val="center"/>
          </w:tcPr>
          <w:p>
            <w:pPr>
              <w:pStyle w:val="TableContents"/>
              <w:bidi w:val="0"/>
              <w:spacing w:before="0" w:after="283"/>
              <w:jc w:val="left"/>
            </w:pPr>
            <w:r>
              <w:t> </w:t>
            </w:r>
          </w:p>
        </w:tc>
        <w:tc>
          <w:tcPr>
            <w:tcW w:w="91"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42" w:type="dxa"/>
            <w:tcBorders/>
            <w:shd w:fill="FFFFFF" w:val="clear"/>
            <w:vAlign w:val="center"/>
          </w:tcPr>
          <w:p>
            <w:pPr>
              <w:pStyle w:val="TableContents"/>
              <w:bidi w:val="0"/>
              <w:spacing w:before="0" w:after="283"/>
              <w:jc w:val="left"/>
            </w:pPr>
            <w:r>
              <w:t> </w:t>
            </w:r>
          </w:p>
        </w:tc>
        <w:tc>
          <w:tcPr>
            <w:tcW w:w="672"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69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r>
      <w:tr>
        <w:tc>
          <w:tcPr>
            <w:tcW w:w="58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w:t>
            </w:r>
          </w:p>
        </w:tc>
        <w:tc>
          <w:tcPr>
            <w:tcW w:w="60" w:type="dxa"/>
            <w:tcBorders/>
            <w:shd w:fill="CCEEFF" w:val="clear"/>
            <w:vAlign w:val="center"/>
          </w:tcPr>
          <w:p>
            <w:pPr>
              <w:pStyle w:val="TableContents"/>
              <w:bidi w:val="0"/>
              <w:spacing w:before="0" w:after="283"/>
              <w:jc w:val="left"/>
            </w:pPr>
            <w: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pPr>
            <w: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2,836</w:t>
            </w:r>
          </w:p>
        </w:tc>
        <w:tc>
          <w:tcPr>
            <w:tcW w:w="60" w:type="dxa"/>
            <w:tcBorders/>
            <w:shd w:fill="CCEEFF" w:val="clear"/>
            <w:vAlign w:val="center"/>
          </w:tcPr>
          <w:p>
            <w:pPr>
              <w:pStyle w:val="TableContents"/>
              <w:bidi w:val="0"/>
              <w:spacing w:before="0" w:after="283"/>
              <w:jc w:val="left"/>
            </w:pPr>
            <w:r>
              <w:t> </w:t>
            </w:r>
          </w:p>
        </w:tc>
      </w:tr>
      <w:tr>
        <w:tc>
          <w:tcPr>
            <w:tcW w:w="58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attributable to Rush Enterprises, Inc.</w:t>
            </w:r>
          </w:p>
        </w:tc>
        <w:tc>
          <w:tcPr>
            <w:tcW w:w="60" w:type="dxa"/>
            <w:tcBorders/>
            <w:shd w:fill="FFFFFF" w:val="clear"/>
            <w:vAlign w:val="center"/>
          </w:tcPr>
          <w:p>
            <w:pPr>
              <w:pStyle w:val="TableContents"/>
              <w:bidi w:val="0"/>
              <w:spacing w:before="0" w:after="283"/>
              <w:jc w:val="left"/>
            </w:pPr>
            <w: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pPr>
            <w: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2,836</w:t>
            </w:r>
          </w:p>
        </w:tc>
        <w:tc>
          <w:tcPr>
            <w:tcW w:w="60" w:type="dxa"/>
            <w:tcBorders/>
            <w:shd w:fill="FFFFFF" w:val="clear"/>
            <w:vAlign w:val="center"/>
          </w:tcPr>
          <w:p>
            <w:pPr>
              <w:pStyle w:val="TableContents"/>
              <w:bidi w:val="0"/>
              <w:spacing w:before="0" w:after="283"/>
              <w:jc w:val="left"/>
            </w:pPr>
            <w:r>
              <w:t> </w:t>
            </w:r>
          </w:p>
        </w:tc>
      </w:tr>
      <w:tr>
        <w:tc>
          <w:tcPr>
            <w:tcW w:w="58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77,499</w:t>
            </w:r>
          </w:p>
        </w:tc>
        <w:tc>
          <w:tcPr>
            <w:tcW w:w="91"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ind w:left="0" w:right="0" w:hanging="0"/>
              <w:jc w:val="left"/>
            </w:pPr>
            <w: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65,559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208,135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204,180</w:t>
            </w:r>
          </w:p>
        </w:tc>
        <w:tc>
          <w:tcPr>
            <w:tcW w:w="60" w:type="dxa"/>
            <w:tcBorders/>
            <w:shd w:fill="CCEEFF" w:val="clear"/>
            <w:vAlign w:val="center"/>
          </w:tcPr>
          <w:p>
            <w:pPr>
              <w:pStyle w:val="TableContents"/>
              <w:bidi w:val="0"/>
              <w:spacing w:before="0" w:after="283"/>
              <w:jc w:val="left"/>
            </w:pPr>
            <w:r>
              <w:t> </w:t>
            </w:r>
          </w:p>
        </w:tc>
      </w:tr>
      <w:tr>
        <w:tc>
          <w:tcPr>
            <w:tcW w:w="587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attributable to noncontrolling interest</w:t>
            </w:r>
          </w:p>
        </w:tc>
        <w:tc>
          <w:tcPr>
            <w:tcW w:w="60" w:type="dxa"/>
            <w:tcBorders/>
            <w:shd w:fill="FFFFFF" w:val="clear"/>
            <w:vAlign w:val="center"/>
          </w:tcPr>
          <w:p>
            <w:pPr>
              <w:pStyle w:val="TableContents"/>
              <w:bidi w:val="0"/>
              <w:spacing w:before="0" w:after="283"/>
              <w:jc w:val="left"/>
            </w:pPr>
            <w: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p>
        </w:tc>
        <w:tc>
          <w:tcPr>
            <w:tcW w:w="91" w:type="dxa"/>
            <w:tcBorders/>
            <w:shd w:fill="FFFFFF" w:val="clear"/>
            <w:vAlign w:val="center"/>
          </w:tcPr>
          <w:p>
            <w:pPr>
              <w:pStyle w:val="TableContents"/>
              <w:bidi w:val="0"/>
              <w:spacing w:before="0" w:after="283"/>
              <w:jc w:val="left"/>
            </w:pPr>
            <w:r>
              <w:t> </w:t>
            </w:r>
          </w:p>
        </w:tc>
        <w:tc>
          <w:tcPr>
            <w:tcW w:w="68" w:type="dxa"/>
            <w:tcBorders/>
            <w:shd w:fill="FFFFFF" w:val="clear"/>
            <w:vAlign w:val="center"/>
          </w:tcPr>
          <w:p>
            <w:pPr>
              <w:pStyle w:val="TableContents"/>
              <w:bidi w:val="0"/>
              <w:spacing w:before="0" w:after="283"/>
              <w:jc w:val="left"/>
            </w:pPr>
            <w: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w:t>
            </w:r>
          </w:p>
        </w:tc>
        <w:tc>
          <w:tcPr>
            <w:tcW w:w="60" w:type="dxa"/>
            <w:tcBorders/>
            <w:shd w:fill="FFFFFF" w:val="clear"/>
            <w:vAlign w:val="center"/>
          </w:tcPr>
          <w:p>
            <w:pPr>
              <w:pStyle w:val="TableContents"/>
              <w:bidi w:val="0"/>
              <w:spacing w:before="0" w:after="283"/>
              <w:jc w:val="left"/>
            </w:pPr>
            <w:r>
              <w:t> </w:t>
            </w:r>
          </w:p>
        </w:tc>
      </w:tr>
      <w:tr>
        <w:tc>
          <w:tcPr>
            <w:tcW w:w="5870"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 attributable to Rush Enterprises, Inc.</w:t>
            </w:r>
          </w:p>
        </w:tc>
        <w:tc>
          <w:tcPr>
            <w:tcW w:w="60" w:type="dxa"/>
            <w:tcBorders/>
            <w:shd w:fill="CCEEFF" w:val="clear"/>
            <w:vAlign w:val="center"/>
          </w:tcPr>
          <w:p>
            <w:pPr>
              <w:pStyle w:val="TableContents"/>
              <w:bidi w:val="0"/>
              <w:spacing w:before="0" w:after="283"/>
              <w:ind w:left="0" w:right="0" w:hanging="0"/>
              <w:jc w:val="left"/>
            </w:pPr>
            <w: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76,659</w:t>
            </w:r>
          </w:p>
        </w:tc>
        <w:tc>
          <w:tcPr>
            <w:tcW w:w="91" w:type="dxa"/>
            <w:tcBorders/>
            <w:shd w:fill="CCEEFF" w:val="clear"/>
            <w:vAlign w:val="center"/>
          </w:tcPr>
          <w:p>
            <w:pPr>
              <w:pStyle w:val="TableContents"/>
              <w:bidi w:val="0"/>
              <w:spacing w:before="0" w:after="283"/>
              <w:jc w:val="left"/>
            </w:pPr>
            <w:r>
              <w:t> </w:t>
            </w:r>
          </w:p>
        </w:tc>
        <w:tc>
          <w:tcPr>
            <w:tcW w:w="68" w:type="dxa"/>
            <w:tcBorders/>
            <w:shd w:fill="CCEEFF" w:val="clear"/>
            <w:vAlign w:val="center"/>
          </w:tcPr>
          <w:p>
            <w:pPr>
              <w:pStyle w:val="TableContents"/>
              <w:bidi w:val="0"/>
              <w:spacing w:before="0" w:after="283"/>
              <w:ind w:left="0" w:right="0" w:hanging="0"/>
              <w:jc w:val="left"/>
            </w:pPr>
            <w: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64,511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206,809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202,286</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p>
    <w:p>
      <w:pPr>
        <w:pStyle w:val="TextBody"/>
        <w:bidi w:val="0"/>
        <w:spacing w:before="0" w:after="283"/>
        <w:jc w:val="left"/>
      </w:pPr>
      <w:r>
        <w:t>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u w:val="single"/>
        </w:rPr>
      </w:pPr>
      <w:bookmarkStart w:id="7" w:name="se"/>
      <w:bookmarkEnd w:id="7"/>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SHAREHOLDERS’ EQUITY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5"/>
        <w:gridCol w:w="60"/>
        <w:gridCol w:w="60"/>
        <w:gridCol w:w="519"/>
        <w:gridCol w:w="80"/>
        <w:gridCol w:w="60"/>
        <w:gridCol w:w="60"/>
        <w:gridCol w:w="519"/>
        <w:gridCol w:w="80"/>
        <w:gridCol w:w="60"/>
        <w:gridCol w:w="110"/>
        <w:gridCol w:w="425"/>
        <w:gridCol w:w="60"/>
        <w:gridCol w:w="60"/>
        <w:gridCol w:w="116"/>
        <w:gridCol w:w="639"/>
        <w:gridCol w:w="80"/>
        <w:gridCol w:w="60"/>
        <w:gridCol w:w="110"/>
        <w:gridCol w:w="665"/>
        <w:gridCol w:w="80"/>
        <w:gridCol w:w="60"/>
        <w:gridCol w:w="110"/>
        <w:gridCol w:w="740"/>
        <w:gridCol w:w="80"/>
        <w:gridCol w:w="60"/>
        <w:gridCol w:w="176"/>
        <w:gridCol w:w="924"/>
        <w:gridCol w:w="80"/>
        <w:gridCol w:w="60"/>
        <w:gridCol w:w="120"/>
        <w:gridCol w:w="809"/>
        <w:gridCol w:w="80"/>
        <w:gridCol w:w="60"/>
        <w:gridCol w:w="138"/>
        <w:gridCol w:w="647"/>
        <w:gridCol w:w="60"/>
        <w:gridCol w:w="60"/>
        <w:gridCol w:w="119"/>
        <w:gridCol w:w="802"/>
        <w:gridCol w:w="102"/>
      </w:tblGrid>
      <w:tr>
        <w:tc>
          <w:tcPr>
            <w:tcW w:w="101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Outstanding</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Class A                Class B</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5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$0.01</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Par</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Value</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Additional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Paid -In</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Capital</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Treasury</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Stock</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Retained</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Earnings</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Accumulated</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Other</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Income (Loss)</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9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Rush</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Enterprises,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Inc. Shareholders’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Equity</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Non-</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controlling</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Interest</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Equity</w:t>
            </w:r>
          </w:p>
        </w:tc>
        <w:tc>
          <w:tcPr>
            <w:tcW w:w="102" w:type="dxa"/>
            <w:tcBorders/>
            <w:vAlign w:val="center"/>
          </w:tcPr>
          <w:p>
            <w:pPr>
              <w:pStyle w:val="TableContents"/>
              <w:bidi w:val="0"/>
              <w:spacing w:before="0" w:after="283"/>
              <w:jc w:val="left"/>
            </w:pPr>
            <w:r>
              <w:t> </w:t>
            </w:r>
          </w:p>
        </w:tc>
      </w:tr>
      <w:tr>
        <w:tc>
          <w:tcPr>
            <w:tcW w:w="10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December 31, 2025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90,173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24,657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835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634,266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(331,150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1,904,091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(4,813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2,203,229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22,614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2,225,843</w:t>
            </w:r>
          </w:p>
        </w:tc>
        <w:tc>
          <w:tcPr>
            <w:tcW w:w="102" w:type="dxa"/>
            <w:tcBorders/>
            <w:shd w:fill="CCEEFF" w:val="clear"/>
            <w:vAlign w:val="center"/>
          </w:tcPr>
          <w:p>
            <w:pPr>
              <w:pStyle w:val="TableContents"/>
              <w:bidi w:val="0"/>
              <w:spacing w:before="0" w:after="283"/>
              <w:jc w:val="left"/>
            </w:pPr>
            <w:r>
              <w:t> </w:t>
            </w:r>
          </w:p>
        </w:tc>
      </w:tr>
      <w:tr>
        <w:tc>
          <w:tcPr>
            <w:tcW w:w="10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12,105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12,111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12,111</w:t>
            </w:r>
          </w:p>
        </w:tc>
        <w:tc>
          <w:tcPr>
            <w:tcW w:w="102" w:type="dxa"/>
            <w:tcBorders/>
            <w:shd w:fill="FFFFFF" w:val="clear"/>
            <w:vAlign w:val="center"/>
          </w:tcPr>
          <w:p>
            <w:pPr>
              <w:pStyle w:val="TableContents"/>
              <w:bidi w:val="0"/>
              <w:spacing w:before="0" w:after="283"/>
              <w:jc w:val="left"/>
            </w:pPr>
            <w:r>
              <w:t> </w:t>
            </w:r>
          </w:p>
        </w:tc>
      </w:tr>
      <w:tr>
        <w:tc>
          <w:tcPr>
            <w:tcW w:w="1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42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14,536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14,536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647"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14,536</w:t>
            </w:r>
          </w:p>
        </w:tc>
        <w:tc>
          <w:tcPr>
            <w:tcW w:w="102" w:type="dxa"/>
            <w:tcBorders/>
            <w:shd w:fill="CCEEFF" w:val="clear"/>
            <w:vAlign w:val="center"/>
          </w:tcPr>
          <w:p>
            <w:pPr>
              <w:pStyle w:val="TableContents"/>
              <w:bidi w:val="0"/>
              <w:spacing w:before="0" w:after="283"/>
              <w:jc w:val="left"/>
            </w:pPr>
            <w:r>
              <w:t> </w:t>
            </w:r>
          </w:p>
        </w:tc>
      </w:tr>
      <w:tr>
        <w:tc>
          <w:tcPr>
            <w:tcW w:w="1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(9,512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(9,509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(9,509</w:t>
            </w:r>
          </w:p>
        </w:tc>
        <w:tc>
          <w:tcPr>
            <w:tcW w:w="10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1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647"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3,802</w:t>
            </w:r>
          </w:p>
        </w:tc>
        <w:tc>
          <w:tcPr>
            <w:tcW w:w="102" w:type="dxa"/>
            <w:tcBorders/>
            <w:shd w:fill="CCEEFF" w:val="clear"/>
            <w:vAlign w:val="center"/>
          </w:tcPr>
          <w:p>
            <w:pPr>
              <w:pStyle w:val="TableContents"/>
              <w:bidi w:val="0"/>
              <w:spacing w:before="0" w:after="283"/>
              <w:jc w:val="left"/>
            </w:pPr>
            <w:r>
              <w:t> </w:t>
            </w:r>
          </w:p>
        </w:tc>
      </w:tr>
      <w:tr>
        <w:tc>
          <w:tcPr>
            <w:tcW w:w="1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80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pPr>
            <w:r>
              <w:t>–</w:t>
            </w:r>
          </w:p>
        </w:tc>
        <w:tc>
          <w:tcPr>
            <w:tcW w:w="102" w:type="dxa"/>
            <w:tcBorders/>
            <w:shd w:fill="FFFFFF" w:val="clear"/>
            <w:vAlign w:val="center"/>
          </w:tcPr>
          <w:p>
            <w:pPr>
              <w:pStyle w:val="TableContents"/>
              <w:bidi w:val="0"/>
              <w:spacing w:before="0" w:after="283"/>
              <w:jc w:val="left"/>
            </w:pPr>
            <w:r>
              <w:t> </w:t>
            </w:r>
          </w:p>
        </w:tc>
      </w:tr>
      <w:tr>
        <w:tc>
          <w:tcPr>
            <w:tcW w:w="1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42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647"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(11,551</w:t>
            </w:r>
          </w:p>
        </w:tc>
        <w:tc>
          <w:tcPr>
            <w:tcW w:w="10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10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(3,294</w:t>
            </w:r>
          </w:p>
        </w:tc>
        <w:tc>
          <w:tcPr>
            <w:tcW w:w="10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1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42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647"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(1,999</w:t>
            </w:r>
          </w:p>
        </w:tc>
        <w:tc>
          <w:tcPr>
            <w:tcW w:w="10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1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4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61,454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61,454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61,680</w:t>
            </w:r>
          </w:p>
        </w:tc>
        <w:tc>
          <w:tcPr>
            <w:tcW w:w="102" w:type="dxa"/>
            <w:tcBorders/>
            <w:shd w:fill="FFFFFF" w:val="clear"/>
            <w:vAlign w:val="center"/>
          </w:tcPr>
          <w:p>
            <w:pPr>
              <w:pStyle w:val="TableContents"/>
              <w:bidi w:val="0"/>
              <w:spacing w:before="0" w:after="283"/>
              <w:jc w:val="left"/>
            </w:pPr>
            <w:r>
              <w:t> </w:t>
            </w:r>
          </w:p>
        </w:tc>
      </w:tr>
      <w:tr>
        <w:tc>
          <w:tcPr>
            <w:tcW w:w="10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March 31, 2026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91,283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25,073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845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655,196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(331,150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1,950,700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(6,812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2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2,268,779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22,840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2,291,619</w:t>
            </w:r>
          </w:p>
        </w:tc>
        <w:tc>
          <w:tcPr>
            <w:tcW w:w="102" w:type="dxa"/>
            <w:tcBorders/>
            <w:shd w:fill="CCEEFF" w:val="clear"/>
            <w:vAlign w:val="center"/>
          </w:tcPr>
          <w:p>
            <w:pPr>
              <w:pStyle w:val="TableContents"/>
              <w:bidi w:val="0"/>
              <w:spacing w:before="0" w:after="283"/>
              <w:jc w:val="left"/>
            </w:pPr>
            <w:r>
              <w:t> </w:t>
            </w:r>
          </w:p>
        </w:tc>
      </w:tr>
      <w:tr>
        <w:tc>
          <w:tcPr>
            <w:tcW w:w="10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5,447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5,449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5,449</w:t>
            </w:r>
          </w:p>
        </w:tc>
        <w:tc>
          <w:tcPr>
            <w:tcW w:w="102" w:type="dxa"/>
            <w:tcBorders/>
            <w:shd w:fill="FFFFFF" w:val="clear"/>
            <w:vAlign w:val="center"/>
          </w:tcPr>
          <w:p>
            <w:pPr>
              <w:pStyle w:val="TableContents"/>
              <w:bidi w:val="0"/>
              <w:spacing w:before="0" w:after="283"/>
              <w:jc w:val="left"/>
            </w:pPr>
            <w:r>
              <w:t> </w:t>
            </w:r>
          </w:p>
        </w:tc>
      </w:tr>
      <w:tr>
        <w:tc>
          <w:tcPr>
            <w:tcW w:w="1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42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647"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6,799</w:t>
            </w:r>
          </w:p>
        </w:tc>
        <w:tc>
          <w:tcPr>
            <w:tcW w:w="102" w:type="dxa"/>
            <w:tcBorders/>
            <w:shd w:fill="CCEEFF" w:val="clear"/>
            <w:vAlign w:val="center"/>
          </w:tcPr>
          <w:p>
            <w:pPr>
              <w:pStyle w:val="TableContents"/>
              <w:bidi w:val="0"/>
              <w:spacing w:before="0" w:after="283"/>
              <w:jc w:val="left"/>
            </w:pPr>
            <w:r>
              <w:t> </w:t>
            </w:r>
          </w:p>
        </w:tc>
      </w:tr>
      <w:tr>
        <w:tc>
          <w:tcPr>
            <w:tcW w:w="1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80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pPr>
            <w:r>
              <w:t>–</w:t>
            </w:r>
          </w:p>
        </w:tc>
        <w:tc>
          <w:tcPr>
            <w:tcW w:w="102" w:type="dxa"/>
            <w:tcBorders/>
            <w:shd w:fill="FFFFFF" w:val="clear"/>
            <w:vAlign w:val="center"/>
          </w:tcPr>
          <w:p>
            <w:pPr>
              <w:pStyle w:val="TableContents"/>
              <w:bidi w:val="0"/>
              <w:spacing w:before="0" w:after="283"/>
              <w:jc w:val="left"/>
            </w:pPr>
            <w:r>
              <w:t> </w:t>
            </w:r>
          </w:p>
        </w:tc>
      </w:tr>
      <w:tr>
        <w:tc>
          <w:tcPr>
            <w:tcW w:w="1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42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(5,398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647"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(5,398</w:t>
            </w:r>
          </w:p>
        </w:tc>
        <w:tc>
          <w:tcPr>
            <w:tcW w:w="10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10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(11,594</w:t>
            </w:r>
          </w:p>
        </w:tc>
        <w:tc>
          <w:tcPr>
            <w:tcW w:w="10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1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42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647"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(3,342</w:t>
            </w:r>
          </w:p>
        </w:tc>
        <w:tc>
          <w:tcPr>
            <w:tcW w:w="10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10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(2,066</w:t>
            </w:r>
          </w:p>
        </w:tc>
        <w:tc>
          <w:tcPr>
            <w:tcW w:w="10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1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72,761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72,761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73,021</w:t>
            </w:r>
          </w:p>
        </w:tc>
        <w:tc>
          <w:tcPr>
            <w:tcW w:w="102" w:type="dxa"/>
            <w:tcBorders/>
            <w:shd w:fill="CCEEFF" w:val="clear"/>
            <w:vAlign w:val="center"/>
          </w:tcPr>
          <w:p>
            <w:pPr>
              <w:pStyle w:val="TableContents"/>
              <w:bidi w:val="0"/>
              <w:spacing w:before="0" w:after="283"/>
              <w:jc w:val="left"/>
            </w:pPr>
            <w:r>
              <w:t> </w:t>
            </w:r>
          </w:p>
        </w:tc>
      </w:tr>
      <w:tr>
        <w:tc>
          <w:tcPr>
            <w:tcW w:w="10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June 30, 2026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91,555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25,016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847</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6"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667,442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(336,548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pPr>
            <w: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2,008,525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(8,878</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FFFFFF" w:val="clear"/>
            <w:vAlign w:val="center"/>
          </w:tcPr>
          <w:p>
            <w:pPr>
              <w:pStyle w:val="TableContents"/>
              <w:bidi w:val="0"/>
              <w:spacing w:before="0" w:after="283"/>
              <w:ind w:left="0" w:right="0" w:hanging="0"/>
              <w:jc w:val="left"/>
            </w:pPr>
            <w:r>
              <w:t> </w:t>
            </w:r>
          </w:p>
        </w:tc>
        <w:tc>
          <w:tcPr>
            <w:tcW w:w="120"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2,331,388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23,100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19" w:type="dxa"/>
            <w:tcBorders/>
            <w:shd w:fill="FFFF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2,354,488</w:t>
            </w:r>
          </w:p>
        </w:tc>
        <w:tc>
          <w:tcPr>
            <w:tcW w:w="102" w:type="dxa"/>
            <w:tcBorders/>
            <w:shd w:fill="FFFFFF" w:val="clear"/>
            <w:vAlign w:val="center"/>
          </w:tcPr>
          <w:p>
            <w:pPr>
              <w:pStyle w:val="TableContents"/>
              <w:bidi w:val="0"/>
              <w:spacing w:before="0" w:after="283"/>
              <w:jc w:val="left"/>
            </w:pPr>
            <w:r>
              <w:t> </w:t>
            </w:r>
          </w:p>
        </w:tc>
      </w:tr>
      <w:tr>
        <w:tc>
          <w:tcPr>
            <w:tcW w:w="1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647"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3,520</w:t>
            </w:r>
          </w:p>
        </w:tc>
        <w:tc>
          <w:tcPr>
            <w:tcW w:w="102" w:type="dxa"/>
            <w:tcBorders/>
            <w:shd w:fill="CCEEFF" w:val="clear"/>
            <w:vAlign w:val="center"/>
          </w:tcPr>
          <w:p>
            <w:pPr>
              <w:pStyle w:val="TableContents"/>
              <w:bidi w:val="0"/>
              <w:spacing w:before="0" w:after="283"/>
              <w:jc w:val="left"/>
            </w:pPr>
            <w:r>
              <w:t> </w:t>
            </w:r>
          </w:p>
        </w:tc>
      </w:tr>
      <w:tr>
        <w:tc>
          <w:tcPr>
            <w:tcW w:w="10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5,258</w:t>
            </w:r>
          </w:p>
        </w:tc>
        <w:tc>
          <w:tcPr>
            <w:tcW w:w="102" w:type="dxa"/>
            <w:tcBorders/>
            <w:shd w:fill="FFFFFF" w:val="clear"/>
            <w:vAlign w:val="center"/>
          </w:tcPr>
          <w:p>
            <w:pPr>
              <w:pStyle w:val="TableContents"/>
              <w:bidi w:val="0"/>
              <w:spacing w:before="0" w:after="283"/>
              <w:jc w:val="left"/>
            </w:pPr>
            <w:r>
              <w:t> </w:t>
            </w:r>
          </w:p>
        </w:tc>
      </w:tr>
      <w:tr>
        <w:tc>
          <w:tcPr>
            <w:tcW w:w="1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3,731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3,732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647"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3,732</w:t>
            </w:r>
          </w:p>
        </w:tc>
        <w:tc>
          <w:tcPr>
            <w:tcW w:w="102" w:type="dxa"/>
            <w:tcBorders/>
            <w:shd w:fill="CCEEFF" w:val="clear"/>
            <w:vAlign w:val="center"/>
          </w:tcPr>
          <w:p>
            <w:pPr>
              <w:pStyle w:val="TableContents"/>
              <w:bidi w:val="0"/>
              <w:spacing w:before="0" w:after="283"/>
              <w:jc w:val="left"/>
            </w:pPr>
            <w:r>
              <w:t> </w:t>
            </w:r>
          </w:p>
        </w:tc>
      </w:tr>
      <w:tr>
        <w:tc>
          <w:tcPr>
            <w:tcW w:w="1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(10,336</w:t>
            </w:r>
          </w:p>
        </w:tc>
        <w:tc>
          <w:tcPr>
            <w:tcW w:w="10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1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Retirement of treasury shares and par value adjustment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42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336,548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(336,624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647"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420</w:t>
            </w:r>
          </w:p>
        </w:tc>
        <w:tc>
          <w:tcPr>
            <w:tcW w:w="102" w:type="dxa"/>
            <w:tcBorders/>
            <w:shd w:fill="CCEEFF" w:val="clear"/>
            <w:vAlign w:val="center"/>
          </w:tcPr>
          <w:p>
            <w:pPr>
              <w:pStyle w:val="TableContents"/>
              <w:bidi w:val="0"/>
              <w:spacing w:before="0" w:after="283"/>
              <w:jc w:val="left"/>
            </w:pPr>
            <w:r>
              <w:t> </w:t>
            </w:r>
          </w:p>
        </w:tc>
      </w:tr>
      <w:tr>
        <w:tc>
          <w:tcPr>
            <w:tcW w:w="10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(12,877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(12,877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(12,877</w:t>
            </w:r>
          </w:p>
        </w:tc>
        <w:tc>
          <w:tcPr>
            <w:tcW w:w="10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10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425"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76" w:type="dxa"/>
            <w:tcBorders/>
            <w:shd w:fill="CCEEFF" w:val="clear"/>
            <w:vAlign w:val="center"/>
          </w:tcPr>
          <w:p>
            <w:pPr>
              <w:pStyle w:val="TableContents"/>
              <w:bidi w:val="0"/>
              <w:spacing w:before="0" w:after="283"/>
              <w:ind w:left="0" w:right="0" w:hanging="0"/>
              <w:jc w:val="left"/>
            </w:pPr>
            <w:r>
              <w:t> </w:t>
            </w:r>
          </w:p>
        </w:tc>
        <w:tc>
          <w:tcPr>
            <w:tcW w:w="92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0" w:type="dxa"/>
            <w:tcBorders/>
            <w:shd w:fill="CCEEFF" w:val="clear"/>
            <w:vAlign w:val="center"/>
          </w:tcPr>
          <w:p>
            <w:pPr>
              <w:pStyle w:val="TableContents"/>
              <w:bidi w:val="0"/>
              <w:spacing w:before="0" w:after="283"/>
              <w:ind w:left="0" w:right="0" w:hanging="0"/>
              <w:jc w:val="left"/>
            </w:pPr>
            <w:r>
              <w:t> </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38" w:type="dxa"/>
            <w:tcBorders/>
            <w:shd w:fill="CCEEFF" w:val="clear"/>
            <w:vAlign w:val="center"/>
          </w:tcPr>
          <w:p>
            <w:pPr>
              <w:pStyle w:val="TableContents"/>
              <w:bidi w:val="0"/>
              <w:spacing w:before="0" w:after="283"/>
              <w:ind w:left="0" w:right="0" w:hanging="0"/>
              <w:jc w:val="left"/>
            </w:pPr>
            <w:r>
              <w:t> </w:t>
            </w:r>
          </w:p>
        </w:tc>
        <w:tc>
          <w:tcPr>
            <w:tcW w:w="647"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9" w:type="dxa"/>
            <w:tcBorders/>
            <w:shd w:fill="CCEEFF" w:val="clear"/>
            <w:vAlign w:val="center"/>
          </w:tcPr>
          <w:p>
            <w:pPr>
              <w:pStyle w:val="TableContents"/>
              <w:bidi w:val="0"/>
              <w:spacing w:before="0" w:after="283"/>
              <w:ind w:left="0" w:right="0" w:hanging="0"/>
              <w:jc w:val="left"/>
            </w:pPr>
            <w: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(3,668</w:t>
            </w:r>
          </w:p>
        </w:tc>
        <w:tc>
          <w:tcPr>
            <w:tcW w:w="102"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10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425"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76" w:type="dxa"/>
            <w:tcBorders/>
            <w:shd w:fill="FFFFFF" w:val="clear"/>
            <w:vAlign w:val="center"/>
          </w:tcPr>
          <w:p>
            <w:pPr>
              <w:pStyle w:val="TableContents"/>
              <w:bidi w:val="0"/>
              <w:spacing w:before="0" w:after="283"/>
              <w:ind w:left="0" w:right="0" w:hanging="0"/>
              <w:jc w:val="left"/>
            </w:pPr>
            <w: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20" w:type="dxa"/>
            <w:tcBorders/>
            <w:shd w:fill="FFFFFF" w:val="clear"/>
            <w:vAlign w:val="center"/>
          </w:tcPr>
          <w:p>
            <w:pPr>
              <w:pStyle w:val="TableContents"/>
              <w:bidi w:val="0"/>
              <w:spacing w:before="0" w:after="283"/>
              <w:ind w:left="0" w:right="0" w:hanging="0"/>
              <w:jc w:val="left"/>
            </w:pPr>
            <w: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38" w:type="dxa"/>
            <w:tcBorders/>
            <w:shd w:fill="FFFFFF" w:val="clear"/>
            <w:vAlign w:val="center"/>
          </w:tcPr>
          <w:p>
            <w:pPr>
              <w:pStyle w:val="TableContents"/>
              <w:bidi w:val="0"/>
              <w:spacing w:before="0" w:after="283"/>
              <w:ind w:left="0" w:right="0" w:hanging="0"/>
              <w:jc w:val="left"/>
            </w:pPr>
            <w:r>
              <w:t> </w:t>
            </w:r>
          </w:p>
        </w:tc>
        <w:tc>
          <w:tcPr>
            <w:tcW w:w="647"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9" w:type="dxa"/>
            <w:tcBorders/>
            <w:shd w:fill="FFFFFF" w:val="clear"/>
            <w:vAlign w:val="center"/>
          </w:tcPr>
          <w:p>
            <w:pPr>
              <w:pStyle w:val="TableContents"/>
              <w:bidi w:val="0"/>
              <w:spacing w:before="0" w:after="283"/>
              <w:ind w:left="0" w:right="0" w:hanging="0"/>
              <w:jc w:val="left"/>
            </w:pPr>
            <w: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(1,384</w:t>
            </w:r>
          </w:p>
        </w:tc>
        <w:tc>
          <w:tcPr>
            <w:tcW w:w="102"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1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78,043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78,043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78,883</w:t>
            </w:r>
          </w:p>
        </w:tc>
        <w:tc>
          <w:tcPr>
            <w:tcW w:w="102" w:type="dxa"/>
            <w:tcBorders/>
            <w:shd w:fill="CCEEFF" w:val="clear"/>
            <w:vAlign w:val="center"/>
          </w:tcPr>
          <w:p>
            <w:pPr>
              <w:pStyle w:val="TableContents"/>
              <w:bidi w:val="0"/>
              <w:spacing w:before="0" w:after="283"/>
              <w:jc w:val="left"/>
            </w:pPr>
            <w:r>
              <w:t> </w:t>
            </w:r>
          </w:p>
        </w:tc>
      </w:tr>
      <w:tr>
        <w:tc>
          <w:tcPr>
            <w:tcW w:w="10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September 30, 2026</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91,791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25,003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1,167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680,128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(10,336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1,733,399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(10,262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2,394,096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23,940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2,418,036</w:t>
            </w:r>
          </w:p>
        </w:tc>
        <w:tc>
          <w:tcPr>
            <w:tcW w:w="102"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SHAREHOLDERS’ EQUITY (continued)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380" w:type="dxa"/>
        <w:jc w:val="left"/>
        <w:tblInd w:w="0" w:type="dxa"/>
        <w:tblLayout w:type="fixed"/>
        <w:tblCellMar>
          <w:top w:w="0" w:type="dxa"/>
          <w:left w:w="0" w:type="dxa"/>
          <w:bottom w:w="0" w:type="dxa"/>
          <w:right w:w="0" w:type="dxa"/>
        </w:tblCellMar>
      </w:tblPr>
      <w:tblGrid>
        <w:gridCol w:w="845"/>
        <w:gridCol w:w="60"/>
        <w:gridCol w:w="60"/>
        <w:gridCol w:w="515"/>
        <w:gridCol w:w="80"/>
        <w:gridCol w:w="60"/>
        <w:gridCol w:w="60"/>
        <w:gridCol w:w="515"/>
        <w:gridCol w:w="80"/>
        <w:gridCol w:w="60"/>
        <w:gridCol w:w="116"/>
        <w:gridCol w:w="309"/>
        <w:gridCol w:w="60"/>
        <w:gridCol w:w="60"/>
        <w:gridCol w:w="116"/>
        <w:gridCol w:w="639"/>
        <w:gridCol w:w="80"/>
        <w:gridCol w:w="60"/>
        <w:gridCol w:w="110"/>
        <w:gridCol w:w="665"/>
        <w:gridCol w:w="80"/>
        <w:gridCol w:w="60"/>
        <w:gridCol w:w="110"/>
        <w:gridCol w:w="740"/>
        <w:gridCol w:w="80"/>
        <w:gridCol w:w="60"/>
        <w:gridCol w:w="203"/>
        <w:gridCol w:w="897"/>
        <w:gridCol w:w="80"/>
        <w:gridCol w:w="60"/>
        <w:gridCol w:w="126"/>
        <w:gridCol w:w="854"/>
        <w:gridCol w:w="80"/>
        <w:gridCol w:w="60"/>
        <w:gridCol w:w="201"/>
        <w:gridCol w:w="944"/>
        <w:gridCol w:w="60"/>
        <w:gridCol w:w="60"/>
        <w:gridCol w:w="126"/>
        <w:gridCol w:w="854"/>
        <w:gridCol w:w="95"/>
      </w:tblGrid>
      <w:tr>
        <w:tc>
          <w:tcPr>
            <w:tcW w:w="84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Shares</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Outstanding</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Class A Class B</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4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$0.01 Par</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Value</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Additional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Paid -In</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Capital</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Treasury</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Stock</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Retained</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Earnings</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Accumulated</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Other</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Comprehensive Income (Loss)</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Rush Enterprises, Inc. Shareholders’ Equity</w:t>
            </w:r>
          </w:p>
        </w:tc>
        <w:tc>
          <w:tcPr>
            <w:tcW w:w="8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Non-controlling</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Interest</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Total</w:t>
            </w:r>
          </w:p>
          <w:p>
            <w:pPr>
              <w:pStyle w:val="TableContents"/>
              <w:bidi w:val="0"/>
              <w:spacing w:before="0" w:after="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Shareholders’ Equity</w:t>
            </w:r>
          </w:p>
        </w:tc>
        <w:tc>
          <w:tcPr>
            <w:tcW w:w="95" w:type="dxa"/>
            <w:tcBorders/>
            <w:vAlign w:val="center"/>
          </w:tcPr>
          <w:p>
            <w:pPr>
              <w:pStyle w:val="TableContents"/>
              <w:bidi w:val="0"/>
              <w:spacing w:before="0" w:after="283"/>
              <w:jc w:val="left"/>
            </w:pPr>
            <w:r>
              <w:t> </w:t>
            </w:r>
          </w:p>
        </w:tc>
      </w:tr>
      <w:t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December 31, 2024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93,908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24,995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824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587,639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(136,235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1,698,614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(9,293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2,141,549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20,354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2,161,903</w:t>
            </w:r>
          </w:p>
        </w:tc>
        <w:tc>
          <w:tcPr>
            <w:tcW w:w="95" w:type="dxa"/>
            <w:tcBorders/>
            <w:shd w:fill="CCEEFF" w:val="clear"/>
            <w:vAlign w:val="center"/>
          </w:tcPr>
          <w:p>
            <w:pPr>
              <w:pStyle w:val="TableContents"/>
              <w:bidi w:val="0"/>
              <w:spacing w:before="0" w:after="283"/>
              <w:jc w:val="left"/>
            </w:pPr>
            <w:r>
              <w:t> </w:t>
            </w:r>
          </w:p>
        </w:tc>
      </w:tr>
      <w:tr>
        <w:tc>
          <w:tcPr>
            <w:tcW w:w="8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89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94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2,738</w:t>
            </w:r>
          </w:p>
        </w:tc>
        <w:tc>
          <w:tcPr>
            <w:tcW w:w="95" w:type="dxa"/>
            <w:tcBorders/>
            <w:shd w:fill="FFFFFF" w:val="clear"/>
            <w:vAlign w:val="center"/>
          </w:tcPr>
          <w:p>
            <w:pPr>
              <w:pStyle w:val="TableContents"/>
              <w:bidi w:val="0"/>
              <w:spacing w:before="0" w:after="283"/>
              <w:jc w:val="left"/>
            </w:pPr>
            <w:r>
              <w:t> </w:t>
            </w:r>
          </w:p>
        </w:tc>
      </w:tr>
      <w:tr>
        <w:tc>
          <w:tcPr>
            <w:tcW w:w="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30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89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1" w:type="dxa"/>
            <w:tcBorders/>
            <w:shd w:fill="CCEEFF" w:val="clear"/>
            <w:vAlign w:val="center"/>
          </w:tcPr>
          <w:p>
            <w:pPr>
              <w:pStyle w:val="TableContents"/>
              <w:bidi w:val="0"/>
              <w:spacing w:before="0" w:after="283"/>
              <w:ind w:left="0" w:right="0" w:hanging="0"/>
              <w:jc w:val="left"/>
            </w:pPr>
            <w:r>
              <w:t> </w:t>
            </w:r>
          </w:p>
        </w:tc>
        <w:tc>
          <w:tcPr>
            <w:tcW w:w="94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13,714</w:t>
            </w:r>
          </w:p>
        </w:tc>
        <w:tc>
          <w:tcPr>
            <w:tcW w:w="95" w:type="dxa"/>
            <w:tcBorders/>
            <w:shd w:fill="CCEEFF" w:val="clear"/>
            <w:vAlign w:val="center"/>
          </w:tcPr>
          <w:p>
            <w:pPr>
              <w:pStyle w:val="TableContents"/>
              <w:bidi w:val="0"/>
              <w:spacing w:before="0" w:after="283"/>
              <w:jc w:val="left"/>
            </w:pPr>
            <w:r>
              <w:t> </w:t>
            </w:r>
          </w:p>
        </w:tc>
      </w:tr>
      <w:t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(9,442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89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94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(9,439</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89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1" w:type="dxa"/>
            <w:tcBorders/>
            <w:shd w:fill="CCEEFF" w:val="clear"/>
            <w:vAlign w:val="center"/>
          </w:tcPr>
          <w:p>
            <w:pPr>
              <w:pStyle w:val="TableContents"/>
              <w:bidi w:val="0"/>
              <w:spacing w:before="0" w:after="283"/>
              <w:ind w:left="0" w:right="0" w:hanging="0"/>
              <w:jc w:val="left"/>
            </w:pPr>
            <w:r>
              <w:t> </w:t>
            </w:r>
          </w:p>
        </w:tc>
        <w:tc>
          <w:tcPr>
            <w:tcW w:w="94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3,412</w:t>
            </w:r>
          </w:p>
        </w:tc>
        <w:tc>
          <w:tcPr>
            <w:tcW w:w="95" w:type="dxa"/>
            <w:tcBorders/>
            <w:shd w:fill="CCEEFF" w:val="clear"/>
            <w:vAlign w:val="center"/>
          </w:tcPr>
          <w:p>
            <w:pPr>
              <w:pStyle w:val="TableContents"/>
              <w:bidi w:val="0"/>
              <w:spacing w:before="0" w:after="283"/>
              <w:jc w:val="left"/>
            </w:pPr>
            <w:r>
              <w:t> </w:t>
            </w:r>
          </w:p>
        </w:tc>
      </w:tr>
      <w:t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30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89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94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(30,939</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30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89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201" w:type="dxa"/>
            <w:tcBorders/>
            <w:shd w:fill="CCEEFF" w:val="clear"/>
            <w:vAlign w:val="center"/>
          </w:tcPr>
          <w:p>
            <w:pPr>
              <w:pStyle w:val="TableContents"/>
              <w:bidi w:val="0"/>
              <w:spacing w:before="0" w:after="283"/>
              <w:ind w:left="0" w:right="0" w:hanging="0"/>
              <w:jc w:val="left"/>
            </w:pPr>
            <w:r>
              <w:t> </w:t>
            </w:r>
          </w:p>
        </w:tc>
        <w:tc>
          <w:tcPr>
            <w:tcW w:w="94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(11,296</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8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30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89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94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(3,113</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30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201" w:type="dxa"/>
            <w:tcBorders/>
            <w:shd w:fill="CCEEFF" w:val="clear"/>
            <w:vAlign w:val="center"/>
          </w:tcPr>
          <w:p>
            <w:pPr>
              <w:pStyle w:val="TableContents"/>
              <w:bidi w:val="0"/>
              <w:spacing w:before="0" w:after="283"/>
              <w:ind w:left="0" w:right="0" w:hanging="0"/>
              <w:jc w:val="left"/>
            </w:pPr>
            <w:r>
              <w:t> </w:t>
            </w:r>
          </w:p>
        </w:tc>
        <w:tc>
          <w:tcPr>
            <w:tcW w:w="94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60,322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60,322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60,617</w:t>
            </w:r>
          </w:p>
        </w:tc>
        <w:tc>
          <w:tcPr>
            <w:tcW w:w="95" w:type="dxa"/>
            <w:tcBorders/>
            <w:shd w:fill="FFFFFF" w:val="clear"/>
            <w:vAlign w:val="center"/>
          </w:tcPr>
          <w:p>
            <w:pPr>
              <w:pStyle w:val="TableContents"/>
              <w:bidi w:val="0"/>
              <w:spacing w:before="0" w:after="283"/>
              <w:jc w:val="left"/>
            </w:pPr>
            <w:r>
              <w:t> </w:t>
            </w:r>
          </w:p>
        </w:tc>
      </w:tr>
      <w:t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March 31, 2025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93,827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25,133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598,058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(167,174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1,744,527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(9,305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2,166,936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20,648</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2,187,584</w:t>
            </w:r>
          </w:p>
        </w:tc>
        <w:tc>
          <w:tcPr>
            <w:tcW w:w="95" w:type="dxa"/>
            <w:tcBorders/>
            <w:shd w:fill="CCEEFF" w:val="clear"/>
            <w:vAlign w:val="center"/>
          </w:tcPr>
          <w:p>
            <w:pPr>
              <w:pStyle w:val="TableContents"/>
              <w:bidi w:val="0"/>
              <w:spacing w:before="0" w:after="283"/>
              <w:jc w:val="left"/>
            </w:pPr>
            <w:r>
              <w:t> </w:t>
            </w:r>
          </w:p>
        </w:tc>
      </w:tr>
      <w:tr>
        <w:tc>
          <w:tcPr>
            <w:tcW w:w="8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89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94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1,710</w:t>
            </w:r>
          </w:p>
        </w:tc>
        <w:tc>
          <w:tcPr>
            <w:tcW w:w="95" w:type="dxa"/>
            <w:tcBorders/>
            <w:shd w:fill="FFFFFF" w:val="clear"/>
            <w:vAlign w:val="center"/>
          </w:tcPr>
          <w:p>
            <w:pPr>
              <w:pStyle w:val="TableContents"/>
              <w:bidi w:val="0"/>
              <w:spacing w:before="0" w:after="283"/>
              <w:jc w:val="left"/>
            </w:pPr>
            <w:r>
              <w:t> </w:t>
            </w:r>
          </w:p>
        </w:tc>
      </w:tr>
      <w:tr>
        <w:tc>
          <w:tcPr>
            <w:tcW w:w="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30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89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1" w:type="dxa"/>
            <w:tcBorders/>
            <w:shd w:fill="CCEEFF" w:val="clear"/>
            <w:vAlign w:val="center"/>
          </w:tcPr>
          <w:p>
            <w:pPr>
              <w:pStyle w:val="TableContents"/>
              <w:bidi w:val="0"/>
              <w:spacing w:before="0" w:after="283"/>
              <w:ind w:left="0" w:right="0" w:hanging="0"/>
              <w:jc w:val="left"/>
            </w:pPr>
            <w:r>
              <w:t> </w:t>
            </w:r>
          </w:p>
        </w:tc>
        <w:tc>
          <w:tcPr>
            <w:tcW w:w="94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8,289</w:t>
            </w:r>
          </w:p>
        </w:tc>
        <w:tc>
          <w:tcPr>
            <w:tcW w:w="95" w:type="dxa"/>
            <w:tcBorders/>
            <w:shd w:fill="CCEEFF" w:val="clear"/>
            <w:vAlign w:val="center"/>
          </w:tcPr>
          <w:p>
            <w:pPr>
              <w:pStyle w:val="TableContents"/>
              <w:bidi w:val="0"/>
              <w:spacing w:before="0" w:after="283"/>
              <w:jc w:val="left"/>
            </w:pPr>
            <w:r>
              <w:t> </w:t>
            </w:r>
          </w:p>
        </w:tc>
      </w:tr>
      <w:t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Vesting of restricted share awards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30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89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94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(273</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30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89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1" w:type="dxa"/>
            <w:tcBorders/>
            <w:shd w:fill="CCEEFF" w:val="clear"/>
            <w:vAlign w:val="center"/>
          </w:tcPr>
          <w:p>
            <w:pPr>
              <w:pStyle w:val="TableContents"/>
              <w:bidi w:val="0"/>
              <w:spacing w:before="0" w:after="283"/>
              <w:ind w:left="0" w:right="0" w:hanging="0"/>
              <w:jc w:val="left"/>
            </w:pPr>
            <w:r>
              <w:t> </w:t>
            </w:r>
          </w:p>
        </w:tc>
        <w:tc>
          <w:tcPr>
            <w:tcW w:w="94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pPr>
            <w:r>
              <w:t>–</w:t>
            </w:r>
          </w:p>
        </w:tc>
        <w:tc>
          <w:tcPr>
            <w:tcW w:w="95" w:type="dxa"/>
            <w:tcBorders/>
            <w:shd w:fill="CCEEFF" w:val="clear"/>
            <w:vAlign w:val="center"/>
          </w:tcPr>
          <w:p>
            <w:pPr>
              <w:pStyle w:val="TableContents"/>
              <w:bidi w:val="0"/>
              <w:spacing w:before="0" w:after="283"/>
              <w:jc w:val="left"/>
            </w:pPr>
            <w:r>
              <w:t> </w:t>
            </w:r>
          </w:p>
        </w:tc>
      </w:tr>
      <w:t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30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(86,143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89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(86,143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94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(86,143</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30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(10,994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89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(10,994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201" w:type="dxa"/>
            <w:tcBorders/>
            <w:shd w:fill="CCEEFF" w:val="clear"/>
            <w:vAlign w:val="center"/>
          </w:tcPr>
          <w:p>
            <w:pPr>
              <w:pStyle w:val="TableContents"/>
              <w:bidi w:val="0"/>
              <w:spacing w:before="0" w:after="283"/>
              <w:ind w:left="0" w:right="0" w:hanging="0"/>
              <w:jc w:val="left"/>
            </w:pPr>
            <w:r>
              <w:t> </w:t>
            </w:r>
          </w:p>
        </w:tc>
        <w:tc>
          <w:tcPr>
            <w:tcW w:w="94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(10,994</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8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30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89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94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(3,159</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30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1" w:type="dxa"/>
            <w:tcBorders/>
            <w:shd w:fill="CCEEFF" w:val="clear"/>
            <w:vAlign w:val="center"/>
          </w:tcPr>
          <w:p>
            <w:pPr>
              <w:pStyle w:val="TableContents"/>
              <w:bidi w:val="0"/>
              <w:spacing w:before="0" w:after="283"/>
              <w:ind w:left="0" w:right="0" w:hanging="0"/>
              <w:jc w:val="left"/>
            </w:pPr>
            <w:r>
              <w:t> </w:t>
            </w:r>
          </w:p>
        </w:tc>
        <w:tc>
          <w:tcPr>
            <w:tcW w:w="94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5,027</w:t>
            </w:r>
          </w:p>
        </w:tc>
        <w:tc>
          <w:tcPr>
            <w:tcW w:w="95" w:type="dxa"/>
            <w:tcBorders/>
            <w:shd w:fill="CCEEFF" w:val="clear"/>
            <w:vAlign w:val="center"/>
          </w:tcPr>
          <w:p>
            <w:pPr>
              <w:pStyle w:val="TableContents"/>
              <w:bidi w:val="0"/>
              <w:spacing w:before="0" w:after="283"/>
              <w:jc w:val="left"/>
            </w:pPr>
            <w:r>
              <w:t> </w:t>
            </w:r>
          </w:p>
        </w:tc>
      </w:tr>
      <w:t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72,438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72,438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8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72,989</w:t>
            </w:r>
          </w:p>
        </w:tc>
        <w:tc>
          <w:tcPr>
            <w:tcW w:w="95" w:type="dxa"/>
            <w:tcBorders/>
            <w:shd w:fill="FFFFFF" w:val="clear"/>
            <w:vAlign w:val="center"/>
          </w:tcPr>
          <w:p>
            <w:pPr>
              <w:pStyle w:val="TableContents"/>
              <w:bidi w:val="0"/>
              <w:spacing w:before="0" w:after="283"/>
              <w:jc w:val="left"/>
            </w:pPr>
            <w:r>
              <w:t> </w:t>
            </w:r>
          </w:p>
        </w:tc>
      </w:tr>
      <w:t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June 30, 2025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91,685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24,923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831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607,783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(253,317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1,802,812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(4,278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shd w:fill="CCEEFF" w:val="clear"/>
            <w:vAlign w:val="center"/>
          </w:tcPr>
          <w:p>
            <w:pPr>
              <w:pStyle w:val="TableContents"/>
              <w:bidi w:val="0"/>
              <w:spacing w:before="0" w:after="283"/>
              <w:ind w:left="0" w:right="0" w:hanging="0"/>
              <w:jc w:val="left"/>
            </w:pPr>
            <w: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2,153,831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21,200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2,175,031</w:t>
            </w:r>
          </w:p>
        </w:tc>
        <w:tc>
          <w:tcPr>
            <w:tcW w:w="95" w:type="dxa"/>
            <w:tcBorders/>
            <w:shd w:fill="CCEEFF" w:val="clear"/>
            <w:vAlign w:val="center"/>
          </w:tcPr>
          <w:p>
            <w:pPr>
              <w:pStyle w:val="TableContents"/>
              <w:bidi w:val="0"/>
              <w:spacing w:before="0" w:after="283"/>
              <w:jc w:val="left"/>
            </w:pPr>
            <w:r>
              <w:t> </w:t>
            </w:r>
          </w:p>
        </w:tc>
      </w:tr>
      <w:t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options exercised and stock awards</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11,665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89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11,667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94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11,667</w:t>
            </w:r>
          </w:p>
        </w:tc>
        <w:tc>
          <w:tcPr>
            <w:tcW w:w="95" w:type="dxa"/>
            <w:tcBorders/>
            <w:shd w:fill="FFFFFF" w:val="clear"/>
            <w:vAlign w:val="center"/>
          </w:tcPr>
          <w:p>
            <w:pPr>
              <w:pStyle w:val="TableContents"/>
              <w:bidi w:val="0"/>
              <w:spacing w:before="0" w:after="283"/>
              <w:jc w:val="left"/>
            </w:pPr>
            <w:r>
              <w:t> </w:t>
            </w:r>
          </w:p>
        </w:tc>
      </w:tr>
      <w:tr>
        <w:tc>
          <w:tcPr>
            <w:tcW w:w="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30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4,814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89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4,814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1" w:type="dxa"/>
            <w:tcBorders/>
            <w:shd w:fill="CCEEFF" w:val="clear"/>
            <w:vAlign w:val="center"/>
          </w:tcPr>
          <w:p>
            <w:pPr>
              <w:pStyle w:val="TableContents"/>
              <w:bidi w:val="0"/>
              <w:spacing w:before="0" w:after="283"/>
              <w:ind w:left="0" w:right="0" w:hanging="0"/>
              <w:jc w:val="left"/>
            </w:pPr>
            <w:r>
              <w:t> </w:t>
            </w:r>
          </w:p>
        </w:tc>
        <w:tc>
          <w:tcPr>
            <w:tcW w:w="94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4,814</w:t>
            </w:r>
          </w:p>
        </w:tc>
        <w:tc>
          <w:tcPr>
            <w:tcW w:w="95" w:type="dxa"/>
            <w:tcBorders/>
            <w:shd w:fill="CCEEFF" w:val="clear"/>
            <w:vAlign w:val="center"/>
          </w:tcPr>
          <w:p>
            <w:pPr>
              <w:pStyle w:val="TableContents"/>
              <w:bidi w:val="0"/>
              <w:spacing w:before="0" w:after="283"/>
              <w:jc w:val="left"/>
            </w:pPr>
            <w:r>
              <w:t> </w:t>
            </w:r>
          </w:p>
        </w:tc>
      </w:tr>
      <w:tr>
        <w:tc>
          <w:tcPr>
            <w:tcW w:w="8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common stock under employee stock purchase plan</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3,818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89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3,819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94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3,819</w:t>
            </w:r>
          </w:p>
        </w:tc>
        <w:tc>
          <w:tcPr>
            <w:tcW w:w="95" w:type="dxa"/>
            <w:tcBorders/>
            <w:shd w:fill="FFFFFF" w:val="clear"/>
            <w:vAlign w:val="center"/>
          </w:tcPr>
          <w:p>
            <w:pPr>
              <w:pStyle w:val="TableContents"/>
              <w:bidi w:val="0"/>
              <w:spacing w:before="0" w:after="283"/>
              <w:jc w:val="left"/>
            </w:pPr>
            <w:r>
              <w:t> </w:t>
            </w:r>
          </w:p>
        </w:tc>
      </w:tr>
      <w:t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repurchases</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30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(9,178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89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(9,178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201" w:type="dxa"/>
            <w:tcBorders/>
            <w:shd w:fill="CCEEFF" w:val="clear"/>
            <w:vAlign w:val="center"/>
          </w:tcPr>
          <w:p>
            <w:pPr>
              <w:pStyle w:val="TableContents"/>
              <w:bidi w:val="0"/>
              <w:spacing w:before="0" w:after="283"/>
              <w:ind w:left="0" w:right="0" w:hanging="0"/>
              <w:jc w:val="left"/>
            </w:pPr>
            <w:r>
              <w:t> </w:t>
            </w:r>
          </w:p>
        </w:tc>
        <w:tc>
          <w:tcPr>
            <w:tcW w:w="94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(9,178</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8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A common stock</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30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897"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94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(11,639</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8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dividends declared on Class B common stock</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51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309"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6" w:type="dxa"/>
            <w:tcBorders/>
            <w:shd w:fill="CCEEFF" w:val="clear"/>
            <w:vAlign w:val="center"/>
          </w:tcPr>
          <w:p>
            <w:pPr>
              <w:pStyle w:val="TableContents"/>
              <w:bidi w:val="0"/>
              <w:spacing w:before="0" w:after="283"/>
              <w:ind w:left="0" w:right="0" w:hanging="0"/>
              <w:jc w:val="left"/>
            </w:pPr>
            <w:r>
              <w:t> </w:t>
            </w:r>
          </w:p>
        </w:tc>
        <w:tc>
          <w:tcPr>
            <w:tcW w:w="639"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665"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10" w:type="dxa"/>
            <w:tcBorders/>
            <w:shd w:fill="CCEEFF" w:val="clear"/>
            <w:vAlign w:val="center"/>
          </w:tcPr>
          <w:p>
            <w:pPr>
              <w:pStyle w:val="TableContents"/>
              <w:bidi w:val="0"/>
              <w:spacing w:before="0" w:after="283"/>
              <w:ind w:left="0" w:right="0" w:hanging="0"/>
              <w:jc w:val="left"/>
            </w:pPr>
            <w: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203" w:type="dxa"/>
            <w:tcBorders/>
            <w:shd w:fill="CCEEFF" w:val="clear"/>
            <w:vAlign w:val="center"/>
          </w:tcPr>
          <w:p>
            <w:pPr>
              <w:pStyle w:val="TableContents"/>
              <w:bidi w:val="0"/>
              <w:spacing w:before="0" w:after="283"/>
              <w:ind w:left="0" w:right="0" w:hanging="0"/>
              <w:jc w:val="left"/>
            </w:pPr>
            <w:r>
              <w:t> </w:t>
            </w:r>
          </w:p>
        </w:tc>
        <w:tc>
          <w:tcPr>
            <w:tcW w:w="897" w:type="dxa"/>
            <w:tcBorders/>
            <w:shd w:fill="CCEEFF" w:val="clear"/>
            <w:vAlign w:val="center"/>
          </w:tcPr>
          <w:p>
            <w:pPr>
              <w:pStyle w:val="TableContents"/>
              <w:bidi w:val="0"/>
              <w:spacing w:before="0" w:after="283"/>
              <w:ind w:left="0" w:right="0" w:hanging="0"/>
              <w:jc w:val="right"/>
            </w:pPr>
            <w: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pPr>
            <w:r>
              <w:t> </w:t>
            </w:r>
          </w:p>
        </w:tc>
        <w:tc>
          <w:tcPr>
            <w:tcW w:w="201" w:type="dxa"/>
            <w:tcBorders/>
            <w:shd w:fill="CCEEFF" w:val="clear"/>
            <w:vAlign w:val="center"/>
          </w:tcPr>
          <w:p>
            <w:pPr>
              <w:pStyle w:val="TableContents"/>
              <w:bidi w:val="0"/>
              <w:spacing w:before="0" w:after="283"/>
              <w:ind w:left="0" w:right="0" w:hanging="0"/>
              <w:jc w:val="left"/>
            </w:pPr>
            <w:r>
              <w:t> </w:t>
            </w:r>
          </w:p>
        </w:tc>
        <w:tc>
          <w:tcPr>
            <w:tcW w:w="944" w:type="dxa"/>
            <w:tcBorders/>
            <w:shd w:fill="CCEEFF" w:val="clear"/>
            <w:vAlign w:val="center"/>
          </w:tcPr>
          <w:p>
            <w:pPr>
              <w:pStyle w:val="TableContents"/>
              <w:bidi w:val="0"/>
              <w:spacing w:before="0" w:after="283"/>
              <w:ind w:left="0" w:right="0" w:hanging="0"/>
              <w:jc w:val="right"/>
            </w:pPr>
            <w:r>
              <w:t>–</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6" w:type="dxa"/>
            <w:tcBorders/>
            <w:shd w:fill="CCEEFF" w:val="clear"/>
            <w:vAlign w:val="center"/>
          </w:tcPr>
          <w:p>
            <w:pPr>
              <w:pStyle w:val="TableContents"/>
              <w:bidi w:val="0"/>
              <w:spacing w:before="0" w:after="283"/>
              <w:ind w:left="0" w:right="0" w:hanging="0"/>
              <w:jc w:val="left"/>
            </w:pPr>
            <w:r>
              <w:t> </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(3,326</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51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309"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6" w:type="dxa"/>
            <w:tcBorders/>
            <w:shd w:fill="FFFFFF" w:val="clear"/>
            <w:vAlign w:val="center"/>
          </w:tcPr>
          <w:p>
            <w:pPr>
              <w:pStyle w:val="TableContents"/>
              <w:bidi w:val="0"/>
              <w:spacing w:before="0" w:after="283"/>
              <w:ind w:left="0" w:right="0" w:hanging="0"/>
              <w:jc w:val="left"/>
            </w:pPr>
            <w:r>
              <w:t> </w:t>
            </w:r>
          </w:p>
        </w:tc>
        <w:tc>
          <w:tcPr>
            <w:tcW w:w="639"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665"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10" w:type="dxa"/>
            <w:tcBorders/>
            <w:shd w:fill="FFFFFF" w:val="clear"/>
            <w:vAlign w:val="center"/>
          </w:tcPr>
          <w:p>
            <w:pPr>
              <w:pStyle w:val="TableContents"/>
              <w:bidi w:val="0"/>
              <w:spacing w:before="0" w:after="283"/>
              <w:ind w:left="0" w:right="0" w:hanging="0"/>
              <w:jc w:val="left"/>
            </w:pPr>
            <w:r>
              <w:t> </w:t>
            </w:r>
          </w:p>
        </w:tc>
        <w:tc>
          <w:tcPr>
            <w:tcW w:w="740" w:type="dxa"/>
            <w:tcBorders/>
            <w:shd w:fill="FFFFFF" w:val="clear"/>
            <w:vAlign w:val="center"/>
          </w:tcPr>
          <w:p>
            <w:pPr>
              <w:pStyle w:val="TableContents"/>
              <w:bidi w:val="0"/>
              <w:spacing w:before="0" w:after="283"/>
              <w:ind w:left="0" w:right="0" w:hanging="0"/>
              <w:jc w:val="right"/>
            </w:pPr>
            <w: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3" w:type="dxa"/>
            <w:tcBorders/>
            <w:shd w:fill="FFFFFF" w:val="clear"/>
            <w:vAlign w:val="center"/>
          </w:tcPr>
          <w:p>
            <w:pPr>
              <w:pStyle w:val="TableContents"/>
              <w:bidi w:val="0"/>
              <w:spacing w:before="0" w:after="283"/>
              <w:ind w:left="0" w:right="0" w:hanging="0"/>
              <w:jc w:val="left"/>
            </w:pPr>
            <w:r>
              <w:t> </w:t>
            </w:r>
          </w:p>
        </w:tc>
        <w:tc>
          <w:tcPr>
            <w:tcW w:w="8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pPr>
            <w:r>
              <w:t> </w:t>
            </w:r>
          </w:p>
        </w:tc>
        <w:tc>
          <w:tcPr>
            <w:tcW w:w="201" w:type="dxa"/>
            <w:tcBorders/>
            <w:shd w:fill="FFFFFF" w:val="clear"/>
            <w:vAlign w:val="center"/>
          </w:tcPr>
          <w:p>
            <w:pPr>
              <w:pStyle w:val="TableContents"/>
              <w:bidi w:val="0"/>
              <w:spacing w:before="0" w:after="283"/>
              <w:ind w:left="0" w:right="0" w:hanging="0"/>
              <w:jc w:val="left"/>
            </w:pPr>
            <w:r>
              <w:t> </w:t>
            </w:r>
          </w:p>
        </w:tc>
        <w:tc>
          <w:tcPr>
            <w:tcW w:w="944" w:type="dxa"/>
            <w:tcBorders/>
            <w:shd w:fill="FFFFFF" w:val="clear"/>
            <w:vAlign w:val="center"/>
          </w:tcPr>
          <w:p>
            <w:pPr>
              <w:pStyle w:val="TableContents"/>
              <w:bidi w:val="0"/>
              <w:spacing w:before="0" w:after="283"/>
              <w:ind w:left="0" w:right="0" w:hanging="0"/>
              <w:jc w:val="right"/>
            </w:pPr>
            <w:r>
              <w:t>–</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6" w:type="dxa"/>
            <w:tcBorders/>
            <w:shd w:fill="FFFFFF" w:val="clear"/>
            <w:vAlign w:val="center"/>
          </w:tcPr>
          <w:p>
            <w:pPr>
              <w:pStyle w:val="TableContents"/>
              <w:bidi w:val="0"/>
              <w:spacing w:before="0" w:after="283"/>
              <w:ind w:left="0" w:right="0" w:hanging="0"/>
              <w:jc w:val="left"/>
            </w:pPr>
            <w: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(2,179</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c>
          <w:tcPr>
            <w:tcW w:w="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66,690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2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pPr>
            <w: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66,690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9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pPr>
            <w: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67,738</w:t>
            </w:r>
          </w:p>
        </w:tc>
        <w:tc>
          <w:tcPr>
            <w:tcW w:w="95" w:type="dxa"/>
            <w:tcBorders/>
            <w:shd w:fill="CCEEFF" w:val="clear"/>
            <w:vAlign w:val="center"/>
          </w:tcPr>
          <w:p>
            <w:pPr>
              <w:pStyle w:val="TableContents"/>
              <w:bidi w:val="0"/>
              <w:spacing w:before="0" w:after="283"/>
              <w:jc w:val="left"/>
            </w:pPr>
            <w:r>
              <w:t> </w:t>
            </w:r>
          </w:p>
        </w:tc>
      </w:tr>
      <w:tr>
        <w:tc>
          <w:tcPr>
            <w:tcW w:w="8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September 30, 2025</w:t>
            </w:r>
          </w:p>
        </w:tc>
        <w:tc>
          <w:tcPr>
            <w:tcW w:w="60" w:type="dxa"/>
            <w:tcBorders/>
            <w:shd w:fill="FFFFFF" w:val="cle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91,912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24,851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834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628,080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(262,495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1,854,537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20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(6,457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2,214,499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9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22,248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6"/>
              </w:rPr>
            </w:pPr>
            <w:r>
              <w:rPr>
                <w:rFonts w:ascii="Times New Roman;Times;serif" w:hAnsi="Times New Roman;Times;serif"/>
                <w:b/>
                <w:sz w:val="16"/>
              </w:rPr>
              <w:t>$</w:t>
            </w:r>
          </w:p>
        </w:tc>
        <w:tc>
          <w:tcPr>
            <w:tcW w:w="8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6"/>
              </w:rPr>
            </w:pPr>
            <w:r>
              <w:rPr>
                <w:rFonts w:ascii="Times New Roman;Times;serif" w:hAnsi="Times New Roman;Times;serif"/>
                <w:b/>
                <w:sz w:val="16"/>
              </w:rPr>
              <w:t>2,236,747</w:t>
            </w:r>
          </w:p>
        </w:tc>
        <w:tc>
          <w:tcPr>
            <w:tcW w:w="95"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b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pPr>
      <w:r/>
    </w:p>
    <w:p>
      <w:pPr>
        <w:pStyle w:val="TextBody"/>
        <w:bidi w:val="0"/>
        <w:spacing w:before="0" w:after="0"/>
        <w:jc w:val="left"/>
      </w:pPr>
      <w:hyperlink w:anchor="toc">
        <w:r>
          <w:rPr>
            <w:rStyle w:val="InternetLink"/>
            <w:rFonts w:ascii="Times New Roman;Times;serif" w:hAnsi="Times New Roman;Times;serif"/>
            <w:sz w:val="20"/>
          </w:rPr>
          <w:t>Table of Contents</w:t>
        </w:r>
      </w:hyperlink>
    </w:p>
    <w:p>
      <w:pPr>
        <w:pStyle w:val="TextBody"/>
        <w:bidi w:val="0"/>
        <w:spacing w:before="0" w:after="283"/>
        <w:jc w:val="left"/>
      </w:pPr>
      <w:r>
        <w:t> </w:t>
      </w:r>
    </w:p>
    <w:p>
      <w:pPr>
        <w:pStyle w:val="TextBody"/>
        <w:bidi w:val="0"/>
        <w:spacing w:before="0" w:after="0"/>
        <w:ind w:left="0" w:right="0" w:hanging="0"/>
        <w:jc w:val="left"/>
      </w:pPr>
      <w:r>
        <w:t> </w:t>
      </w:r>
    </w:p>
    <w:p>
      <w:pPr>
        <w:pStyle w:val="TextBody"/>
        <w:bidi w:val="0"/>
        <w:spacing w:before="0" w:after="0"/>
        <w:ind w:left="0" w:right="0" w:hanging="0"/>
        <w:jc w:val="center"/>
        <w:rPr>
          <w:rFonts w:ascii="Times New Roman" w:hAnsi="Times New Roman"/>
          <w:caps w:val="false"/>
          <w:smallCaps w:val="false"/>
          <w:sz w:val="20"/>
          <w:u w:val="single"/>
        </w:rPr>
      </w:pPr>
      <w:bookmarkStart w:id="8" w:name="cf"/>
      <w:bookmarkEnd w:id="8"/>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CASH FLOWS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275" w:type="dxa"/>
        <w:jc w:val="left"/>
        <w:tblInd w:w="0" w:type="dxa"/>
        <w:tblLayout w:type="fixed"/>
        <w:tblCellMar>
          <w:top w:w="0" w:type="dxa"/>
          <w:left w:w="0" w:type="dxa"/>
          <w:bottom w:w="0" w:type="dxa"/>
          <w:right w:w="0" w:type="dxa"/>
        </w:tblCellMar>
      </w:tblPr>
      <w:tblGrid>
        <w:gridCol w:w="7220"/>
        <w:gridCol w:w="60"/>
        <w:gridCol w:w="125"/>
        <w:gridCol w:w="755"/>
        <w:gridCol w:w="80"/>
        <w:gridCol w:w="60"/>
        <w:gridCol w:w="125"/>
        <w:gridCol w:w="755"/>
        <w:gridCol w:w="95"/>
      </w:tblGrid>
      <w:tr>
        <w:tc>
          <w:tcPr>
            <w:tcW w:w="722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90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95" w:type="dxa"/>
            <w:tcBorders/>
            <w:vAlign w:val="center"/>
          </w:tcPr>
          <w:p>
            <w:pPr>
              <w:pStyle w:val="TableContents"/>
              <w:bidi w:val="0"/>
              <w:spacing w:before="0" w:after="283"/>
              <w:jc w:val="left"/>
            </w:pPr>
            <w:r>
              <w:t> </w:t>
            </w:r>
          </w:p>
        </w:tc>
      </w:tr>
      <w:tr>
        <w:tc>
          <w:tcPr>
            <w:tcW w:w="722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9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95" w:type="dxa"/>
            <w:tcBorders/>
            <w:vAlign w:val="center"/>
          </w:tcPr>
          <w:p>
            <w:pPr>
              <w:pStyle w:val="TableContents"/>
              <w:bidi w:val="0"/>
              <w:spacing w:before="0" w:after="283"/>
              <w:jc w:val="left"/>
            </w:pPr>
            <w:r>
              <w:t> </w:t>
            </w:r>
          </w:p>
        </w:tc>
      </w:tr>
      <w:tr>
        <w:tc>
          <w:tcPr>
            <w:tcW w:w="722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40" w:right="0" w:hanging="0"/>
              <w:jc w:val="left"/>
            </w:pPr>
            <w:r>
              <w:t> </w:t>
            </w:r>
          </w:p>
        </w:tc>
        <w:tc>
          <w:tcPr>
            <w:tcW w:w="880" w:type="dxa"/>
            <w:gridSpan w:val="2"/>
            <w:tcBorders>
              <w:bottom w:val="single" w:sz="2" w:space="0" w:color="000000"/>
            </w:tcBorders>
            <w:tcMar>
              <w:bottom w:w="28" w:type="dxa"/>
            </w:tcMar>
            <w:vAlign w:val="center"/>
          </w:tcPr>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40" w:right="0" w:hanging="0"/>
              <w:jc w:val="left"/>
            </w:pPr>
            <w:r>
              <w:t> </w:t>
            </w:r>
          </w:p>
        </w:tc>
        <w:tc>
          <w:tcPr>
            <w:tcW w:w="880" w:type="dxa"/>
            <w:gridSpan w:val="2"/>
            <w:tcBorders>
              <w:bottom w:val="single" w:sz="2" w:space="0" w:color="000000"/>
            </w:tcBorders>
            <w:tcMar>
              <w:bottom w:w="28" w:type="dxa"/>
            </w:tcMar>
            <w:vAlign w:val="center"/>
          </w:tcPr>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75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75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40" w:right="0" w:hanging="0"/>
              <w:jc w:val="left"/>
            </w:pPr>
            <w: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213,584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40" w:right="0" w:hanging="0"/>
              <w:jc w:val="left"/>
            </w:pPr>
            <w: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201,344</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75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75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195,501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188,390</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sale of property and equipment, net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 related to employee stock options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and employee stock purchases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26,817</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 expense</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19,344</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accounts and notes receivable, net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82,580</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inventories, net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206,451</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prepaid expenses and other, net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28,822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(18,301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trade accounts payable</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68,666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36,310</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floor plan notes payable – trade, net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customer deposits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accrued expenses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15,422</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257,577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748,945</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property and equipment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(318,828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sale of property and equipment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7,379</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notes receivable from affiliate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Business acquisition, net of cash acquired</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2,664</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(328,201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(330,217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75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75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Draws (payments) on floor plan notes payable – non-trade, net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162,796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(91,618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long-term debt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85,176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838,730</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long-term debt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(985,239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finance lease obligations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shares relating to equity awards and employee stock purchases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28,620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15,026</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cash dividends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(43,727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Cancellation of shares and par value adjustment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repurchased</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(124,443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84,584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(404,945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7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 in cash, cash equivalents and restricted cash</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40" w:right="0" w:hanging="0"/>
              <w:jc w:val="left"/>
            </w:pPr>
            <w: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13,783</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on cash</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4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beginning of period</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212,645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228,131</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end of period</w:t>
            </w:r>
          </w:p>
        </w:tc>
        <w:tc>
          <w:tcPr>
            <w:tcW w:w="60" w:type="dxa"/>
            <w:tcBorders/>
            <w:shd w:fill="CCEEFF" w:val="clear"/>
            <w:vAlign w:val="center"/>
          </w:tcPr>
          <w:p>
            <w:pPr>
              <w:pStyle w:val="TableContents"/>
              <w:bidi w:val="0"/>
              <w:spacing w:before="0" w:after="283"/>
              <w:ind w:left="4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4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242,005</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during the period for:</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75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75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283"/>
              <w:ind w:left="40" w:right="0" w:hanging="0"/>
              <w:jc w:val="left"/>
            </w:pPr>
            <w: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20,855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40" w:right="0" w:hanging="0"/>
              <w:jc w:val="left"/>
            </w:pPr>
            <w: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42,617</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net of refunds</w:t>
            </w:r>
          </w:p>
        </w:tc>
        <w:tc>
          <w:tcPr>
            <w:tcW w:w="60" w:type="dxa"/>
            <w:tcBorders/>
            <w:shd w:fill="CCEEFF" w:val="clear"/>
            <w:vAlign w:val="center"/>
          </w:tcPr>
          <w:p>
            <w:pPr>
              <w:pStyle w:val="TableContents"/>
              <w:bidi w:val="0"/>
              <w:spacing w:before="0" w:after="283"/>
              <w:ind w:left="40" w:right="0" w:hanging="0"/>
              <w:jc w:val="left"/>
            </w:pPr>
            <w: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40" w:right="0" w:hanging="0"/>
              <w:jc w:val="left"/>
            </w:pPr>
            <w: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42,542</w:t>
            </w:r>
          </w:p>
        </w:tc>
        <w:tc>
          <w:tcPr>
            <w:tcW w:w="95" w:type="dxa"/>
            <w:tcBorders/>
            <w:shd w:fill="CCEEFF" w:val="clear"/>
            <w:vAlign w:val="center"/>
          </w:tcPr>
          <w:p>
            <w:pPr>
              <w:pStyle w:val="TableContents"/>
              <w:bidi w:val="0"/>
              <w:spacing w:before="0" w:after="283"/>
              <w:jc w:val="left"/>
            </w:pPr>
            <w:r>
              <w:t> </w:t>
            </w:r>
          </w:p>
        </w:tc>
      </w:tr>
      <w:tr>
        <w:tc>
          <w:tcPr>
            <w:tcW w:w="7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activities: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755"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r>
      <w:tr>
        <w:tc>
          <w:tcPr>
            <w:tcW w:w="72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acquired under finance leases</w:t>
            </w:r>
          </w:p>
        </w:tc>
        <w:tc>
          <w:tcPr>
            <w:tcW w:w="60" w:type="dxa"/>
            <w:tcBorders/>
            <w:shd w:fill="CCEEFF" w:val="clear"/>
            <w:vAlign w:val="center"/>
          </w:tcPr>
          <w:p>
            <w:pPr>
              <w:pStyle w:val="TableContents"/>
              <w:bidi w:val="0"/>
              <w:spacing w:before="0" w:after="283"/>
              <w:ind w:left="40" w:right="0" w:hanging="0"/>
              <w:jc w:val="left"/>
            </w:pPr>
            <w: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40" w:right="0" w:hanging="0"/>
              <w:jc w:val="left"/>
            </w:pPr>
            <w: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24,538</w:t>
            </w:r>
          </w:p>
        </w:tc>
        <w:tc>
          <w:tcPr>
            <w:tcW w:w="9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 w:name="notes"/>
      <w:bookmarkEnd w:id="9"/>
      <w:r>
        <w:rPr>
          <w:rFonts w:ascii="Times New Roman" w:hAnsi="Times New Roman"/>
          <w:b/>
          <w:caps w:val="false"/>
          <w:smallCaps w:val="false"/>
          <w:sz w:val="20"/>
        </w:rPr>
        <w:t>RUSH ENTERPRISES,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 </w:t>
      </w:r>
      <w:r>
        <w:rPr>
          <w:rFonts w:ascii="Times New Roman" w:hAnsi="Times New Roman"/>
          <w:caps w:val="false"/>
          <w:smallCaps w:val="false"/>
          <w:sz w:val="20"/>
        </w:rPr>
        <w:t xml:space="preserve">– </w:t>
      </w:r>
      <w:r>
        <w:rPr>
          <w:rFonts w:ascii="Times New Roman" w:hAnsi="Times New Roman"/>
          <w:b/>
          <w:caps w:val="false"/>
          <w:smallCaps w:val="false"/>
          <w:sz w:val="20"/>
        </w:rPr>
        <w:t>Principles of Consolidation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unaudited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2025. Results of operations for interim periods are not necessarily indicative of results that may be expected for any other interim periods or the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Restricted cash consists of deposits for the statutory restriction on cash related to the Company’s captive insurance company of $7.6 million as of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28, 2026, the Company’s Board of Directors declared a three-for-two stock split with respect to both the Company’s Class A and Class B common stock, which was effected in the form of a stock dividend. On August 31, 2026, the Company distributed one additional share of stock for every two shares of Class A common stock, par value $0.01 per share, and Class B common stock, par value $0.01 per share, held by shareholders of record as of August 11, 2026. All share and per share data in this Form 10-Q have been adjusted and restated to reflect the stock split as if it occurred on the first day of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Treasury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third quarter of 2026, the Company cancelled and retired 6,972,804 shares of Class A common stock and 3,584,942 shares of Class B common stock previously held as treasury stock. The cancellation reduced treasury stock by $336.5 million, with the corresponding amounts recorded to common stock, additional paid-in capital and retained earnings. The transaction had no material impact on total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Foreign Currency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functional currency of the Company’s foreign subsidiary, Rush Truck Centres of Canada Limited (“RTC Canada”), is the local currency, the Canadian dollar. Results of operations for RTC Canada are translated to USD using the average exchange rate on a monthly basis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2 </w:t>
      </w:r>
      <w:r>
        <w:rPr>
          <w:rFonts w:ascii="Times New Roman" w:hAnsi="Times New Roman"/>
          <w:caps w:val="false"/>
          <w:smallCaps w:val="false"/>
          <w:sz w:val="20"/>
        </w:rPr>
        <w:t xml:space="preserve">– </w:t>
      </w:r>
      <w:r>
        <w:rPr>
          <w:rFonts w:ascii="Times New Roman" w:hAnsi="Times New Roman"/>
          <w:b/>
          <w:caps w:val="false"/>
          <w:smallCaps w:val="false"/>
          <w:sz w:val="20"/>
        </w:rPr>
        <w:t>Commitments and Contingencies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the Company is involved in litigation arising out of its operations in the ordinary course of business. The Company maintains liability insurance through self-insurance, a captive insurer and third-party excess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September 30, 2026, the Company believes that there are no pending claims or litigation, individually or in the aggregate, that are reasonably possible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3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Earnings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earnings per share (in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45"/>
        <w:gridCol w:w="60"/>
        <w:gridCol w:w="125"/>
        <w:gridCol w:w="695"/>
        <w:gridCol w:w="60"/>
        <w:gridCol w:w="60"/>
        <w:gridCol w:w="125"/>
        <w:gridCol w:w="695"/>
        <w:gridCol w:w="60"/>
        <w:gridCol w:w="60"/>
        <w:gridCol w:w="125"/>
        <w:gridCol w:w="695"/>
        <w:gridCol w:w="60"/>
        <w:gridCol w:w="60"/>
        <w:gridCol w:w="125"/>
        <w:gridCol w:w="695"/>
        <w:gridCol w:w="60"/>
      </w:tblGrid>
      <w:tr>
        <w:tc>
          <w:tcPr>
            <w:tcW w:w="644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pPr>
            <w:r>
              <w:t> </w:t>
            </w:r>
          </w:p>
        </w:tc>
      </w:tr>
      <w:tr>
        <w:tc>
          <w:tcPr>
            <w:tcW w:w="644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pPr>
            <w:r>
              <w:t> </w:t>
            </w:r>
          </w:p>
        </w:tc>
      </w:tr>
      <w:tr>
        <w:tc>
          <w:tcPr>
            <w:tcW w:w="6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64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for basic and diluted earnings per share – Net income available to common shareholders</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78,043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66,690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212,258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199,450</w:t>
            </w:r>
          </w:p>
        </w:tc>
        <w:tc>
          <w:tcPr>
            <w:tcW w:w="60" w:type="dxa"/>
            <w:tcBorders/>
            <w:shd w:fill="FFFFFF" w:val="clear"/>
            <w:vAlign w:val="center"/>
          </w:tcPr>
          <w:p>
            <w:pPr>
              <w:pStyle w:val="TableContents"/>
              <w:bidi w:val="0"/>
              <w:spacing w:before="0" w:after="283"/>
              <w:jc w:val="left"/>
            </w:pPr>
            <w:r>
              <w:t> </w:t>
            </w:r>
          </w:p>
        </w:tc>
      </w:tr>
      <w:tr>
        <w:tc>
          <w:tcPr>
            <w:tcW w:w="6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9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r>
      <w:tr>
        <w:tc>
          <w:tcPr>
            <w:tcW w:w="64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basic earnings per share – weighted average shares outstanding</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116,956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117,353</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116,706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118,139</w:t>
            </w:r>
          </w:p>
        </w:tc>
        <w:tc>
          <w:tcPr>
            <w:tcW w:w="60" w:type="dxa"/>
            <w:tcBorders/>
            <w:shd w:fill="FFFFFF" w:val="clear"/>
            <w:vAlign w:val="center"/>
          </w:tcPr>
          <w:p>
            <w:pPr>
              <w:pStyle w:val="TableContents"/>
              <w:bidi w:val="0"/>
              <w:spacing w:before="0" w:after="283"/>
              <w:jc w:val="left"/>
            </w:pPr>
            <w:r>
              <w:t> </w:t>
            </w:r>
          </w:p>
        </w:tc>
      </w:tr>
      <w:tr>
        <w:tc>
          <w:tcPr>
            <w:tcW w:w="644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 Employee stock options and restricted stock awards</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3,565</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3,612</w:t>
            </w:r>
          </w:p>
        </w:tc>
        <w:tc>
          <w:tcPr>
            <w:tcW w:w="60" w:type="dxa"/>
            <w:tcBorders/>
            <w:shd w:fill="CCEEFF" w:val="clear"/>
            <w:vAlign w:val="center"/>
          </w:tcPr>
          <w:p>
            <w:pPr>
              <w:pStyle w:val="TableContents"/>
              <w:bidi w:val="0"/>
              <w:spacing w:before="0" w:after="283"/>
              <w:jc w:val="left"/>
            </w:pPr>
            <w:r>
              <w:t> </w:t>
            </w:r>
          </w:p>
        </w:tc>
      </w:tr>
      <w:tr>
        <w:tc>
          <w:tcPr>
            <w:tcW w:w="644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diluted earnings per share – adjusted weighted average shares outstanding and assumed conversions</w:t>
            </w:r>
          </w:p>
        </w:tc>
        <w:tc>
          <w:tcPr>
            <w:tcW w:w="60" w:type="dxa"/>
            <w:tcBorders/>
            <w:shd w:fill="FFFFFF" w:val="clear"/>
            <w:vAlign w:val="center"/>
          </w:tcPr>
          <w:p>
            <w:pPr>
              <w:pStyle w:val="TableContents"/>
              <w:bidi w:val="0"/>
              <w:spacing w:before="0" w:after="283"/>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120,455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120,890</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120,271</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121,751</w:t>
            </w:r>
          </w:p>
        </w:tc>
        <w:tc>
          <w:tcPr>
            <w:tcW w:w="60" w:type="dxa"/>
            <w:tcBorders/>
            <w:shd w:fill="FFFFFF" w:val="clear"/>
            <w:vAlign w:val="center"/>
          </w:tcPr>
          <w:p>
            <w:pPr>
              <w:pStyle w:val="TableContents"/>
              <w:bidi w:val="0"/>
              <w:spacing w:before="0" w:after="283"/>
              <w:jc w:val="left"/>
            </w:pPr>
            <w:r>
              <w:t> </w:t>
            </w:r>
          </w:p>
        </w:tc>
      </w:tr>
      <w:tr>
        <w:tc>
          <w:tcPr>
            <w:tcW w:w="6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common share</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60" w:type="dxa"/>
            <w:tcBorders/>
            <w:shd w:fill="CCEEFF" w:val="clear"/>
            <w:vAlign w:val="center"/>
          </w:tcPr>
          <w:p>
            <w:pPr>
              <w:pStyle w:val="TableContents"/>
              <w:bidi w:val="0"/>
              <w:spacing w:before="0" w:after="283"/>
              <w:jc w:val="left"/>
            </w:pPr>
            <w:r>
              <w:t> </w:t>
            </w:r>
          </w:p>
        </w:tc>
      </w:tr>
      <w:tr>
        <w:tc>
          <w:tcPr>
            <w:tcW w:w="6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common share and common share equivalents</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60" w:type="dxa"/>
            <w:tcBorders/>
            <w:shd w:fill="FFFFFF" w:val="clear"/>
            <w:vAlign w:val="center"/>
          </w:tcPr>
          <w:p>
            <w:pPr>
              <w:pStyle w:val="TableContents"/>
              <w:bidi w:val="0"/>
              <w:spacing w:before="0" w:after="283"/>
              <w:jc w:val="left"/>
            </w:pPr>
            <w: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Options to purchase shares of common stock that were outstanding for the three months and nine months ended September 30, 2026 and 2025 that were not included in the computation of diluted earnings per share because the effect would have been anti-dilutive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7312" w:type="dxa"/>
        <w:jc w:val="left"/>
        <w:tblInd w:w="0" w:type="dxa"/>
        <w:tblLayout w:type="fixed"/>
        <w:tblCellMar>
          <w:top w:w="0" w:type="dxa"/>
          <w:left w:w="0" w:type="dxa"/>
          <w:bottom w:w="0" w:type="dxa"/>
          <w:right w:w="0" w:type="dxa"/>
        </w:tblCellMar>
      </w:tblPr>
      <w:tblGrid>
        <w:gridCol w:w="3695"/>
        <w:gridCol w:w="60"/>
        <w:gridCol w:w="97"/>
        <w:gridCol w:w="546"/>
        <w:gridCol w:w="97"/>
        <w:gridCol w:w="97"/>
        <w:gridCol w:w="97"/>
        <w:gridCol w:w="791"/>
        <w:gridCol w:w="60"/>
        <w:gridCol w:w="60"/>
        <w:gridCol w:w="93"/>
        <w:gridCol w:w="523"/>
        <w:gridCol w:w="93"/>
        <w:gridCol w:w="93"/>
        <w:gridCol w:w="93"/>
        <w:gridCol w:w="757"/>
        <w:gridCol w:w="60"/>
      </w:tblGrid>
      <w:tr>
        <w:tc>
          <w:tcPr>
            <w:tcW w:w="36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7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65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pPr>
            <w:r>
              <w:t> </w:t>
            </w:r>
          </w:p>
        </w:tc>
      </w:tr>
      <w:tr>
        <w:tc>
          <w:tcPr>
            <w:tcW w:w="369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97" w:type="dxa"/>
            <w:tcBorders/>
            <w:vAlign w:val="center"/>
          </w:tcPr>
          <w:p>
            <w:pPr>
              <w:pStyle w:val="TableContents"/>
              <w:bidi w:val="0"/>
              <w:spacing w:before="0" w:after="283"/>
              <w:jc w:val="left"/>
            </w:pPr>
            <w:r>
              <w:t> </w:t>
            </w:r>
          </w:p>
        </w:tc>
        <w:tc>
          <w:tcPr>
            <w:tcW w:w="97" w:type="dxa"/>
            <w:tcBorders/>
            <w:vAlign w:val="center"/>
          </w:tcPr>
          <w:p>
            <w:pPr>
              <w:pStyle w:val="TableContents"/>
              <w:bidi w:val="0"/>
              <w:spacing w:before="0" w:after="283"/>
              <w:ind w:left="0" w:right="0" w:hanging="0"/>
              <w:jc w:val="left"/>
            </w:pPr>
            <w:r>
              <w:t> </w:t>
            </w:r>
          </w:p>
        </w:tc>
        <w:tc>
          <w:tcPr>
            <w:tcW w:w="8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93" w:type="dxa"/>
            <w:tcBorders/>
            <w:vAlign w:val="center"/>
          </w:tcPr>
          <w:p>
            <w:pPr>
              <w:pStyle w:val="TableContents"/>
              <w:bidi w:val="0"/>
              <w:spacing w:before="0" w:after="283"/>
              <w:jc w:val="left"/>
            </w:pPr>
            <w:r>
              <w:t> </w:t>
            </w:r>
          </w:p>
        </w:tc>
        <w:tc>
          <w:tcPr>
            <w:tcW w:w="93" w:type="dxa"/>
            <w:tcBorders/>
            <w:vAlign w:val="center"/>
          </w:tcPr>
          <w:p>
            <w:pPr>
              <w:pStyle w:val="TableContents"/>
              <w:bidi w:val="0"/>
              <w:spacing w:before="0" w:after="283"/>
              <w:ind w:left="0" w:right="0" w:hanging="0"/>
              <w:jc w:val="left"/>
            </w:pPr>
            <w:r>
              <w:t>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pPr>
            <w:r>
              <w:t> </w:t>
            </w:r>
          </w:p>
        </w:tc>
      </w:tr>
      <w:t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anti-dilutive stock options</w:t>
            </w:r>
          </w:p>
        </w:tc>
        <w:tc>
          <w:tcPr>
            <w:tcW w:w="60"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ind w:left="20" w:right="0" w:hanging="0"/>
              <w:jc w:val="left"/>
            </w:pPr>
            <w:r>
              <w:t> </w:t>
            </w:r>
          </w:p>
        </w:tc>
        <w:tc>
          <w:tcPr>
            <w:tcW w:w="5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97"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jc w:val="left"/>
            </w:pPr>
            <w:r>
              <w:t> </w:t>
            </w:r>
          </w:p>
        </w:tc>
        <w:tc>
          <w:tcPr>
            <w:tcW w:w="97" w:type="dxa"/>
            <w:tcBorders/>
            <w:shd w:fill="CCEEFF" w:val="clear"/>
            <w:vAlign w:val="center"/>
          </w:tcPr>
          <w:p>
            <w:pPr>
              <w:pStyle w:val="TableContents"/>
              <w:bidi w:val="0"/>
              <w:spacing w:before="0" w:after="283"/>
              <w:ind w:left="20" w:right="0" w:hanging="0"/>
              <w:jc w:val="left"/>
            </w:pPr>
            <w:r>
              <w:t> </w:t>
            </w:r>
          </w:p>
        </w:tc>
        <w:tc>
          <w:tcPr>
            <w:tcW w:w="7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ind w:left="20" w:right="0" w:hanging="0"/>
              <w:jc w:val="left"/>
            </w:pPr>
            <w:r>
              <w:t> </w:t>
            </w:r>
          </w:p>
        </w:tc>
        <w:tc>
          <w:tcPr>
            <w:tcW w:w="5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jc w:val="left"/>
            </w:pPr>
            <w:r>
              <w:t> </w:t>
            </w:r>
          </w:p>
        </w:tc>
        <w:tc>
          <w:tcPr>
            <w:tcW w:w="93" w:type="dxa"/>
            <w:tcBorders/>
            <w:shd w:fill="CCEEFF" w:val="clear"/>
            <w:vAlign w:val="center"/>
          </w:tcPr>
          <w:p>
            <w:pPr>
              <w:pStyle w:val="TableContents"/>
              <w:bidi w:val="0"/>
              <w:spacing w:before="0" w:after="283"/>
              <w:ind w:left="20" w:right="0" w:hanging="0"/>
              <w:jc w:val="left"/>
            </w:pPr>
            <w: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4 </w:t>
      </w:r>
      <w:r>
        <w:rPr>
          <w:rFonts w:ascii="Times New Roman" w:hAnsi="Times New Roman"/>
          <w:caps w:val="false"/>
          <w:smallCaps w:val="false"/>
          <w:sz w:val="20"/>
        </w:rPr>
        <w:t xml:space="preserve">– </w:t>
      </w:r>
      <w:r>
        <w:rPr>
          <w:rFonts w:ascii="Times New Roman" w:hAnsi="Times New Roman"/>
          <w:b/>
          <w:caps w:val="false"/>
          <w:smallCaps w:val="false"/>
          <w:sz w:val="20"/>
        </w:rPr>
        <w:t>Stock Options and 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Valuation and Expense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accounts for stock-based compensation in accordance with Accounting Standards Codification (“ASC”) 718-10, </w:t>
      </w:r>
      <w:r>
        <w:rPr>
          <w:rFonts w:ascii="Times New Roman" w:hAnsi="Times New Roman"/>
          <w:i/>
          <w:caps w:val="false"/>
          <w:smallCaps w:val="false"/>
          <w:sz w:val="20"/>
        </w:rPr>
        <w:t xml:space="preserve">Compensation </w:t>
      </w:r>
      <w:r>
        <w:rPr>
          <w:rFonts w:ascii="Times New Roman" w:hAnsi="Times New Roman"/>
          <w:caps w:val="false"/>
          <w:smallCaps w:val="false"/>
          <w:sz w:val="20"/>
        </w:rPr>
        <w:t xml:space="preserve">– </w:t>
      </w:r>
      <w:r>
        <w:rPr>
          <w:rFonts w:ascii="Times New Roman" w:hAnsi="Times New Roman"/>
          <w:i/>
          <w:caps w:val="false"/>
          <w:smallCaps w:val="false"/>
          <w:sz w:val="20"/>
        </w:rPr>
        <w:t>Stock Compensation,</w:t>
      </w:r>
      <w:r>
        <w:rPr>
          <w:rFonts w:ascii="Times New Roman" w:hAnsi="Times New Roman"/>
          <w:caps w:val="false"/>
          <w:smallCaps w:val="false"/>
          <w:sz w:val="20"/>
        </w:rPr>
        <w:t xml:space="preserve"> which requires the measurement and recognition of compensation expense for all share-based payment awards made to the Company’s employees and directors, including employee stock options, restricted stock awards and employee stock purchases related to the Employee Stock Purchase Plan, based on estimated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Stock-based compensation expense, calculated using the Black-Scholes option-pricing model for employee stock options and the grant price for restricted stock awards, and included in selling, general and administrative expense, was $5.3 million for the three months ended September 30, 2026, and $4.8 million for the three months ended September 30, 2025. Stock-based compensation expense included in selling, general and administrative expense, was $26.6 million for the nine months ended September 30, 2026, and $26.8 million for the nine months ended September 30,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September 30, 2026, the Company had $16.3 million of unrecognized compensation expense related to non-vested employee stock options to be recognized over a weighted-average period of 2.3 years and $16.8 million of unrecognized compensation cost related to non-vested restricted stock awards to be recognized over a weighted-average period of 1.3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5 </w:t>
      </w:r>
      <w:r>
        <w:rPr>
          <w:rFonts w:ascii="Times New Roman" w:hAnsi="Times New Roman"/>
          <w:caps w:val="false"/>
          <w:smallCaps w:val="false"/>
          <w:sz w:val="20"/>
        </w:rPr>
        <w:t xml:space="preserve">– </w:t>
      </w:r>
      <w:r>
        <w:rPr>
          <w:rFonts w:ascii="Times New Roman" w:hAnsi="Times New Roman"/>
          <w:b/>
          <w:caps w:val="false"/>
          <w:smallCaps w:val="false"/>
          <w:sz w:val="20"/>
        </w:rPr>
        <w:t>Financial Instruments and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September 30, 2026, and December 31, 2025. The carrying value of current assets and current liabilities approximates the fair value due to the short maturity of these items.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fair value hierarchy established by ASC 820-10-35, the inputs used to determine the market value of the Company’s debt are classified as Level 2. Because the Company’s debt is not quoted, estimates are based on each obligation’s characteristics, including remaining maturities, variable interest rates, credit rating, collateral and liquidity. Accordingly, the Company concluded that the valuation measurement inputs of its long-term debt represent, at its lowest level, current market interest rates available to the Company for similar debt and the Company’s current credit standing. Thus, the carrying amount of such debt approximates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6 </w:t>
      </w:r>
      <w:r>
        <w:rPr>
          <w:rFonts w:ascii="Times New Roman" w:hAnsi="Times New Roman"/>
          <w:caps w:val="false"/>
          <w:smallCaps w:val="false"/>
          <w:sz w:val="20"/>
        </w:rPr>
        <w:t xml:space="preserve">– </w:t>
      </w:r>
      <w:r>
        <w:rPr>
          <w:rFonts w:ascii="Times New Roman" w:hAnsi="Times New Roman"/>
          <w:b/>
          <w:caps w:val="false"/>
          <w:smallCaps w:val="false"/>
          <w:sz w:val="20"/>
        </w:rPr>
        <w:t>Segment Information</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reports information based on operating segments identified in accordance with how the chief operating decision maker (“CODM”) evaluates business performance and allocates resources. As of the reporting period, the Company operates with one CODM: W.M. “Rusty” Rush, the Chief Executive Officer, President and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the reporting period, the Company currently has one reportable business segment - the Truck Segment. The Truck Segment includes the Company’s operation of a network of commercial vehicle dealerships in the United States and Ontario, Canada that provide an integrated one-stop source for the commercial vehicle needs of its customers, including retail sales of new and used commercial vehicles; aftermarket parts sales, service and collision center facilities; vehicle upfitting and financial services, including the financing of new and used commercial vehicle purchases, insurance products and truck leasing and rentals. The commercial vehicle dealerships are deemed a single reporting unit because they have similar economic characteristics. The Company’s CODM considers the entire Truck Segment, not individual dealerships or departments within its dealerships, when making decisions about resources to be allocated to the segment and assessing its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to the Truck Segment, the Company generates revenue from two additional operating segments: Retail Tire Sales and Insurance Services. These operating segments do not meet the quantitative thresholds for separate reporting as specified under the guidance of Accounting Standards Update (“ASU”) 2023-07. Therefore, they are consolidated under the “All Other” category in the segment disclosures below. These segments share accounting policies consistent with the summary of significant accounting policies.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accounting policies of the segments are the same as those described in the summary of significant accounting policies. The Company evaluates performance based on segment operating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contains summarized information about reportable segment revenues, segment income or loss from continuing operations and segment assets for the periods ended September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8108" w:type="dxa"/>
        <w:jc w:val="left"/>
        <w:tblInd w:w="0" w:type="dxa"/>
        <w:tblLayout w:type="fixed"/>
        <w:tblCellMar>
          <w:top w:w="0" w:type="dxa"/>
          <w:left w:w="0" w:type="dxa"/>
          <w:bottom w:w="0" w:type="dxa"/>
          <w:right w:w="0" w:type="dxa"/>
        </w:tblCellMar>
      </w:tblPr>
      <w:tblGrid>
        <w:gridCol w:w="4685"/>
        <w:gridCol w:w="60"/>
        <w:gridCol w:w="161"/>
        <w:gridCol w:w="1088"/>
        <w:gridCol w:w="80"/>
        <w:gridCol w:w="60"/>
        <w:gridCol w:w="134"/>
        <w:gridCol w:w="635"/>
        <w:gridCol w:w="80"/>
        <w:gridCol w:w="60"/>
        <w:gridCol w:w="125"/>
        <w:gridCol w:w="845"/>
        <w:gridCol w:w="95"/>
      </w:tblGrid>
      <w:tr>
        <w:tc>
          <w:tcPr>
            <w:tcW w:w="46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Truck Segment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Totals</w:t>
            </w:r>
          </w:p>
        </w:tc>
        <w:tc>
          <w:tcPr>
            <w:tcW w:w="95" w:type="dxa"/>
            <w:tcBorders/>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three months ended September 30, 2026</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jc w:val="left"/>
            </w:pPr>
            <w:r>
              <w:t> </w:t>
            </w:r>
          </w:p>
        </w:tc>
        <w:tc>
          <w:tcPr>
            <w:tcW w:w="1088"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63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FFFFFF" w:val="clear"/>
            <w:vAlign w:val="center"/>
          </w:tcPr>
          <w:p>
            <w:pPr>
              <w:pStyle w:val="TableContents"/>
              <w:bidi w:val="0"/>
              <w:spacing w:before="0" w:after="283"/>
              <w:ind w:left="0" w:right="0" w:hanging="0"/>
              <w:jc w:val="left"/>
            </w:pPr>
            <w: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2,109,098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2,113,098</w:t>
            </w:r>
          </w:p>
        </w:tc>
        <w:tc>
          <w:tcPr>
            <w:tcW w:w="95" w:type="dxa"/>
            <w:tcBorders/>
            <w:shd w:fill="FFFFFF" w:val="clear"/>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1,725,563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1,726,132</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231,312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232,963</w:t>
            </w:r>
          </w:p>
        </w:tc>
        <w:tc>
          <w:tcPr>
            <w:tcW w:w="95" w:type="dxa"/>
            <w:tcBorders/>
            <w:shd w:fill="FFFFFF" w:val="clear"/>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43,918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46,004</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FFFFFF" w:val="clear"/>
            <w:vAlign w:val="center"/>
          </w:tcPr>
          <w:p>
            <w:pPr>
              <w:pStyle w:val="TableContents"/>
              <w:bidi w:val="0"/>
              <w:spacing w:before="0" w:after="283"/>
              <w:ind w:left="0" w:right="0" w:hanging="0"/>
              <w:jc w:val="left"/>
            </w:pPr>
            <w: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108,305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(306</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107,999</w:t>
            </w:r>
          </w:p>
        </w:tc>
        <w:tc>
          <w:tcPr>
            <w:tcW w:w="95" w:type="dxa"/>
            <w:tcBorders/>
            <w:shd w:fill="FFFFFF" w:val="clear"/>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w:t>
            </w:r>
          </w:p>
        </w:tc>
        <w:tc>
          <w:tcPr>
            <w:tcW w:w="95" w:type="dxa"/>
            <w:tcBorders/>
            <w:shd w:fill="FFFFFF" w:val="clear"/>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7,065</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23,534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23,534</w:t>
            </w:r>
          </w:p>
        </w:tc>
        <w:tc>
          <w:tcPr>
            <w:tcW w:w="95" w:type="dxa"/>
            <w:tcBorders/>
            <w:shd w:fill="FFFFFF" w:val="clear"/>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pPr>
            <w: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79,282</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78,883</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4,676,356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61,340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4,737,696</w:t>
            </w:r>
          </w:p>
        </w:tc>
        <w:tc>
          <w:tcPr>
            <w:tcW w:w="95" w:type="dxa"/>
            <w:tcBorders/>
            <w:shd w:fill="FFFFFF" w:val="clear"/>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84,254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84,254</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18,655</w:t>
            </w:r>
          </w:p>
        </w:tc>
        <w:tc>
          <w:tcPr>
            <w:tcW w:w="95" w:type="dxa"/>
            <w:tcBorders/>
            <w:shd w:fill="FFFFFF" w:val="clear"/>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jc w:val="left"/>
            </w:pPr>
            <w:r>
              <w:t> </w:t>
            </w:r>
          </w:p>
        </w:tc>
        <w:tc>
          <w:tcPr>
            <w:tcW w:w="1088"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63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nine months ended September 30, 2026</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jc w:val="left"/>
            </w:pPr>
            <w:r>
              <w:t> </w:t>
            </w:r>
          </w:p>
        </w:tc>
        <w:tc>
          <w:tcPr>
            <w:tcW w:w="1088"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63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95" w:type="dxa"/>
            <w:tcBorders/>
            <w:shd w:fill="FFFFFF" w:val="clear"/>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CCEEFF" w:val="clear"/>
            <w:vAlign w:val="center"/>
          </w:tcPr>
          <w:p>
            <w:pPr>
              <w:pStyle w:val="TableContents"/>
              <w:bidi w:val="0"/>
              <w:spacing w:before="0" w:after="283"/>
              <w:ind w:left="0" w:right="0" w:hanging="0"/>
              <w:jc w:val="left"/>
            </w:pPr>
            <w: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5,685,071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5,696,966</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4,603,058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4,604,525</w:t>
            </w:r>
          </w:p>
        </w:tc>
        <w:tc>
          <w:tcPr>
            <w:tcW w:w="95" w:type="dxa"/>
            <w:tcBorders/>
            <w:shd w:fill="FFFFFF" w:val="clear"/>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664,510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668,926</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129,663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136,122</w:t>
            </w:r>
          </w:p>
        </w:tc>
        <w:tc>
          <w:tcPr>
            <w:tcW w:w="95" w:type="dxa"/>
            <w:tcBorders/>
            <w:shd w:fill="FFFFFF" w:val="clear"/>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ind w:left="0" w:right="0" w:hanging="0"/>
              <w:jc w:val="left"/>
            </w:pPr>
            <w: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287,841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(448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287,393</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5,153</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21,376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21,658</w:t>
            </w:r>
          </w:p>
        </w:tc>
        <w:tc>
          <w:tcPr>
            <w:tcW w:w="95" w:type="dxa"/>
            <w:tcBorders/>
            <w:shd w:fill="FFFFFF" w:val="clear"/>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56,500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56,500</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pPr>
            <w: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214,314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(730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213,584</w:t>
            </w:r>
          </w:p>
        </w:tc>
        <w:tc>
          <w:tcPr>
            <w:tcW w:w="95" w:type="dxa"/>
            <w:tcBorders/>
            <w:shd w:fill="FFFFFF" w:val="clear"/>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4,676,356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61,340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4,737,696</w:t>
            </w:r>
          </w:p>
        </w:tc>
        <w:tc>
          <w:tcPr>
            <w:tcW w:w="95" w:type="dxa"/>
            <w:tcBorders/>
            <w:shd w:fill="CCEEFF" w:val="clear"/>
            <w:vAlign w:val="center"/>
          </w:tcPr>
          <w:p>
            <w:pPr>
              <w:pStyle w:val="TableContents"/>
              <w:bidi w:val="0"/>
              <w:spacing w:before="0" w:after="283"/>
              <w:jc w:val="left"/>
            </w:pPr>
            <w:r>
              <w:t> </w:t>
            </w:r>
          </w:p>
        </w:tc>
      </w:tr>
      <w:tr>
        <w:tc>
          <w:tcPr>
            <w:tcW w:w="4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230,031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230,031</w:t>
            </w:r>
          </w:p>
        </w:tc>
        <w:tc>
          <w:tcPr>
            <w:tcW w:w="95" w:type="dxa"/>
            <w:tcBorders/>
            <w:shd w:fill="FFFFFF" w:val="clear"/>
            <w:vAlign w:val="center"/>
          </w:tcPr>
          <w:p>
            <w:pPr>
              <w:pStyle w:val="TableContents"/>
              <w:bidi w:val="0"/>
              <w:spacing w:before="0" w:after="283"/>
              <w:jc w:val="left"/>
            </w:pPr>
            <w:r>
              <w:t> </w:t>
            </w:r>
          </w:p>
        </w:tc>
      </w:tr>
      <w:tr>
        <w:tc>
          <w:tcPr>
            <w:tcW w:w="4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55,994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56,441</w:t>
            </w:r>
          </w:p>
        </w:tc>
        <w:tc>
          <w:tcPr>
            <w:tcW w:w="95"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tbl>
      <w:tblPr>
        <w:tblW w:w="8078" w:type="dxa"/>
        <w:jc w:val="left"/>
        <w:tblInd w:w="0" w:type="dxa"/>
        <w:tblLayout w:type="fixed"/>
        <w:tblCellMar>
          <w:top w:w="0" w:type="dxa"/>
          <w:left w:w="0" w:type="dxa"/>
          <w:bottom w:w="0" w:type="dxa"/>
          <w:right w:w="0" w:type="dxa"/>
        </w:tblCellMar>
      </w:tblPr>
      <w:tblGrid>
        <w:gridCol w:w="4670"/>
        <w:gridCol w:w="60"/>
        <w:gridCol w:w="161"/>
        <w:gridCol w:w="1088"/>
        <w:gridCol w:w="80"/>
        <w:gridCol w:w="60"/>
        <w:gridCol w:w="134"/>
        <w:gridCol w:w="635"/>
        <w:gridCol w:w="80"/>
        <w:gridCol w:w="60"/>
        <w:gridCol w:w="125"/>
        <w:gridCol w:w="845"/>
        <w:gridCol w:w="80"/>
      </w:tblGrid>
      <w:tr>
        <w:tc>
          <w:tcPr>
            <w:tcW w:w="467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Truck Segment</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Totals</w:t>
            </w:r>
          </w:p>
        </w:tc>
        <w:tc>
          <w:tcPr>
            <w:tcW w:w="80" w:type="dxa"/>
            <w:tcBorders/>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three months ended September 30, 2025</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jc w:val="left"/>
            </w:pPr>
            <w:r>
              <w:t> </w:t>
            </w:r>
          </w:p>
        </w:tc>
        <w:tc>
          <w:tcPr>
            <w:tcW w:w="1088"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63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FFFFFF" w:val="clear"/>
            <w:vAlign w:val="center"/>
          </w:tcPr>
          <w:p>
            <w:pPr>
              <w:pStyle w:val="TableContents"/>
              <w:bidi w:val="0"/>
              <w:spacing w:before="0" w:after="283"/>
              <w:ind w:left="0" w:right="0" w:hanging="0"/>
              <w:jc w:val="left"/>
            </w:pPr>
            <w: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1,876,793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1,880,765</w:t>
            </w:r>
          </w:p>
        </w:tc>
        <w:tc>
          <w:tcPr>
            <w:tcW w:w="80" w:type="dxa"/>
            <w:tcBorders/>
            <w:shd w:fill="FFFFFF" w:val="clear"/>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1,505,469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1,506,013</w:t>
            </w:r>
          </w:p>
        </w:tc>
        <w:tc>
          <w:tcPr>
            <w:tcW w:w="80" w:type="dxa"/>
            <w:tcBorders/>
            <w:shd w:fill="CCEEFF" w:val="clear"/>
            <w:vAlign w:val="center"/>
          </w:tcPr>
          <w:p>
            <w:pPr>
              <w:pStyle w:val="TableContents"/>
              <w:bidi w:val="0"/>
              <w:spacing w:before="0" w:after="283"/>
              <w:jc w:val="left"/>
            </w:pPr>
            <w:r>
              <w:t> </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223,311</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224,799</w:t>
            </w:r>
          </w:p>
        </w:tc>
        <w:tc>
          <w:tcPr>
            <w:tcW w:w="80" w:type="dxa"/>
            <w:tcBorders/>
            <w:shd w:fill="FFFFFF" w:val="clear"/>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49,923</w:t>
            </w:r>
          </w:p>
        </w:tc>
        <w:tc>
          <w:tcPr>
            <w:tcW w:w="80" w:type="dxa"/>
            <w:tcBorders/>
            <w:shd w:fill="CCEEFF" w:val="clear"/>
            <w:vAlign w:val="center"/>
          </w:tcPr>
          <w:p>
            <w:pPr>
              <w:pStyle w:val="TableContents"/>
              <w:bidi w:val="0"/>
              <w:spacing w:before="0" w:after="283"/>
              <w:jc w:val="left"/>
            </w:pPr>
            <w:r>
              <w:t> </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FFFFFF" w:val="clear"/>
            <w:vAlign w:val="center"/>
          </w:tcPr>
          <w:p>
            <w:pPr>
              <w:pStyle w:val="TableContents"/>
              <w:bidi w:val="0"/>
              <w:spacing w:before="0" w:after="283"/>
              <w:ind w:left="0" w:right="0" w:hanging="0"/>
              <w:jc w:val="left"/>
            </w:pPr>
            <w: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100,137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100,030</w:t>
            </w:r>
          </w:p>
        </w:tc>
        <w:tc>
          <w:tcPr>
            <w:tcW w:w="80" w:type="dxa"/>
            <w:tcBorders/>
            <w:shd w:fill="FFFFFF" w:val="clear"/>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80" w:type="dxa"/>
            <w:tcBorders/>
            <w:shd w:fill="FFFFFF" w:val="clear"/>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12,304</w:t>
            </w:r>
          </w:p>
        </w:tc>
        <w:tc>
          <w:tcPr>
            <w:tcW w:w="80" w:type="dxa"/>
            <w:tcBorders/>
            <w:shd w:fill="CCEEFF" w:val="clear"/>
            <w:vAlign w:val="center"/>
          </w:tcPr>
          <w:p>
            <w:pPr>
              <w:pStyle w:val="TableContents"/>
              <w:bidi w:val="0"/>
              <w:spacing w:before="0" w:after="283"/>
              <w:jc w:val="left"/>
            </w:pPr>
            <w:r>
              <w:t> </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20,136</w:t>
            </w:r>
          </w:p>
        </w:tc>
        <w:tc>
          <w:tcPr>
            <w:tcW w:w="80" w:type="dxa"/>
            <w:tcBorders/>
            <w:shd w:fill="FFFFFF" w:val="clear"/>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pPr>
            <w: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67,940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(202</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67,738</w:t>
            </w:r>
          </w:p>
        </w:tc>
        <w:tc>
          <w:tcPr>
            <w:tcW w:w="80" w:type="dxa"/>
            <w:tcBorders/>
            <w:shd w:fill="CCEEFF" w:val="clear"/>
            <w:vAlign w:val="center"/>
          </w:tcPr>
          <w:p>
            <w:pPr>
              <w:pStyle w:val="TableContents"/>
              <w:bidi w:val="0"/>
              <w:spacing w:before="0" w:after="283"/>
              <w:jc w:val="left"/>
            </w:pPr>
            <w:r>
              <w:t> </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4,492,954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60,108</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4,553,062</w:t>
            </w:r>
          </w:p>
        </w:tc>
        <w:tc>
          <w:tcPr>
            <w:tcW w:w="80" w:type="dxa"/>
            <w:tcBorders/>
            <w:shd w:fill="FFFFFF" w:val="clear"/>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108,811</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108,811</w:t>
            </w:r>
          </w:p>
        </w:tc>
        <w:tc>
          <w:tcPr>
            <w:tcW w:w="80" w:type="dxa"/>
            <w:tcBorders/>
            <w:shd w:fill="CCEEFF" w:val="clear"/>
            <w:vAlign w:val="center"/>
          </w:tcPr>
          <w:p>
            <w:pPr>
              <w:pStyle w:val="TableContents"/>
              <w:bidi w:val="0"/>
              <w:spacing w:before="0" w:after="283"/>
              <w:jc w:val="left"/>
            </w:pPr>
            <w:r>
              <w:t> </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18,155</w:t>
            </w:r>
          </w:p>
        </w:tc>
        <w:tc>
          <w:tcPr>
            <w:tcW w:w="80" w:type="dxa"/>
            <w:tcBorders/>
            <w:shd w:fill="FFFFFF" w:val="clear"/>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jc w:val="left"/>
            </w:pPr>
            <w:r>
              <w:t> </w:t>
            </w:r>
          </w:p>
        </w:tc>
        <w:tc>
          <w:tcPr>
            <w:tcW w:w="1088"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jc w:val="left"/>
            </w:pPr>
            <w:r>
              <w:t> </w:t>
            </w:r>
          </w:p>
        </w:tc>
        <w:tc>
          <w:tcPr>
            <w:tcW w:w="63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84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nine months ended September 30, 2025</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jc w:val="left"/>
            </w:pPr>
            <w:r>
              <w:t> </w:t>
            </w:r>
          </w:p>
        </w:tc>
        <w:tc>
          <w:tcPr>
            <w:tcW w:w="1088"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jc w:val="left"/>
            </w:pPr>
            <w:r>
              <w:t> </w:t>
            </w:r>
          </w:p>
        </w:tc>
        <w:tc>
          <w:tcPr>
            <w:tcW w:w="63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jc w:val="left"/>
            </w:pPr>
            <w:r>
              <w:t> </w:t>
            </w:r>
          </w:p>
        </w:tc>
        <w:tc>
          <w:tcPr>
            <w:tcW w:w="845" w:type="dxa"/>
            <w:tcBorders/>
            <w:shd w:fill="FFFFFF" w:val="clear"/>
            <w:vAlign w:val="center"/>
          </w:tcPr>
          <w:p>
            <w:pPr>
              <w:pStyle w:val="TableContents"/>
              <w:bidi w:val="0"/>
              <w:spacing w:before="0" w:after="283"/>
              <w:jc w:val="left"/>
            </w:pPr>
            <w:r>
              <w:t> </w:t>
            </w:r>
          </w:p>
        </w:tc>
        <w:tc>
          <w:tcPr>
            <w:tcW w:w="80" w:type="dxa"/>
            <w:tcBorders/>
            <w:shd w:fill="FFFFFF" w:val="clear"/>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CCEEFF" w:val="clear"/>
            <w:vAlign w:val="center"/>
          </w:tcPr>
          <w:p>
            <w:pPr>
              <w:pStyle w:val="TableContents"/>
              <w:bidi w:val="0"/>
              <w:spacing w:before="0" w:after="283"/>
              <w:ind w:left="0" w:right="0" w:hanging="0"/>
              <w:jc w:val="left"/>
            </w:pPr>
            <w: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5,650,359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11,943</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5,662,302</w:t>
            </w:r>
          </w:p>
        </w:tc>
        <w:tc>
          <w:tcPr>
            <w:tcW w:w="80" w:type="dxa"/>
            <w:tcBorders/>
            <w:shd w:fill="CCEEFF" w:val="clear"/>
            <w:vAlign w:val="center"/>
          </w:tcPr>
          <w:p>
            <w:pPr>
              <w:pStyle w:val="TableContents"/>
              <w:bidi w:val="0"/>
              <w:spacing w:before="0" w:after="283"/>
              <w:jc w:val="left"/>
            </w:pPr>
            <w:r>
              <w:t> </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4,548,630</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4,550,119</w:t>
            </w:r>
          </w:p>
        </w:tc>
        <w:tc>
          <w:tcPr>
            <w:tcW w:w="80" w:type="dxa"/>
            <w:tcBorders/>
            <w:shd w:fill="FFFFFF" w:val="clear"/>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670,744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675,449</w:t>
            </w:r>
          </w:p>
        </w:tc>
        <w:tc>
          <w:tcPr>
            <w:tcW w:w="80" w:type="dxa"/>
            <w:tcBorders/>
            <w:shd w:fill="CCEEFF" w:val="clear"/>
            <w:vAlign w:val="center"/>
          </w:tcPr>
          <w:p>
            <w:pPr>
              <w:pStyle w:val="TableContents"/>
              <w:bidi w:val="0"/>
              <w:spacing w:before="0" w:after="283"/>
              <w:jc w:val="left"/>
            </w:pPr>
            <w:r>
              <w:t> </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129,086</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5,543</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134,629</w:t>
            </w:r>
          </w:p>
        </w:tc>
        <w:tc>
          <w:tcPr>
            <w:tcW w:w="80" w:type="dxa"/>
            <w:tcBorders/>
            <w:shd w:fill="FFFFFF" w:val="clear"/>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ind w:left="0" w:right="0" w:hanging="0"/>
              <w:jc w:val="left"/>
            </w:pPr>
            <w: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301,899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206</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302,105</w:t>
            </w:r>
          </w:p>
        </w:tc>
        <w:tc>
          <w:tcPr>
            <w:tcW w:w="80" w:type="dxa"/>
            <w:tcBorders/>
            <w:shd w:fill="CCEEFF" w:val="clear"/>
            <w:vAlign w:val="center"/>
          </w:tcPr>
          <w:p>
            <w:pPr>
              <w:pStyle w:val="TableContents"/>
              <w:bidi w:val="0"/>
              <w:spacing w:before="0" w:after="283"/>
              <w:jc w:val="left"/>
            </w:pPr>
            <w:r>
              <w:t> </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(loss), net</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w:t>
            </w:r>
          </w:p>
        </w:tc>
        <w:tc>
          <w:tcPr>
            <w:tcW w:w="80" w:type="dxa"/>
            <w:tcBorders/>
            <w:shd w:fill="CCEEFF" w:val="clear"/>
            <w:vAlign w:val="center"/>
          </w:tcPr>
          <w:p>
            <w:pPr>
              <w:pStyle w:val="TableContents"/>
              <w:bidi w:val="0"/>
              <w:spacing w:before="0" w:after="283"/>
              <w:jc w:val="left"/>
            </w:pPr>
            <w:r>
              <w:t> </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38,439</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38,716</w:t>
            </w:r>
          </w:p>
        </w:tc>
        <w:tc>
          <w:tcPr>
            <w:tcW w:w="80" w:type="dxa"/>
            <w:tcBorders/>
            <w:shd w:fill="FFFFFF" w:val="clear"/>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62,204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62,204</w:t>
            </w:r>
          </w:p>
        </w:tc>
        <w:tc>
          <w:tcPr>
            <w:tcW w:w="80" w:type="dxa"/>
            <w:tcBorders/>
            <w:shd w:fill="CCEEFF" w:val="clear"/>
            <w:vAlign w:val="center"/>
          </w:tcPr>
          <w:p>
            <w:pPr>
              <w:pStyle w:val="TableContents"/>
              <w:bidi w:val="0"/>
              <w:spacing w:before="0" w:after="283"/>
              <w:jc w:val="left"/>
            </w:pPr>
            <w:r>
              <w:t> </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pPr>
            <w: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201,415</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201,344</w:t>
            </w:r>
          </w:p>
        </w:tc>
        <w:tc>
          <w:tcPr>
            <w:tcW w:w="80" w:type="dxa"/>
            <w:tcBorders/>
            <w:shd w:fill="FFFFFF" w:val="clear"/>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4,492,954</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60,108</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4,553,062</w:t>
            </w:r>
          </w:p>
        </w:tc>
        <w:tc>
          <w:tcPr>
            <w:tcW w:w="80" w:type="dxa"/>
            <w:tcBorders/>
            <w:shd w:fill="CCEEFF" w:val="clear"/>
            <w:vAlign w:val="center"/>
          </w:tcPr>
          <w:p>
            <w:pPr>
              <w:pStyle w:val="TableContents"/>
              <w:bidi w:val="0"/>
              <w:spacing w:before="0" w:after="283"/>
              <w:jc w:val="left"/>
            </w:pPr>
            <w:r>
              <w:t> </w:t>
            </w:r>
          </w:p>
        </w:tc>
      </w:tr>
      <w:t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pPr>
            <w:r>
              <w:t> </w:t>
            </w:r>
          </w:p>
        </w:tc>
        <w:tc>
          <w:tcPr>
            <w:tcW w:w="161" w:type="dxa"/>
            <w:tcBorders/>
            <w:shd w:fill="FFFFFF" w:val="clear"/>
            <w:vAlign w:val="center"/>
          </w:tcPr>
          <w:p>
            <w:pPr>
              <w:pStyle w:val="TableContents"/>
              <w:bidi w:val="0"/>
              <w:spacing w:before="0" w:after="283"/>
              <w:ind w:left="0" w:right="0" w:hanging="0"/>
              <w:jc w:val="left"/>
            </w:pPr>
            <w: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349,242</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34"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349,242</w:t>
            </w:r>
          </w:p>
        </w:tc>
        <w:tc>
          <w:tcPr>
            <w:tcW w:w="80" w:type="dxa"/>
            <w:tcBorders/>
            <w:shd w:fill="FFFFFF" w:val="clear"/>
            <w:vAlign w:val="center"/>
          </w:tcPr>
          <w:p>
            <w:pPr>
              <w:pStyle w:val="TableContents"/>
              <w:bidi w:val="0"/>
              <w:spacing w:before="0" w:after="283"/>
              <w:jc w:val="left"/>
            </w:pPr>
            <w:r>
              <w:t> </w:t>
            </w:r>
          </w:p>
        </w:tc>
      </w:tr>
      <w:t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pPr>
            <w:r>
              <w:t> </w:t>
            </w:r>
          </w:p>
        </w:tc>
        <w:tc>
          <w:tcPr>
            <w:tcW w:w="161" w:type="dxa"/>
            <w:tcBorders/>
            <w:shd w:fill="CCEEFF" w:val="clear"/>
            <w:vAlign w:val="center"/>
          </w:tcPr>
          <w:p>
            <w:pPr>
              <w:pStyle w:val="TableContents"/>
              <w:bidi w:val="0"/>
              <w:spacing w:before="0" w:after="283"/>
              <w:ind w:left="0" w:right="0" w:hanging="0"/>
              <w:jc w:val="left"/>
            </w:pPr>
            <w: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52,585</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34"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53,022</w:t>
            </w:r>
          </w:p>
        </w:tc>
        <w:tc>
          <w:tcPr>
            <w:tcW w:w="8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7 </w:t>
      </w:r>
      <w:r>
        <w:rPr>
          <w:rFonts w:ascii="Times New Roman" w:hAnsi="Times New Roman"/>
          <w:caps w:val="false"/>
          <w:smallCaps w:val="false"/>
          <w:sz w:val="20"/>
        </w:rPr>
        <w:t xml:space="preserve">– </w:t>
      </w: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had unrecognized income tax benefits totaling $7.9 million as a component of accrued liabilities as of September 30, 2026 and December 31, 2025,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The Company had approximately $625,000 accrued for the payment of interest as of September 30, 2026 and December 31, 2025. No amounts were accrued for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8 </w:t>
      </w:r>
      <w:r>
        <w:rPr>
          <w:rFonts w:ascii="Times New Roman" w:hAnsi="Times New Roman"/>
          <w:caps w:val="false"/>
          <w:smallCaps w:val="false"/>
          <w:sz w:val="20"/>
        </w:rPr>
        <w:t xml:space="preserve">– </w:t>
      </w:r>
      <w:r>
        <w:rPr>
          <w:rFonts w:ascii="Times New Roman" w:hAnsi="Times New Roman"/>
          <w:b/>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non-lease and rental revenues are primarily generated from the sale of finished products to customers. Those sales predominantly contain a single delivery element and revenues from such sales are recognized when the customer obtains control, which is typically when the finished product is delivered to the customer. The Company’s material revenue streams have been identified as the following: the sale of new and used commercial vehicles,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disaggregated revenue by revenue source, excluding lease and rental revenue, for the three months and nine months ended September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6"/>
        <w:gridCol w:w="60"/>
        <w:gridCol w:w="205"/>
        <w:gridCol w:w="1390"/>
        <w:gridCol w:w="60"/>
        <w:gridCol w:w="60"/>
        <w:gridCol w:w="205"/>
        <w:gridCol w:w="1390"/>
        <w:gridCol w:w="60"/>
        <w:gridCol w:w="60"/>
        <w:gridCol w:w="205"/>
        <w:gridCol w:w="1390"/>
        <w:gridCol w:w="60"/>
        <w:gridCol w:w="60"/>
        <w:gridCol w:w="205"/>
        <w:gridCol w:w="1390"/>
        <w:gridCol w:w="79"/>
      </w:tblGrid>
      <w:tr>
        <w:tc>
          <w:tcPr>
            <w:tcW w:w="332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33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33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tc>
        <w:tc>
          <w:tcPr>
            <w:tcW w:w="79" w:type="dxa"/>
            <w:tcBorders/>
            <w:vAlign w:val="center"/>
          </w:tcPr>
          <w:p>
            <w:pPr>
              <w:pStyle w:val="TableContents"/>
              <w:bidi w:val="0"/>
              <w:spacing w:before="0" w:after="283"/>
              <w:jc w:val="left"/>
            </w:pPr>
            <w:r>
              <w:t> </w:t>
            </w:r>
          </w:p>
        </w:tc>
      </w:tr>
      <w:tr>
        <w:tc>
          <w:tcPr>
            <w:tcW w:w="3326"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2026</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1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2025</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2026</w:t>
            </w:r>
          </w:p>
        </w:tc>
        <w:tc>
          <w:tcPr>
            <w:tcW w:w="60" w:type="dxa"/>
            <w:tcBorders>
              <w:bottom w:val="single" w:sz="2" w:space="0" w:color="000000"/>
            </w:tcBorders>
            <w:tcMar>
              <w:bottom w:w="28" w:type="dxa"/>
            </w:tcMar>
            <w:vAlign w:val="center"/>
          </w:tcPr>
          <w:p>
            <w:pPr>
              <w:pStyle w:val="TableContents"/>
              <w:bidi w:val="0"/>
              <w:spacing w:before="0" w:after="283"/>
              <w:jc w:val="left"/>
            </w:pPr>
            <w: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pPr>
            <w:r>
              <w:t> </w:t>
            </w:r>
          </w:p>
        </w:tc>
        <w:tc>
          <w:tcPr>
            <w:tcW w:w="15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2025</w:t>
            </w:r>
          </w:p>
        </w:tc>
        <w:tc>
          <w:tcPr>
            <w:tcW w:w="79" w:type="dxa"/>
            <w:tcBorders/>
            <w:vAlign w:val="center"/>
          </w:tcPr>
          <w:p>
            <w:pPr>
              <w:pStyle w:val="TableContents"/>
              <w:bidi w:val="0"/>
              <w:spacing w:before="0" w:after="283"/>
              <w:jc w:val="left"/>
            </w:pPr>
            <w:r>
              <w:t> </w:t>
            </w:r>
          </w:p>
        </w:tc>
      </w:tr>
      <w:tr>
        <w:tc>
          <w:tcPr>
            <w:tcW w:w="33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sales revenue</w:t>
            </w:r>
          </w:p>
        </w:tc>
        <w:tc>
          <w:tcPr>
            <w:tcW w:w="60" w:type="dxa"/>
            <w:tcBorders/>
            <w:shd w:fill="CCEEFF" w:val="clear"/>
            <w:vAlign w:val="center"/>
          </w:tcPr>
          <w:p>
            <w:pPr>
              <w:pStyle w:val="TableContents"/>
              <w:bidi w:val="0"/>
              <w:spacing w:before="0" w:after="283"/>
              <w:ind w:left="0" w:right="0" w:hanging="0"/>
              <w:jc w:val="left"/>
            </w:pPr>
            <w: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1,324,922</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1,134,856</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3,429,057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3,457,130</w:t>
            </w:r>
          </w:p>
        </w:tc>
        <w:tc>
          <w:tcPr>
            <w:tcW w:w="79" w:type="dxa"/>
            <w:tcBorders/>
            <w:shd w:fill="CCEEFF" w:val="clear"/>
            <w:vAlign w:val="center"/>
          </w:tcPr>
          <w:p>
            <w:pPr>
              <w:pStyle w:val="TableContents"/>
              <w:bidi w:val="0"/>
              <w:spacing w:before="0" w:after="283"/>
              <w:jc w:val="left"/>
            </w:pPr>
            <w:r>
              <w:t> </w:t>
            </w:r>
          </w:p>
        </w:tc>
      </w:tr>
      <w:tr>
        <w:tc>
          <w:tcPr>
            <w:tcW w:w="33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Parts revenue</w:t>
            </w:r>
          </w:p>
        </w:tc>
        <w:tc>
          <w:tcPr>
            <w:tcW w:w="60" w:type="dxa"/>
            <w:tcBorders/>
            <w:shd w:fill="FFFFFF" w:val="clear"/>
            <w:vAlign w:val="center"/>
          </w:tcPr>
          <w:p>
            <w:pPr>
              <w:pStyle w:val="TableContents"/>
              <w:bidi w:val="0"/>
              <w:spacing w:before="0" w:after="283"/>
              <w:jc w:val="left"/>
            </w:pPr>
            <w:r>
              <w:t> </w:t>
            </w:r>
          </w:p>
        </w:tc>
        <w:tc>
          <w:tcPr>
            <w:tcW w:w="205" w:type="dxa"/>
            <w:tcBorders/>
            <w:shd w:fill="FFFFFF" w:val="clear"/>
            <w:vAlign w:val="center"/>
          </w:tcPr>
          <w:p>
            <w:pPr>
              <w:pStyle w:val="TableContents"/>
              <w:bidi w:val="0"/>
              <w:spacing w:before="0" w:after="283"/>
              <w:ind w:left="0" w:right="0" w:hanging="0"/>
              <w:jc w:val="left"/>
            </w:pPr>
            <w: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404,474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5" w:type="dxa"/>
            <w:tcBorders/>
            <w:shd w:fill="FFFFFF" w:val="clear"/>
            <w:vAlign w:val="center"/>
          </w:tcPr>
          <w:p>
            <w:pPr>
              <w:pStyle w:val="TableContents"/>
              <w:bidi w:val="0"/>
              <w:spacing w:before="0" w:after="283"/>
              <w:ind w:left="0" w:right="0" w:hanging="0"/>
              <w:jc w:val="left"/>
            </w:pPr>
            <w: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381,628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5" w:type="dxa"/>
            <w:tcBorders/>
            <w:shd w:fill="FFFFFF" w:val="clear"/>
            <w:vAlign w:val="center"/>
          </w:tcPr>
          <w:p>
            <w:pPr>
              <w:pStyle w:val="TableContents"/>
              <w:bidi w:val="0"/>
              <w:spacing w:before="0" w:after="283"/>
              <w:ind w:left="0" w:right="0" w:hanging="0"/>
              <w:jc w:val="left"/>
            </w:pPr>
            <w: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1,166,824</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5" w:type="dxa"/>
            <w:tcBorders/>
            <w:shd w:fill="FFFFFF" w:val="clear"/>
            <w:vAlign w:val="center"/>
          </w:tcPr>
          <w:p>
            <w:pPr>
              <w:pStyle w:val="TableContents"/>
              <w:bidi w:val="0"/>
              <w:spacing w:before="0" w:after="283"/>
              <w:ind w:left="0" w:right="0" w:hanging="0"/>
              <w:jc w:val="left"/>
            </w:pPr>
            <w: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1,117,818</w:t>
            </w:r>
          </w:p>
        </w:tc>
        <w:tc>
          <w:tcPr>
            <w:tcW w:w="79" w:type="dxa"/>
            <w:tcBorders/>
            <w:shd w:fill="FFFFFF" w:val="clear"/>
            <w:vAlign w:val="center"/>
          </w:tcPr>
          <w:p>
            <w:pPr>
              <w:pStyle w:val="TableContents"/>
              <w:bidi w:val="0"/>
              <w:spacing w:before="0" w:after="283"/>
              <w:jc w:val="left"/>
            </w:pPr>
            <w:r>
              <w:t> </w:t>
            </w:r>
          </w:p>
        </w:tc>
      </w:tr>
      <w:tr>
        <w:tc>
          <w:tcPr>
            <w:tcW w:w="33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repair service revenue</w:t>
            </w:r>
          </w:p>
        </w:tc>
        <w:tc>
          <w:tcPr>
            <w:tcW w:w="60" w:type="dxa"/>
            <w:tcBorders/>
            <w:shd w:fill="CCEEFF" w:val="clear"/>
            <w:vAlign w:val="center"/>
          </w:tcPr>
          <w:p>
            <w:pPr>
              <w:pStyle w:val="TableContents"/>
              <w:bidi w:val="0"/>
              <w:spacing w:before="0" w:after="283"/>
              <w:jc w:val="left"/>
            </w:pPr>
            <w:r>
              <w:t> </w:t>
            </w:r>
          </w:p>
        </w:tc>
        <w:tc>
          <w:tcPr>
            <w:tcW w:w="205" w:type="dxa"/>
            <w:tcBorders/>
            <w:shd w:fill="CCEEFF" w:val="clear"/>
            <w:vAlign w:val="center"/>
          </w:tcPr>
          <w:p>
            <w:pPr>
              <w:pStyle w:val="TableContents"/>
              <w:bidi w:val="0"/>
              <w:spacing w:before="0" w:after="283"/>
              <w:ind w:left="0" w:right="0" w:hanging="0"/>
              <w:jc w:val="left"/>
            </w:pPr>
            <w: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275,460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5" w:type="dxa"/>
            <w:tcBorders/>
            <w:shd w:fill="CCEEFF" w:val="clear"/>
            <w:vAlign w:val="center"/>
          </w:tcPr>
          <w:p>
            <w:pPr>
              <w:pStyle w:val="TableContents"/>
              <w:bidi w:val="0"/>
              <w:spacing w:before="0" w:after="283"/>
              <w:ind w:left="0" w:right="0" w:hanging="0"/>
              <w:jc w:val="left"/>
            </w:pPr>
            <w: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261,030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5" w:type="dxa"/>
            <w:tcBorders/>
            <w:shd w:fill="CCEEFF" w:val="clear"/>
            <w:vAlign w:val="center"/>
          </w:tcPr>
          <w:p>
            <w:pPr>
              <w:pStyle w:val="TableContents"/>
              <w:bidi w:val="0"/>
              <w:spacing w:before="0" w:after="283"/>
              <w:ind w:left="0" w:right="0" w:hanging="0"/>
              <w:jc w:val="left"/>
            </w:pPr>
            <w: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785,963</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5" w:type="dxa"/>
            <w:tcBorders/>
            <w:shd w:fill="CCEEFF" w:val="clear"/>
            <w:vAlign w:val="center"/>
          </w:tcPr>
          <w:p>
            <w:pPr>
              <w:pStyle w:val="TableContents"/>
              <w:bidi w:val="0"/>
              <w:spacing w:before="0" w:after="283"/>
              <w:ind w:left="0" w:right="0" w:hanging="0"/>
              <w:jc w:val="left"/>
            </w:pPr>
            <w: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780,166</w:t>
            </w:r>
          </w:p>
        </w:tc>
        <w:tc>
          <w:tcPr>
            <w:tcW w:w="79" w:type="dxa"/>
            <w:tcBorders/>
            <w:shd w:fill="CCEEFF" w:val="clear"/>
            <w:vAlign w:val="center"/>
          </w:tcPr>
          <w:p>
            <w:pPr>
              <w:pStyle w:val="TableContents"/>
              <w:bidi w:val="0"/>
              <w:spacing w:before="0" w:after="283"/>
              <w:jc w:val="left"/>
            </w:pPr>
            <w:r>
              <w:t> </w:t>
            </w:r>
          </w:p>
        </w:tc>
      </w:tr>
      <w:tr>
        <w:tc>
          <w:tcPr>
            <w:tcW w:w="33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revenue</w:t>
            </w:r>
          </w:p>
        </w:tc>
        <w:tc>
          <w:tcPr>
            <w:tcW w:w="60" w:type="dxa"/>
            <w:tcBorders/>
            <w:shd w:fill="FFFFFF" w:val="clear"/>
            <w:vAlign w:val="center"/>
          </w:tcPr>
          <w:p>
            <w:pPr>
              <w:pStyle w:val="TableContents"/>
              <w:bidi w:val="0"/>
              <w:spacing w:before="0" w:after="283"/>
              <w:jc w:val="left"/>
            </w:pPr>
            <w:r>
              <w:t> </w:t>
            </w:r>
          </w:p>
        </w:tc>
        <w:tc>
          <w:tcPr>
            <w:tcW w:w="205" w:type="dxa"/>
            <w:tcBorders/>
            <w:shd w:fill="FFFFFF" w:val="clear"/>
            <w:vAlign w:val="center"/>
          </w:tcPr>
          <w:p>
            <w:pPr>
              <w:pStyle w:val="TableContents"/>
              <w:bidi w:val="0"/>
              <w:spacing w:before="0" w:after="283"/>
              <w:ind w:left="0" w:right="0" w:hanging="0"/>
              <w:jc w:val="left"/>
            </w:pPr>
            <w: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5" w:type="dxa"/>
            <w:tcBorders/>
            <w:shd w:fill="FFFFFF" w:val="clear"/>
            <w:vAlign w:val="center"/>
          </w:tcPr>
          <w:p>
            <w:pPr>
              <w:pStyle w:val="TableContents"/>
              <w:bidi w:val="0"/>
              <w:spacing w:before="0" w:after="283"/>
              <w:ind w:left="0" w:right="0" w:hanging="0"/>
              <w:jc w:val="left"/>
            </w:pPr>
            <w: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5" w:type="dxa"/>
            <w:tcBorders/>
            <w:shd w:fill="FFFFFF" w:val="clear"/>
            <w:vAlign w:val="center"/>
          </w:tcPr>
          <w:p>
            <w:pPr>
              <w:pStyle w:val="TableContents"/>
              <w:bidi w:val="0"/>
              <w:spacing w:before="0" w:after="283"/>
              <w:ind w:left="0" w:right="0" w:hanging="0"/>
              <w:jc w:val="left"/>
            </w:pPr>
            <w: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8,198</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5" w:type="dxa"/>
            <w:tcBorders/>
            <w:shd w:fill="FFFFFF" w:val="clear"/>
            <w:vAlign w:val="center"/>
          </w:tcPr>
          <w:p>
            <w:pPr>
              <w:pStyle w:val="TableContents"/>
              <w:bidi w:val="0"/>
              <w:spacing w:before="0" w:after="283"/>
              <w:ind w:left="0" w:right="0" w:hanging="0"/>
              <w:jc w:val="left"/>
            </w:pPr>
            <w:r>
              <w:t> </w:t>
            </w:r>
          </w:p>
        </w:tc>
        <w:tc>
          <w:tcPr>
            <w:tcW w:w="13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6,466</w:t>
            </w:r>
          </w:p>
        </w:tc>
        <w:tc>
          <w:tcPr>
            <w:tcW w:w="79" w:type="dxa"/>
            <w:tcBorders/>
            <w:shd w:fill="FFFFFF" w:val="clear"/>
            <w:vAlign w:val="center"/>
          </w:tcPr>
          <w:p>
            <w:pPr>
              <w:pStyle w:val="TableContents"/>
              <w:bidi w:val="0"/>
              <w:spacing w:before="0" w:after="283"/>
              <w:jc w:val="left"/>
            </w:pPr>
            <w:r>
              <w:t> </w:t>
            </w:r>
          </w:p>
        </w:tc>
      </w:tr>
      <w:tr>
        <w:tc>
          <w:tcPr>
            <w:tcW w:w="33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revenue</w:t>
            </w:r>
          </w:p>
        </w:tc>
        <w:tc>
          <w:tcPr>
            <w:tcW w:w="60" w:type="dxa"/>
            <w:tcBorders/>
            <w:shd w:fill="CCEEFF" w:val="clear"/>
            <w:vAlign w:val="center"/>
          </w:tcPr>
          <w:p>
            <w:pPr>
              <w:pStyle w:val="TableContents"/>
              <w:bidi w:val="0"/>
              <w:spacing w:before="0" w:after="283"/>
              <w:jc w:val="left"/>
            </w:pPr>
            <w:r>
              <w:t> </w:t>
            </w:r>
          </w:p>
        </w:tc>
        <w:tc>
          <w:tcPr>
            <w:tcW w:w="205" w:type="dxa"/>
            <w:tcBorders/>
            <w:shd w:fill="CCEEFF" w:val="clear"/>
            <w:vAlign w:val="center"/>
          </w:tcPr>
          <w:p>
            <w:pPr>
              <w:pStyle w:val="TableContents"/>
              <w:bidi w:val="0"/>
              <w:spacing w:before="0" w:after="283"/>
              <w:ind w:left="0" w:right="0" w:hanging="0"/>
              <w:jc w:val="left"/>
            </w:pPr>
            <w: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3,017</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5" w:type="dxa"/>
            <w:tcBorders/>
            <w:shd w:fill="CCEEFF" w:val="clear"/>
            <w:vAlign w:val="center"/>
          </w:tcPr>
          <w:p>
            <w:pPr>
              <w:pStyle w:val="TableContents"/>
              <w:bidi w:val="0"/>
              <w:spacing w:before="0" w:after="283"/>
              <w:ind w:left="0" w:right="0" w:hanging="0"/>
              <w:jc w:val="left"/>
            </w:pPr>
            <w: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5" w:type="dxa"/>
            <w:tcBorders/>
            <w:shd w:fill="CCEEFF" w:val="clear"/>
            <w:vAlign w:val="center"/>
          </w:tcPr>
          <w:p>
            <w:pPr>
              <w:pStyle w:val="TableContents"/>
              <w:bidi w:val="0"/>
              <w:spacing w:before="0" w:after="283"/>
              <w:ind w:left="0" w:right="0" w:hanging="0"/>
              <w:jc w:val="left"/>
            </w:pPr>
            <w: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9,919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205" w:type="dxa"/>
            <w:tcBorders/>
            <w:shd w:fill="CCEEFF" w:val="clear"/>
            <w:vAlign w:val="center"/>
          </w:tcPr>
          <w:p>
            <w:pPr>
              <w:pStyle w:val="TableContents"/>
              <w:bidi w:val="0"/>
              <w:spacing w:before="0" w:after="283"/>
              <w:ind w:left="0" w:right="0" w:hanging="0"/>
              <w:jc w:val="left"/>
            </w:pPr>
            <w:r>
              <w:t> </w:t>
            </w:r>
          </w:p>
        </w:tc>
        <w:tc>
          <w:tcPr>
            <w:tcW w:w="13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9,873</w:t>
            </w:r>
          </w:p>
        </w:tc>
        <w:tc>
          <w:tcPr>
            <w:tcW w:w="79" w:type="dxa"/>
            <w:tcBorders/>
            <w:shd w:fill="CCEEFF" w:val="clear"/>
            <w:vAlign w:val="center"/>
          </w:tcPr>
          <w:p>
            <w:pPr>
              <w:pStyle w:val="TableContents"/>
              <w:bidi w:val="0"/>
              <w:spacing w:before="0" w:after="283"/>
              <w:jc w:val="left"/>
            </w:pPr>
            <w:r>
              <w:t> </w:t>
            </w:r>
          </w:p>
        </w:tc>
      </w:tr>
      <w:tr>
        <w:tc>
          <w:tcPr>
            <w:tcW w:w="33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revenue</w:t>
            </w:r>
          </w:p>
        </w:tc>
        <w:tc>
          <w:tcPr>
            <w:tcW w:w="60" w:type="dxa"/>
            <w:tcBorders/>
            <w:shd w:fill="FFFFFF" w:val="clear"/>
            <w:vAlign w:val="center"/>
          </w:tcPr>
          <w:p>
            <w:pPr>
              <w:pStyle w:val="TableContents"/>
              <w:bidi w:val="0"/>
              <w:spacing w:before="0" w:after="283"/>
              <w:jc w:val="left"/>
            </w:pPr>
            <w: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4,372</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pPr>
            <w: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1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14,168</w:t>
            </w:r>
          </w:p>
        </w:tc>
        <w:tc>
          <w:tcPr>
            <w:tcW w:w="79" w:type="dxa"/>
            <w:tcBorders/>
            <w:shd w:fill="FFFFFF" w:val="clear"/>
            <w:vAlign w:val="center"/>
          </w:tcPr>
          <w:p>
            <w:pPr>
              <w:pStyle w:val="TableContents"/>
              <w:bidi w:val="0"/>
              <w:spacing w:before="0" w:after="283"/>
              <w:jc w:val="left"/>
            </w:pPr>
            <w:r>
              <w:t> </w:t>
            </w:r>
          </w:p>
        </w:tc>
      </w:tr>
      <w:tr>
        <w:tc>
          <w:tcPr>
            <w:tcW w:w="33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2,014,893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1,787,461</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5,411,637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pPr>
            <w: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pPr>
            <w:r>
              <w:t> </w:t>
            </w:r>
          </w:p>
        </w:tc>
        <w:tc>
          <w:tcPr>
            <w:tcW w:w="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5,385,621</w:t>
            </w:r>
          </w:p>
        </w:tc>
        <w:tc>
          <w:tcPr>
            <w:tcW w:w="79"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of the Company's performance obligations and associated revenues are generally transferred to customers at a point in time. The Company did not have any material contract assets or contract liabilities on the balance sheet as of September 30, 2026. Revenues related to commercial vehicle sales, parts sales, commercial vehicle repair service, finance and the majority of other revenues are related to the Truck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9 </w:t>
      </w:r>
      <w:r>
        <w:rPr>
          <w:rFonts w:ascii="Times New Roman" w:hAnsi="Times New Roman"/>
          <w:caps w:val="false"/>
          <w:smallCaps w:val="false"/>
          <w:sz w:val="20"/>
        </w:rPr>
        <w:t xml:space="preserve">–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Lease of Vehicles as Lessor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leases commercial vehicles that the Company owns to customers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Lease and rental income during the three and nine months ended September 30, 2026 and September 30, 2025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891" w:type="dxa"/>
        <w:jc w:val="left"/>
        <w:tblInd w:w="0" w:type="dxa"/>
        <w:tblLayout w:type="fixed"/>
        <w:tblCellMar>
          <w:top w:w="0" w:type="dxa"/>
          <w:left w:w="0" w:type="dxa"/>
          <w:bottom w:w="0" w:type="dxa"/>
          <w:right w:w="0" w:type="dxa"/>
        </w:tblCellMar>
      </w:tblPr>
      <w:tblGrid>
        <w:gridCol w:w="2165"/>
        <w:gridCol w:w="60"/>
        <w:gridCol w:w="139"/>
        <w:gridCol w:w="658"/>
        <w:gridCol w:w="66"/>
        <w:gridCol w:w="66"/>
        <w:gridCol w:w="139"/>
        <w:gridCol w:w="658"/>
        <w:gridCol w:w="60"/>
        <w:gridCol w:w="60"/>
        <w:gridCol w:w="125"/>
        <w:gridCol w:w="695"/>
        <w:gridCol w:w="60"/>
        <w:gridCol w:w="60"/>
        <w:gridCol w:w="125"/>
        <w:gridCol w:w="695"/>
        <w:gridCol w:w="60"/>
      </w:tblGrid>
      <w:tr>
        <w:tc>
          <w:tcPr>
            <w:tcW w:w="216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vAlign w:val="center"/>
          </w:tcPr>
          <w:p>
            <w:pPr>
              <w:pStyle w:val="TableContents"/>
              <w:bidi w:val="0"/>
              <w:spacing w:before="0" w:after="283"/>
              <w:jc w:val="left"/>
            </w:pPr>
            <w:r>
              <w:t> </w:t>
            </w:r>
          </w:p>
        </w:tc>
      </w:tr>
      <w:tr>
        <w:tc>
          <w:tcPr>
            <w:tcW w:w="216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6" w:type="dxa"/>
            <w:tcBorders/>
            <w:vAlign w:val="center"/>
          </w:tcPr>
          <w:p>
            <w:pPr>
              <w:pStyle w:val="TableContents"/>
              <w:bidi w:val="0"/>
              <w:spacing w:before="0" w:after="283"/>
              <w:jc w:val="left"/>
            </w:pPr>
            <w:r>
              <w:t> </w:t>
            </w:r>
          </w:p>
        </w:tc>
        <w:tc>
          <w:tcPr>
            <w:tcW w:w="66" w:type="dxa"/>
            <w:tcBorders/>
            <w:vAlign w:val="center"/>
          </w:tcPr>
          <w:p>
            <w:pPr>
              <w:pStyle w:val="TableContents"/>
              <w:bidi w:val="0"/>
              <w:spacing w:before="0" w:after="283"/>
              <w:ind w:left="0" w:right="0" w:hanging="0"/>
              <w:jc w:val="left"/>
            </w:pPr>
            <w: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pPr>
            <w:r>
              <w:t> </w:t>
            </w:r>
          </w:p>
        </w:tc>
      </w:tr>
      <w:t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Minimum rental payments</w:t>
            </w:r>
          </w:p>
        </w:tc>
        <w:tc>
          <w:tcPr>
            <w:tcW w:w="60" w:type="dxa"/>
            <w:tcBorders/>
            <w:shd w:fill="CCEEFF" w:val="clear"/>
            <w:vAlign w:val="center"/>
          </w:tcPr>
          <w:p>
            <w:pPr>
              <w:pStyle w:val="TableContents"/>
              <w:bidi w:val="0"/>
              <w:spacing w:before="0" w:after="283"/>
              <w:ind w:left="0" w:right="0" w:hanging="0"/>
              <w:jc w:val="left"/>
            </w:pPr>
            <w: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85,908</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ind w:left="0" w:right="0" w:hanging="0"/>
              <w:jc w:val="left"/>
            </w:pPr>
            <w: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81,809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250,520</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243,321</w:t>
            </w:r>
          </w:p>
        </w:tc>
        <w:tc>
          <w:tcPr>
            <w:tcW w:w="60" w:type="dxa"/>
            <w:tcBorders/>
            <w:shd w:fill="CCEEFF" w:val="clear"/>
            <w:vAlign w:val="center"/>
          </w:tcPr>
          <w:p>
            <w:pPr>
              <w:pStyle w:val="TableContents"/>
              <w:bidi w:val="0"/>
              <w:spacing w:before="0" w:after="283"/>
              <w:jc w:val="left"/>
            </w:pPr>
            <w:r>
              <w:t> </w:t>
            </w:r>
          </w:p>
        </w:tc>
      </w:tr>
      <w:t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Nonlease payments</w:t>
            </w:r>
          </w:p>
        </w:tc>
        <w:tc>
          <w:tcPr>
            <w:tcW w:w="60" w:type="dxa"/>
            <w:tcBorders/>
            <w:shd w:fill="FFFFFF" w:val="clear"/>
            <w:vAlign w:val="center"/>
          </w:tcPr>
          <w:p>
            <w:pPr>
              <w:pStyle w:val="TableContents"/>
              <w:bidi w:val="0"/>
              <w:spacing w:before="0" w:after="283"/>
              <w:jc w:val="left"/>
            </w:pPr>
            <w: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12,297</w:t>
            </w:r>
          </w:p>
        </w:tc>
        <w:tc>
          <w:tcPr>
            <w:tcW w:w="66" w:type="dxa"/>
            <w:tcBorders/>
            <w:shd w:fill="FFFFFF" w:val="clear"/>
            <w:vAlign w:val="center"/>
          </w:tcPr>
          <w:p>
            <w:pPr>
              <w:pStyle w:val="TableContents"/>
              <w:bidi w:val="0"/>
              <w:spacing w:before="0" w:after="283"/>
              <w:jc w:val="left"/>
            </w:pPr>
            <w:r>
              <w:t> </w:t>
            </w:r>
          </w:p>
        </w:tc>
        <w:tc>
          <w:tcPr>
            <w:tcW w:w="66" w:type="dxa"/>
            <w:tcBorders/>
            <w:shd w:fill="FFFFFF" w:val="clear"/>
            <w:vAlign w:val="center"/>
          </w:tcPr>
          <w:p>
            <w:pPr>
              <w:pStyle w:val="TableContents"/>
              <w:bidi w:val="0"/>
              <w:spacing w:before="0" w:after="283"/>
              <w:jc w:val="left"/>
            </w:pPr>
            <w: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11,495</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34,809</w:t>
            </w:r>
          </w:p>
        </w:tc>
        <w:tc>
          <w:tcPr>
            <w:tcW w:w="6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33,360</w:t>
            </w:r>
          </w:p>
        </w:tc>
        <w:tc>
          <w:tcPr>
            <w:tcW w:w="60" w:type="dxa"/>
            <w:tcBorders/>
            <w:shd w:fill="FFFFFF" w:val="clear"/>
            <w:vAlign w:val="center"/>
          </w:tcPr>
          <w:p>
            <w:pPr>
              <w:pStyle w:val="TableContents"/>
              <w:bidi w:val="0"/>
              <w:spacing w:before="0" w:after="283"/>
              <w:jc w:val="left"/>
            </w:pPr>
            <w:r>
              <w:t> </w:t>
            </w:r>
          </w:p>
        </w:tc>
      </w:tr>
      <w:t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pPr>
            <w: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98,205</w:t>
            </w:r>
          </w:p>
        </w:tc>
        <w:tc>
          <w:tcPr>
            <w:tcW w:w="66" w:type="dxa"/>
            <w:tcBorders/>
            <w:shd w:fill="CCEEFF" w:val="clear"/>
            <w:vAlign w:val="center"/>
          </w:tcPr>
          <w:p>
            <w:pPr>
              <w:pStyle w:val="TableContents"/>
              <w:bidi w:val="0"/>
              <w:spacing w:before="0" w:after="283"/>
              <w:jc w:val="left"/>
            </w:pPr>
            <w:r>
              <w:t> </w:t>
            </w:r>
          </w:p>
        </w:tc>
        <w:tc>
          <w:tcPr>
            <w:tcW w:w="66" w:type="dxa"/>
            <w:tcBorders/>
            <w:shd w:fill="CCEEFF" w:val="clear"/>
            <w:vAlign w:val="center"/>
          </w:tcPr>
          <w:p>
            <w:pPr>
              <w:pStyle w:val="TableContents"/>
              <w:bidi w:val="0"/>
              <w:spacing w:before="0" w:after="283"/>
              <w:ind w:left="0" w:right="0" w:hanging="0"/>
              <w:jc w:val="left"/>
            </w:pPr>
            <w: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93,304</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285,329</w:t>
            </w:r>
          </w:p>
        </w:tc>
        <w:tc>
          <w:tcPr>
            <w:tcW w:w="6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276,681</w:t>
            </w:r>
          </w:p>
        </w:tc>
        <w:tc>
          <w:tcPr>
            <w:tcW w:w="6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10 </w:t>
      </w:r>
      <w:r>
        <w:rPr>
          <w:rFonts w:ascii="Times New Roman" w:hAnsi="Times New Roman"/>
          <w:caps w:val="false"/>
          <w:smallCaps w:val="false"/>
          <w:sz w:val="20"/>
        </w:rPr>
        <w:t xml:space="preserve">– </w:t>
      </w:r>
      <w:r>
        <w:rPr>
          <w:rFonts w:ascii="Times New Roman" w:hAnsi="Times New Roman"/>
          <w:b/>
          <w:caps w:val="false"/>
          <w:smallCaps w:val="false"/>
          <w:sz w:val="20"/>
        </w:rPr>
        <w:t>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shows the components of accumulated other comprehensive income (loss) (in thousands):</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3260"/>
        <w:gridCol w:w="60"/>
        <w:gridCol w:w="125"/>
        <w:gridCol w:w="650"/>
        <w:gridCol w:w="80"/>
      </w:tblGrid>
      <w:t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2025</w:t>
            </w:r>
          </w:p>
        </w:tc>
        <w:tc>
          <w:tcPr>
            <w:tcW w:w="60" w:type="dxa"/>
            <w:tcBorders/>
            <w:shd w:fill="CCEEFF" w:val="clear"/>
            <w:vAlign w:val="center"/>
          </w:tcPr>
          <w:p>
            <w:pPr>
              <w:pStyle w:val="TableContents"/>
              <w:bidi w:val="0"/>
              <w:spacing w:before="0" w:after="283"/>
              <w:ind w:left="20" w:right="0" w:hanging="0"/>
              <w:jc w:val="left"/>
            </w:pPr>
            <w: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pPr>
            <w: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2026</w:t>
            </w:r>
          </w:p>
        </w:tc>
        <w:tc>
          <w:tcPr>
            <w:tcW w:w="60" w:type="dxa"/>
            <w:tcBorders/>
            <w:shd w:fill="CCEEFF" w:val="clear"/>
            <w:vAlign w:val="center"/>
          </w:tcPr>
          <w:p>
            <w:pPr>
              <w:pStyle w:val="TableContents"/>
              <w:bidi w:val="0"/>
              <w:spacing w:before="0" w:after="283"/>
              <w:ind w:left="20" w:right="0" w:hanging="0"/>
              <w:jc w:val="left"/>
            </w:pPr>
            <w: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pPr>
            <w: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June 30, 2026</w:t>
            </w:r>
          </w:p>
        </w:tc>
        <w:tc>
          <w:tcPr>
            <w:tcW w:w="60" w:type="dxa"/>
            <w:tcBorders/>
            <w:shd w:fill="CCEEFF" w:val="clear"/>
            <w:vAlign w:val="center"/>
          </w:tcPr>
          <w:p>
            <w:pPr>
              <w:pStyle w:val="TableContents"/>
              <w:bidi w:val="0"/>
              <w:spacing w:before="0" w:after="283"/>
              <w:ind w:left="20" w:right="0" w:hanging="0"/>
              <w:jc w:val="left"/>
            </w:pPr>
            <w: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pPr>
            <w: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September 30, 2026</w:t>
            </w:r>
          </w:p>
        </w:tc>
        <w:tc>
          <w:tcPr>
            <w:tcW w:w="60" w:type="dxa"/>
            <w:tcBorders/>
            <w:shd w:fill="CCEEFF" w:val="clear"/>
            <w:vAlign w:val="center"/>
          </w:tcPr>
          <w:p>
            <w:pPr>
              <w:pStyle w:val="TableContents"/>
              <w:bidi w:val="0"/>
              <w:spacing w:before="0" w:after="283"/>
              <w:ind w:left="2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functional currency of the Company’s foreign subsidiary, RTC Canada, is its local currency.  Results of operations for RTC Canada are translated to USD using the average exchange rate on a monthly basis during each quarter. The assets and liabilities of RTC Canada are translated into USD using the exchange rates in effect on the balance sheet date. The related translation adjustments are recorded in a separate component of shareholders' equity in accumulated other comprehensive income (loss) and the statement of comprehensive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11 </w:t>
      </w:r>
      <w:r>
        <w:rPr>
          <w:rFonts w:ascii="Times New Roman" w:hAnsi="Times New Roman"/>
          <w:caps w:val="false"/>
          <w:smallCaps w:val="false"/>
          <w:sz w:val="20"/>
        </w:rPr>
        <w:t xml:space="preserve">– </w:t>
      </w:r>
      <w:r>
        <w:rPr>
          <w:rFonts w:ascii="Times New Roman" w:hAnsi="Times New Roman"/>
          <w:b/>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establishes an allowance for credit losses to present the net amount of accounts receivable expected to be collected. Under ASU No. 2016-13,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Credit Losses (Topic 326): Measurement of Credit Losses on Financial Instruments</w:t>
      </w:r>
      <w:r>
        <w:rPr>
          <w:rFonts w:ascii="Times New Roman" w:hAnsi="Times New Roman"/>
          <w:caps w:val="false"/>
          <w:smallCaps w:val="false"/>
          <w:sz w:val="20"/>
        </w:rPr>
        <w:t>, the Company is required to remeasure expected credit losses for financial instruments held on the reporting date based on historical experience, current conditions and reasonable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changes in the allowance for credit losses (in thousands):</w:t>
      </w:r>
    </w:p>
    <w:p>
      <w:pPr>
        <w:pStyle w:val="TextBody"/>
        <w:bidi w:val="0"/>
        <w:spacing w:before="0" w:after="0"/>
        <w:ind w:left="0" w:right="0" w:hanging="0"/>
        <w:jc w:val="left"/>
        <w:rPr>
          <w:caps w:val="false"/>
          <w:smallCaps w:val="false"/>
        </w:rPr>
      </w:pPr>
      <w:r>
        <w:rPr>
          <w:caps w:val="false"/>
          <w:smallCaps w:val="false"/>
        </w:rPr>
        <w:t> </w:t>
      </w:r>
    </w:p>
    <w:tbl>
      <w:tblPr>
        <w:tblW w:w="8031" w:type="dxa"/>
        <w:jc w:val="left"/>
        <w:tblInd w:w="0" w:type="dxa"/>
        <w:tblLayout w:type="fixed"/>
        <w:tblCellMar>
          <w:top w:w="0" w:type="dxa"/>
          <w:left w:w="0" w:type="dxa"/>
          <w:bottom w:w="28" w:type="dxa"/>
          <w:right w:w="0" w:type="dxa"/>
        </w:tblCellMar>
      </w:tblPr>
      <w:tblGrid>
        <w:gridCol w:w="3080"/>
        <w:gridCol w:w="60"/>
        <w:gridCol w:w="231"/>
        <w:gridCol w:w="898"/>
        <w:gridCol w:w="60"/>
        <w:gridCol w:w="60"/>
        <w:gridCol w:w="249"/>
        <w:gridCol w:w="970"/>
        <w:gridCol w:w="60"/>
        <w:gridCol w:w="60"/>
        <w:gridCol w:w="191"/>
        <w:gridCol w:w="743"/>
        <w:gridCol w:w="60"/>
        <w:gridCol w:w="60"/>
        <w:gridCol w:w="240"/>
        <w:gridCol w:w="934"/>
        <w:gridCol w:w="75"/>
      </w:tblGrid>
      <w:tr>
        <w:tc>
          <w:tcPr>
            <w:tcW w:w="3080" w:type="dxa"/>
            <w:tcBorders>
              <w:bottom w:val="single" w:sz="2" w:space="0" w:color="000000"/>
            </w:tcBorders>
            <w:vAlign w:val="center"/>
          </w:tcPr>
          <w:p>
            <w:pPr>
              <w:pStyle w:val="TableContents"/>
              <w:bidi w:val="0"/>
              <w:spacing w:before="0" w:after="283"/>
              <w:jc w:val="left"/>
            </w:pPr>
            <w:r>
              <w:t> </w:t>
            </w:r>
          </w:p>
        </w:tc>
        <w:tc>
          <w:tcPr>
            <w:tcW w:w="60" w:type="dxa"/>
            <w:tcBorders>
              <w:bottom w:val="single" w:sz="2" w:space="0" w:color="000000"/>
            </w:tcBorders>
            <w:vAlign w:val="center"/>
          </w:tcPr>
          <w:p>
            <w:pPr>
              <w:pStyle w:val="TableContents"/>
              <w:bidi w:val="0"/>
              <w:spacing w:before="0" w:after="283"/>
              <w:ind w:left="0" w:right="0" w:hanging="0"/>
              <w:jc w:val="left"/>
            </w:pPr>
            <w:r>
              <w:t> </w:t>
            </w:r>
          </w:p>
        </w:tc>
        <w:tc>
          <w:tcPr>
            <w:tcW w:w="112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vAlign w:val="center"/>
          </w:tcPr>
          <w:p>
            <w:pPr>
              <w:pStyle w:val="TableContents"/>
              <w:bidi w:val="0"/>
              <w:spacing w:before="0" w:after="283"/>
              <w:jc w:val="left"/>
            </w:pPr>
            <w:r>
              <w:t> </w:t>
            </w:r>
          </w:p>
        </w:tc>
        <w:tc>
          <w:tcPr>
            <w:tcW w:w="60" w:type="dxa"/>
            <w:tcBorders>
              <w:bottom w:val="single" w:sz="2" w:space="0" w:color="000000"/>
            </w:tcBorders>
            <w:vAlign w:val="center"/>
          </w:tcPr>
          <w:p>
            <w:pPr>
              <w:pStyle w:val="TableContents"/>
              <w:bidi w:val="0"/>
              <w:spacing w:before="0" w:after="283"/>
              <w:ind w:left="0" w:right="0" w:hanging="0"/>
              <w:jc w:val="left"/>
            </w:pPr>
            <w:r>
              <w:t> </w:t>
            </w:r>
          </w:p>
        </w:tc>
        <w:tc>
          <w:tcPr>
            <w:tcW w:w="121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Nine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vAlign w:val="center"/>
          </w:tcPr>
          <w:p>
            <w:pPr>
              <w:pStyle w:val="TableContents"/>
              <w:bidi w:val="0"/>
              <w:spacing w:before="0" w:after="283"/>
              <w:jc w:val="left"/>
            </w:pPr>
            <w:r>
              <w:t> </w:t>
            </w:r>
          </w:p>
        </w:tc>
        <w:tc>
          <w:tcPr>
            <w:tcW w:w="60" w:type="dxa"/>
            <w:tcBorders>
              <w:bottom w:val="single" w:sz="2" w:space="0" w:color="000000"/>
            </w:tcBorders>
            <w:vAlign w:val="center"/>
          </w:tcPr>
          <w:p>
            <w:pPr>
              <w:pStyle w:val="TableContents"/>
              <w:bidi w:val="0"/>
              <w:spacing w:before="0" w:after="283"/>
              <w:ind w:left="0" w:right="0" w:hanging="0"/>
              <w:jc w:val="left"/>
            </w:pPr>
            <w:r>
              <w:t> </w:t>
            </w:r>
          </w:p>
        </w:tc>
        <w:tc>
          <w:tcPr>
            <w:tcW w:w="9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Write offs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Against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60" w:type="dxa"/>
            <w:tcBorders>
              <w:bottom w:val="single" w:sz="2" w:space="0" w:color="000000"/>
            </w:tcBorders>
            <w:vAlign w:val="center"/>
          </w:tcPr>
          <w:p>
            <w:pPr>
              <w:pStyle w:val="TableContents"/>
              <w:bidi w:val="0"/>
              <w:spacing w:before="0" w:after="283"/>
              <w:jc w:val="left"/>
            </w:pPr>
            <w:r>
              <w:t> </w:t>
            </w:r>
          </w:p>
        </w:tc>
        <w:tc>
          <w:tcPr>
            <w:tcW w:w="60" w:type="dxa"/>
            <w:tcBorders>
              <w:bottom w:val="single" w:sz="2" w:space="0" w:color="000000"/>
            </w:tcBorders>
            <w:vAlign w:val="center"/>
          </w:tcPr>
          <w:p>
            <w:pPr>
              <w:pStyle w:val="TableContents"/>
              <w:bidi w:val="0"/>
              <w:spacing w:before="0" w:after="283"/>
              <w:ind w:left="0" w:right="0" w:hanging="0"/>
              <w:jc w:val="left"/>
            </w:pPr>
            <w:r>
              <w:t> </w:t>
            </w:r>
          </w:p>
        </w:tc>
        <w:tc>
          <w:tcPr>
            <w:tcW w:w="11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75" w:type="dxa"/>
            <w:tcBorders/>
            <w:tcMar>
              <w:bottom w:w="0" w:type="dxa"/>
            </w:tcMar>
            <w:vAlign w:val="center"/>
          </w:tcPr>
          <w:p>
            <w:pPr>
              <w:pStyle w:val="TableContents"/>
              <w:bidi w:val="0"/>
              <w:spacing w:before="0" w:after="283"/>
              <w:jc w:val="left"/>
            </w:pPr>
            <w:r>
              <w:t> </w:t>
            </w:r>
          </w:p>
        </w:tc>
      </w:tr>
      <w:tr>
        <w:tc>
          <w:tcPr>
            <w:tcW w:w="30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receivables</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3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4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9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75" w:type="dxa"/>
            <w:tcBorders/>
            <w:shd w:fill="CCEEFF" w:val="clear"/>
            <w:tcMar>
              <w:bottom w:w="0" w:type="dxa"/>
            </w:tcMar>
            <w:vAlign w:val="center"/>
          </w:tcPr>
          <w:p>
            <w:pPr>
              <w:pStyle w:val="TableContents"/>
              <w:bidi w:val="0"/>
              <w:spacing w:before="0" w:after="283"/>
              <w:jc w:val="left"/>
            </w:pPr>
            <w:r>
              <w:t> </w:t>
            </w:r>
          </w:p>
        </w:tc>
      </w:tr>
      <w:tr>
        <w:tc>
          <w:tcPr>
            <w:tcW w:w="30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Manufacturers’ receivables</w:t>
            </w:r>
          </w:p>
        </w:tc>
        <w:tc>
          <w:tcPr>
            <w:tcW w:w="60" w:type="dxa"/>
            <w:tcBorders/>
            <w:shd w:fill="FFFFFF" w:val="clear"/>
            <w:tcMar>
              <w:bottom w:w="0" w:type="dxa"/>
            </w:tcMar>
            <w:vAlign w:val="center"/>
          </w:tcPr>
          <w:p>
            <w:pPr>
              <w:pStyle w:val="TableContents"/>
              <w:bidi w:val="0"/>
              <w:spacing w:before="0" w:after="283"/>
              <w:jc w:val="left"/>
            </w:pPr>
            <w:r>
              <w:t> </w:t>
            </w:r>
          </w:p>
        </w:tc>
        <w:tc>
          <w:tcPr>
            <w:tcW w:w="231" w:type="dxa"/>
            <w:tcBorders/>
            <w:shd w:fill="FFFFFF" w:val="clear"/>
            <w:tcMar>
              <w:bottom w:w="0" w:type="dxa"/>
            </w:tcMar>
            <w:vAlign w:val="center"/>
          </w:tcPr>
          <w:p>
            <w:pPr>
              <w:pStyle w:val="TableContents"/>
              <w:bidi w:val="0"/>
              <w:spacing w:before="0" w:after="283"/>
              <w:ind w:left="0" w:right="0" w:hanging="0"/>
              <w:jc w:val="left"/>
            </w:pPr>
            <w:r>
              <w:t> </w:t>
            </w:r>
          </w:p>
        </w:tc>
        <w:tc>
          <w:tcPr>
            <w:tcW w:w="89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9" w:type="dxa"/>
            <w:tcBorders/>
            <w:shd w:fill="FFFFFF" w:val="clear"/>
            <w:tcMar>
              <w:bottom w:w="0" w:type="dxa"/>
            </w:tcMar>
            <w:vAlign w:val="center"/>
          </w:tcPr>
          <w:p>
            <w:pPr>
              <w:pStyle w:val="TableContents"/>
              <w:bidi w:val="0"/>
              <w:spacing w:before="0" w:after="283"/>
              <w:ind w:left="0" w:right="0" w:hanging="0"/>
              <w:jc w:val="left"/>
            </w:pPr>
            <w:r>
              <w:t> </w:t>
            </w:r>
          </w:p>
        </w:tc>
        <w:tc>
          <w:tcPr>
            <w:tcW w:w="97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91" w:type="dxa"/>
            <w:tcBorders/>
            <w:shd w:fill="FFFFFF" w:val="clear"/>
            <w:tcMar>
              <w:bottom w:w="0" w:type="dxa"/>
            </w:tcMar>
            <w:vAlign w:val="center"/>
          </w:tcPr>
          <w:p>
            <w:pPr>
              <w:pStyle w:val="TableContents"/>
              <w:bidi w:val="0"/>
              <w:spacing w:before="0" w:after="283"/>
              <w:ind w:left="0" w:right="0" w:hanging="0"/>
              <w:jc w:val="left"/>
            </w:pPr>
            <w:r>
              <w:t> </w:t>
            </w:r>
          </w:p>
        </w:tc>
        <w:tc>
          <w:tcPr>
            <w:tcW w:w="7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3,385</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0" w:type="dxa"/>
            <w:tcBorders/>
            <w:shd w:fill="FFFFFF" w:val="clear"/>
            <w:tcMar>
              <w:bottom w:w="0" w:type="dxa"/>
            </w:tcMar>
            <w:vAlign w:val="center"/>
          </w:tcPr>
          <w:p>
            <w:pPr>
              <w:pStyle w:val="TableContents"/>
              <w:bidi w:val="0"/>
              <w:spacing w:before="0" w:after="283"/>
              <w:ind w:left="0" w:right="0" w:hanging="0"/>
              <w:jc w:val="left"/>
            </w:pPr>
            <w:r>
              <w:t> </w:t>
            </w:r>
          </w:p>
        </w:tc>
        <w:tc>
          <w:tcPr>
            <w:tcW w:w="93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75" w:type="dxa"/>
            <w:tcBorders/>
            <w:shd w:fill="FFFFFF" w:val="clear"/>
            <w:tcMar>
              <w:bottom w:w="0" w:type="dxa"/>
            </w:tcMar>
            <w:vAlign w:val="center"/>
          </w:tcPr>
          <w:p>
            <w:pPr>
              <w:pStyle w:val="TableContents"/>
              <w:bidi w:val="0"/>
              <w:spacing w:before="0" w:after="283"/>
              <w:jc w:val="left"/>
            </w:pPr>
            <w:r>
              <w:t> </w:t>
            </w:r>
          </w:p>
        </w:tc>
      </w:tr>
      <w:tr>
        <w:tc>
          <w:tcPr>
            <w:tcW w:w="30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Leasing, parts and service receivables</w:t>
            </w:r>
          </w:p>
        </w:tc>
        <w:tc>
          <w:tcPr>
            <w:tcW w:w="60" w:type="dxa"/>
            <w:tcBorders/>
            <w:shd w:fill="CCEEFF" w:val="clear"/>
            <w:tcMar>
              <w:bottom w:w="0" w:type="dxa"/>
            </w:tcMar>
            <w:vAlign w:val="center"/>
          </w:tcPr>
          <w:p>
            <w:pPr>
              <w:pStyle w:val="TableContents"/>
              <w:bidi w:val="0"/>
              <w:spacing w:before="0" w:after="283"/>
              <w:jc w:val="left"/>
            </w:pPr>
            <w:r>
              <w:t> </w:t>
            </w:r>
          </w:p>
        </w:tc>
        <w:tc>
          <w:tcPr>
            <w:tcW w:w="231" w:type="dxa"/>
            <w:tcBorders/>
            <w:shd w:fill="CCEEFF" w:val="clear"/>
            <w:tcMar>
              <w:bottom w:w="0" w:type="dxa"/>
            </w:tcMar>
            <w:vAlign w:val="center"/>
          </w:tcPr>
          <w:p>
            <w:pPr>
              <w:pStyle w:val="TableContents"/>
              <w:bidi w:val="0"/>
              <w:spacing w:before="0" w:after="283"/>
              <w:ind w:left="0" w:right="0" w:hanging="0"/>
              <w:jc w:val="left"/>
            </w:pPr>
            <w:r>
              <w:t> </w:t>
            </w:r>
          </w:p>
        </w:tc>
        <w:tc>
          <w:tcPr>
            <w:tcW w:w="89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49" w:type="dxa"/>
            <w:tcBorders/>
            <w:shd w:fill="CCEEFF" w:val="clear"/>
            <w:tcMar>
              <w:bottom w:w="0" w:type="dxa"/>
            </w:tcMar>
            <w:vAlign w:val="center"/>
          </w:tcPr>
          <w:p>
            <w:pPr>
              <w:pStyle w:val="TableContents"/>
              <w:bidi w:val="0"/>
              <w:spacing w:before="0" w:after="283"/>
              <w:ind w:left="0" w:right="0" w:hanging="0"/>
              <w:jc w:val="left"/>
            </w:pPr>
            <w:r>
              <w:t> </w:t>
            </w:r>
          </w:p>
        </w:tc>
        <w:tc>
          <w:tcPr>
            <w:tcW w:w="97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91" w:type="dxa"/>
            <w:tcBorders/>
            <w:shd w:fill="CCEEFF" w:val="clear"/>
            <w:tcMar>
              <w:bottom w:w="0" w:type="dxa"/>
            </w:tcMar>
            <w:vAlign w:val="center"/>
          </w:tcPr>
          <w:p>
            <w:pPr>
              <w:pStyle w:val="TableContents"/>
              <w:bidi w:val="0"/>
              <w:spacing w:before="0" w:after="283"/>
              <w:ind w:left="0" w:right="0" w:hanging="0"/>
              <w:jc w:val="left"/>
            </w:pPr>
            <w:r>
              <w:t> </w:t>
            </w:r>
          </w:p>
        </w:tc>
        <w:tc>
          <w:tcPr>
            <w:tcW w:w="74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240" w:type="dxa"/>
            <w:tcBorders/>
            <w:shd w:fill="CCEEFF" w:val="clear"/>
            <w:tcMar>
              <w:bottom w:w="0" w:type="dxa"/>
            </w:tcMar>
            <w:vAlign w:val="center"/>
          </w:tcPr>
          <w:p>
            <w:pPr>
              <w:pStyle w:val="TableContents"/>
              <w:bidi w:val="0"/>
              <w:spacing w:before="0" w:after="283"/>
              <w:ind w:left="0" w:right="0" w:hanging="0"/>
              <w:jc w:val="left"/>
            </w:pPr>
            <w:r>
              <w:t> </w:t>
            </w:r>
          </w:p>
        </w:tc>
        <w:tc>
          <w:tcPr>
            <w:tcW w:w="93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w:t>
            </w:r>
          </w:p>
        </w:tc>
        <w:tc>
          <w:tcPr>
            <w:tcW w:w="75" w:type="dxa"/>
            <w:tcBorders/>
            <w:shd w:fill="CCEEFF" w:val="clear"/>
            <w:tcMar>
              <w:bottom w:w="0" w:type="dxa"/>
            </w:tcMar>
            <w:vAlign w:val="center"/>
          </w:tcPr>
          <w:p>
            <w:pPr>
              <w:pStyle w:val="TableContents"/>
              <w:bidi w:val="0"/>
              <w:spacing w:before="0" w:after="283"/>
              <w:jc w:val="left"/>
            </w:pPr>
            <w:r>
              <w:t> </w:t>
            </w:r>
          </w:p>
        </w:tc>
      </w:tr>
      <w:tr>
        <w:tc>
          <w:tcPr>
            <w:tcW w:w="30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receivables</w:t>
            </w:r>
          </w:p>
        </w:tc>
        <w:tc>
          <w:tcPr>
            <w:tcW w:w="60" w:type="dxa"/>
            <w:tcBorders/>
            <w:shd w:fill="FFFFFF" w:val="clear"/>
            <w:tcMar>
              <w:bottom w:w="0" w:type="dxa"/>
            </w:tcMar>
            <w:vAlign w:val="center"/>
          </w:tcPr>
          <w:p>
            <w:pPr>
              <w:pStyle w:val="TableContents"/>
              <w:bidi w:val="0"/>
              <w:spacing w:before="0" w:after="283"/>
              <w:jc w:val="left"/>
            </w:pPr>
            <w:r>
              <w:t> </w:t>
            </w:r>
          </w:p>
        </w:tc>
        <w:tc>
          <w:tcPr>
            <w:tcW w:w="231"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89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9"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97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91"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74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240"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93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75" w:type="dxa"/>
            <w:tcBorders/>
            <w:shd w:fill="FFFFFF" w:val="clear"/>
            <w:tcMar>
              <w:bottom w:w="0" w:type="dxa"/>
            </w:tcMar>
            <w:vAlign w:val="center"/>
          </w:tcPr>
          <w:p>
            <w:pPr>
              <w:pStyle w:val="TableContents"/>
              <w:bidi w:val="0"/>
              <w:spacing w:before="0" w:after="283"/>
              <w:jc w:val="left"/>
            </w:pPr>
            <w:r>
              <w:t> </w:t>
            </w:r>
          </w:p>
        </w:tc>
      </w:tr>
      <w:tr>
        <w:tc>
          <w:tcPr>
            <w:tcW w:w="30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3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2,502</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49"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5,597</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91"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5,771</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24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2,328</w:t>
            </w:r>
          </w:p>
        </w:tc>
        <w:tc>
          <w:tcPr>
            <w:tcW w:w="75" w:type="dxa"/>
            <w:tcBorders/>
            <w:shd w:fill="CCEE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12 </w:t>
      </w:r>
      <w:r>
        <w:rPr>
          <w:rFonts w:ascii="Times New Roman" w:hAnsi="Times New Roman"/>
          <w:caps w:val="false"/>
          <w:smallCaps w:val="false"/>
          <w:sz w:val="20"/>
        </w:rPr>
        <w:t xml:space="preserve">– </w:t>
      </w:r>
      <w:r>
        <w:rPr>
          <w:rFonts w:ascii="Times New Roman" w:hAnsi="Times New Roman"/>
          <w:b/>
          <w:caps w:val="false"/>
          <w:smallCaps w:val="false"/>
          <w:sz w:val="20"/>
        </w:rPr>
        <w:t>Acquisitions and Equity Method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acquisitions, unless otherwise noted, were considered business combinations accounted for under ASC 805 “Business Combinations.” Pro forma information was not included in accordance with ASC 805 because the acquisitions were not considered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16, 2025, RTC Canada acquired 100% of the outstanding shares of Leeds Transit, Inc. The acquisition included IC Bus and Collins Bus franchised commercial vehicle dealership locations in Elgin and Woodstock, Ontario and a sales office in St-Roch-de-l’Achigan, Quebec, along with commercial vehicle and parts inventory. The transaction was valued at approximately $25.6 million, with the purchase price paid in cash, with borrowings made pursuant to RTC Canada’s floor plan credit agreement and a mortgage to finance the real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15, 2026, RTC Canada acquired 100% of the outstanding shares of Carrier Truck Center, Inc. The acquisition included International commercial vehicle dealership franchises in Brantford, Windsor, London, Sarnia and Woodstock, Ontario, along with commercial vehicle and parts inventory and an Idealease franchise. The transaction was valued at approximately $18.0 million, with the purchase price paid in cash, with borrowings made pursuant to RTC Canada’s floor plan credit agreements and a $10.0 million CAD 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29, 2026, the Company acquired certain assets of Peterbilt of Louisiana, which included Peterbilt commercial vehicle franchises in Baton Rouge, Lafayette, Lake Charles, New Orleans and Houma, along with real estate in Baton Rouge, Lafayette and two locations in Mississippi, and commercial vehicle and parts inventory. The transaction was valued at approximately $46.8 million, with the purchase price paid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31, 2026, the Company acquired 50% of the equity interest in MCT Holdco, LLC (“MCT”), one of the largest Carrier Transicold dealers in the United States. MCT operates a network of 17 truck, trailer and rail refrigeration and auxiliary power unit locations in California, Nebraska, Kansas, North Carolina, South Carolina and Virginia. MCT is accounted for as an equity method investment. As of September 30, 2026, the Company’s investment in MCT is $47.5 million and is reported in Other Assets on the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caps w:val="false"/>
          <w:smallCaps w:val="false"/>
          <w:sz w:val="20"/>
        </w:rPr>
      </w:pPr>
      <w:bookmarkStart w:id="10" w:name="p1i2"/>
      <w:bookmarkEnd w:id="10"/>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Certain statements contained in this Form 10-Q (or otherwise made by the Company or on the Company</w:t>
      </w:r>
      <w:r>
        <w:rPr>
          <w:rFonts w:ascii="Times New Roman" w:hAnsi="Times New Roman"/>
          <w:caps w:val="false"/>
          <w:smallCaps w:val="false"/>
          <w:sz w:val="20"/>
        </w:rPr>
        <w:t>’</w:t>
      </w:r>
      <w:r>
        <w:rPr>
          <w:rFonts w:ascii="Times New Roman" w:hAnsi="Times New Roman"/>
          <w:i/>
          <w:caps w:val="false"/>
          <w:smallCaps w:val="false"/>
          <w:sz w:val="20"/>
        </w:rPr>
        <w:t>s behalf from time to time in other reports, filings with the Securities and Exchange Commission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news releases, conferences, website postings or otherwise) that are not statements of historical fact constitute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within the meaning of the Private Securities Litigation Reform Act of 1995, Section 27A of the Securities Act of 1933, as amended (the </w:t>
      </w:r>
      <w:r>
        <w:rPr>
          <w:rFonts w:ascii="Times New Roman" w:hAnsi="Times New Roman"/>
          <w:caps w:val="false"/>
          <w:smallCaps w:val="false"/>
          <w:sz w:val="20"/>
        </w:rPr>
        <w:t>“</w:t>
      </w:r>
      <w:r>
        <w:rPr>
          <w:rFonts w:ascii="Times New Roman" w:hAnsi="Times New Roman"/>
          <w:i/>
          <w:caps w:val="false"/>
          <w:smallCaps w:val="false"/>
          <w:sz w:val="20"/>
        </w:rPr>
        <w:t>Securities Act</w:t>
      </w:r>
      <w:r>
        <w:rPr>
          <w:rFonts w:ascii="Times New Roman" w:hAnsi="Times New Roman"/>
          <w:caps w:val="false"/>
          <w:smallCaps w:val="false"/>
          <w:sz w:val="20"/>
        </w:rPr>
        <w:t>”</w:t>
      </w:r>
      <w:r>
        <w:rPr>
          <w:rFonts w:ascii="Times New Roman" w:hAnsi="Times New Roman"/>
          <w:i/>
          <w:caps w:val="false"/>
          <w:smallCaps w:val="false"/>
          <w:sz w:val="20"/>
        </w:rPr>
        <w:t xml:space="preserve">), and Section 21E of the Securities Exchange Act of 1934, as amended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notwithstanding that such statements are not specifically identified. Forward-looking statements include statements about the Company</w:t>
      </w:r>
      <w:r>
        <w:rPr>
          <w:rFonts w:ascii="Times New Roman" w:hAnsi="Times New Roman"/>
          <w:caps w:val="false"/>
          <w:smallCaps w:val="false"/>
          <w:sz w:val="20"/>
        </w:rPr>
        <w:t>’</w:t>
      </w:r>
      <w:r>
        <w:rPr>
          <w:rFonts w:ascii="Times New Roman" w:hAnsi="Times New Roman"/>
          <w:i/>
          <w:caps w:val="false"/>
          <w:smallCaps w:val="false"/>
          <w:sz w:val="20"/>
        </w:rPr>
        <w:t>s financial position, business strategy and plans and objectives of management of the Company for future operations.</w:t>
      </w:r>
      <w:r>
        <w:rPr>
          <w:rFonts w:ascii="Times New Roman" w:hAnsi="Times New Roman"/>
          <w:caps w:val="false"/>
          <w:smallCaps w:val="false"/>
          <w:sz w:val="20"/>
        </w:rPr>
        <w:t xml:space="preserve">  </w:t>
      </w:r>
      <w:r>
        <w:rPr>
          <w:rFonts w:ascii="Times New Roman" w:hAnsi="Times New Roman"/>
          <w:i/>
          <w:caps w:val="false"/>
          <w:smallCaps w:val="false"/>
          <w:sz w:val="20"/>
        </w:rPr>
        <w:t>These forward-looking statements reflect the best judgments of the Company about the future events and trends based on the beliefs of the Company</w:t>
      </w:r>
      <w:r>
        <w:rPr>
          <w:rFonts w:ascii="Times New Roman" w:hAnsi="Times New Roman"/>
          <w:caps w:val="false"/>
          <w:smallCaps w:val="false"/>
          <w:sz w:val="20"/>
        </w:rPr>
        <w:t>’</w:t>
      </w:r>
      <w:r>
        <w:rPr>
          <w:rFonts w:ascii="Times New Roman" w:hAnsi="Times New Roman"/>
          <w:i/>
          <w:caps w:val="false"/>
          <w:smallCaps w:val="false"/>
          <w:sz w:val="20"/>
        </w:rPr>
        <w:t>s management as well as assumptions made by and information currently available to the Company</w:t>
      </w:r>
      <w:r>
        <w:rPr>
          <w:rFonts w:ascii="Times New Roman" w:hAnsi="Times New Roman"/>
          <w:caps w:val="false"/>
          <w:smallCaps w:val="false"/>
          <w:sz w:val="20"/>
        </w:rPr>
        <w:t>’</w:t>
      </w:r>
      <w:r>
        <w:rPr>
          <w:rFonts w:ascii="Times New Roman" w:hAnsi="Times New Roman"/>
          <w:i/>
          <w:caps w:val="false"/>
          <w:smallCaps w:val="false"/>
          <w:sz w:val="20"/>
        </w:rPr>
        <w:t>s management.</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Use of the words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intend</w:t>
      </w:r>
      <w:r>
        <w:rPr>
          <w:rFonts w:ascii="Times New Roman" w:hAnsi="Times New Roman"/>
          <w:caps w:val="false"/>
          <w:smallCaps w:val="false"/>
          <w:sz w:val="20"/>
        </w:rPr>
        <w:t xml:space="preserve">” </w:t>
      </w:r>
      <w:r>
        <w:rPr>
          <w:rFonts w:ascii="Times New Roman" w:hAnsi="Times New Roman"/>
          <w:i/>
          <w:caps w:val="false"/>
          <w:smallCaps w:val="false"/>
          <w:sz w:val="20"/>
        </w:rPr>
        <w:t>and words or phrases of similar import, as they relate to the Company or its subsidiaries or Company management, are intended to identify forward-looking statements but are not the exclusive means of identifying such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the Company</w:t>
      </w:r>
      <w:r>
        <w:rPr>
          <w:rFonts w:ascii="Times New Roman" w:hAnsi="Times New Roman"/>
          <w:caps w:val="false"/>
          <w:smallCaps w:val="false"/>
          <w:sz w:val="20"/>
        </w:rPr>
        <w:t>’</w:t>
      </w:r>
      <w:r>
        <w:rPr>
          <w:rFonts w:ascii="Times New Roman" w:hAnsi="Times New Roman"/>
          <w:i/>
          <w:caps w:val="false"/>
          <w:smallCaps w:val="false"/>
          <w:sz w:val="20"/>
        </w:rPr>
        <w:t>s Annual Report on Form 10-K for the year ended December 31, 2025, for a discussion of certain of those risks. Other unknown or unpredictable factors could also have a material adverse effect on future results.</w:t>
      </w:r>
      <w:r>
        <w:rPr>
          <w:rFonts w:ascii="Times New Roman" w:hAnsi="Times New Roman"/>
          <w:caps w:val="false"/>
          <w:smallCaps w:val="false"/>
          <w:sz w:val="20"/>
        </w:rPr>
        <w:t xml:space="preserve">  </w:t>
      </w:r>
      <w:r>
        <w:rPr>
          <w:rFonts w:ascii="Times New Roman" w:hAnsi="Times New Roman"/>
          <w:i/>
          <w:caps w:val="false"/>
          <w:smallCaps w:val="false"/>
          <w:sz w:val="20"/>
        </w:rPr>
        <w:t>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comments should be read in conjunction with the Company’s consolidated financial statements and related notes included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Note Regarding Trademarks Commonly Used in the Company</w:t>
      </w:r>
      <w:r>
        <w:rPr>
          <w:rFonts w:ascii="Times New Roman" w:hAnsi="Times New Roman"/>
          <w:caps w:val="false"/>
          <w:smallCaps w:val="false"/>
          <w:sz w:val="20"/>
        </w:rPr>
        <w:t>’</w:t>
      </w:r>
      <w:r>
        <w:rPr>
          <w:rFonts w:ascii="Times New Roman" w:hAnsi="Times New Roman"/>
          <w:b/>
          <w:caps w:val="false"/>
          <w:smallCaps w:val="false"/>
          <w:sz w:val="20"/>
        </w:rPr>
        <w:t>s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Peterbilt</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Peterbilt Motors Company. PACCAR</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PACCAR, Inc. PacLease</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PACCAR Leasing Corporation. International</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International Motors, LLC (f/k/a Navistar, Inc.). Idealease</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Idealease, Inc. aka Idealease of North America, Inc. Blue Bird</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Blue Bird Investment Corporation. IC Bus</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IC Bus, LLC. Hino</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Hino Motors, Ltd. Isuzu</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Isuzu Motors Limited. Ford</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Ford Motor Company. Cummins</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Cummins, Inc. Carrier Transicold</w:t>
      </w:r>
      <w:r>
        <w:rPr>
          <w:rFonts w:ascii="Times New Roman" w:hAnsi="Times New Roman"/>
          <w:caps w:val="false"/>
          <w:smallCaps w:val="false"/>
          <w:sz w:val="20"/>
        </w:rPr>
        <w:t xml:space="preserve">® is a registered trademark of Carrier Corporation. </w:t>
      </w:r>
      <w:r>
        <w:rPr>
          <w:rFonts w:ascii="Times New Roman" w:hAnsi="Times New Roman"/>
          <w:i/>
          <w:caps w:val="false"/>
          <w:smallCaps w:val="false"/>
          <w:sz w:val="20"/>
        </w:rPr>
        <w:t>This report contains additional trade names or trademarks of other companies. Our use of such trade names or trademarks should not imply any endorsement or relationship with such companies.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Rush Enterprises, Inc. was incorporated in Texas in 1965 and consists of one reportable segment, the Truck Segment, and conducts business through its subsidiaries. Our principal offices are located at 555 IH 35 South, Suite 500, New Braunfels, Texas 78130.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and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Rush Truck Centers are principally located in high traffic areas throughout the United States and Ontario, Canada. Since commencing operations as a Peterbilt heavy-duty truck dealer in 1966, we have grown to operate over 160 Rush Truck Centers in 24 states. We own an 80% equity interest in Rush Truck Centres of Canada Limited (“RTC Canada”). RTC Canada currently owns and operates 17 International dealerships and 2 IC Bus dealership locations in Ontario. RTC Canada also sells IC Buses in Quebec and the provinces of New Brunswick, Nova Scotia and Prince Edward Island. The operating results of RTC Canada are consolidated in the Consolidated Statements of Operations, the Statements of Comprehensive Income, the Consolidated Balance Sheets and commercial vehicle unit sales data.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vehicle telematics products, CNG fuel systems through our joint venture with Cummins, and refrigeration and auxiliary power units through our joint venture in MCT.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locations in our existing areas of operation to enable us to better serve our customers. We also intend to continue to grow by acquiring or investing in businesses that are adjacent to our commercial vehicle dealership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Outlook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A.C.T. Research Co., LLC (“A.C.T. Research”), a commercial vehicle industry data and forecasting service provider, currently forecasts new U.S. Class 8 retail truck sales to be 229,400 units in 2026, which would represent a 7.9% increase compared to 212,700 units in 2025. While new Class 8 truck demand remains healthy, quoting and new order activity has slowed recently as the industry awaits the Environmental Protection Agency’s (“EPA”) final rules with respect to its model year 2027 emissions regulations. We expect that new Class 8 truck orders will normalize once customers have more information from both the EPA and manufacturers. We expect our U.S. market share of new Class 8 truck sales to range between 6.3% and 6.5% in 2026 based on A.C.T. Research’s current forecast. This market share percentage would result in the sale of approximately 14,500 to 15,000 new Class 8 trucks in 2026.  We expect to sell approximately 450 new Class 8 trucks in Canada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new U.S. Class 4 through 7 retail commercial vehicle sales, A.C.T. Research currently forecasts sales to be 218,575 units in 2026, which would represent a 0.5% increase compared to 217,472 units in 2025. We believe that demand for new medium-duty vehicles will remain stable for the remainder of the year, although production delays may impact the timing of deliveries. We expect our U.S. market share of new Class 4 through 7 commercial vehicle sales to range between 5.3% and 5.5% in 2026 based on A.C.T. Research’s current forecast.  This market share percentage would result in the sale of approximately 11,500 to 12,000 new Class 4 through 7 commercial vehicles in 2026.  We expect to sell approximately 1,000 new Class 5 through 7 commercial vehicles in Canada in 2026.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sell approximately 3,500 light-duty vehicles and approximately 7,000 used commercial vehicles in 2026, and we expect lease and rental revenue to increase approximately 3.2% during 2026, compared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our parts, service, and collision center (collectively referred to herein as “Aftermarket Products and Services”) operations, while the aftermarket recovery continues to trail the improvements in new commercial vehicle sales, we expect aftermarket demand to gradually improve through the end of the year, subject to normal seasonal patterns.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preparation of our interim unaudited consolidated financial statements in accordance with GAAP requires us to make estimates and assumptions that affect the reported amounts of assets and liabilities, revenues and expenses and the related disclosures of contingent assets and liabilities in our interim unaudited consolidated financial statements and accompanying notes. In accordance with GAAP, we base our estimates on historical experience and on various other assumptions that we believe are reasonable under the circumstances. We evaluate our estimates, judgments and assumptions on an ongoing basis, and while we believe that our estimates, judgments and assumptions are reasonable, they are based upon information available at the time. Actual results might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significant accounting policies are discussed in Item 7, "Management's Discussion and Analysis of Financial Condition and Results of Operations" under the heading "Critical Accounting Policies and Estimates" in our Form 10-K. There were no material changes to our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includes our historical results of operations for the three months and nine months ended September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financial data as a percentage of total revenues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8555" w:type="dxa"/>
        <w:jc w:val="left"/>
        <w:tblInd w:w="0" w:type="dxa"/>
        <w:tblLayout w:type="fixed"/>
        <w:tblCellMar>
          <w:top w:w="0" w:type="dxa"/>
          <w:left w:w="0" w:type="dxa"/>
          <w:bottom w:w="0" w:type="dxa"/>
          <w:right w:w="0" w:type="dxa"/>
        </w:tblCellMar>
      </w:tblPr>
      <w:tblGrid>
        <w:gridCol w:w="4550"/>
        <w:gridCol w:w="60"/>
        <w:gridCol w:w="82"/>
        <w:gridCol w:w="666"/>
        <w:gridCol w:w="254"/>
        <w:gridCol w:w="82"/>
        <w:gridCol w:w="82"/>
        <w:gridCol w:w="666"/>
        <w:gridCol w:w="185"/>
        <w:gridCol w:w="60"/>
        <w:gridCol w:w="75"/>
        <w:gridCol w:w="606"/>
        <w:gridCol w:w="231"/>
        <w:gridCol w:w="75"/>
        <w:gridCol w:w="75"/>
        <w:gridCol w:w="606"/>
        <w:gridCol w:w="200"/>
      </w:tblGrid>
      <w:tr>
        <w:tc>
          <w:tcPr>
            <w:tcW w:w="45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66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200" w:type="dxa"/>
            <w:tcBorders/>
            <w:vAlign w:val="center"/>
          </w:tcPr>
          <w:p>
            <w:pPr>
              <w:pStyle w:val="TableContents"/>
              <w:bidi w:val="0"/>
              <w:spacing w:before="0" w:after="283"/>
              <w:jc w:val="left"/>
            </w:pPr>
            <w:r>
              <w:t> </w:t>
            </w:r>
          </w:p>
        </w:tc>
      </w:tr>
      <w:tr>
        <w:tc>
          <w:tcPr>
            <w:tcW w:w="455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54" w:type="dxa"/>
            <w:tcBorders/>
            <w:vAlign w:val="center"/>
          </w:tcPr>
          <w:p>
            <w:pPr>
              <w:pStyle w:val="TableContents"/>
              <w:bidi w:val="0"/>
              <w:spacing w:before="0" w:after="283"/>
              <w:jc w:val="left"/>
            </w:pPr>
            <w:r>
              <w:t> </w:t>
            </w:r>
          </w:p>
        </w:tc>
        <w:tc>
          <w:tcPr>
            <w:tcW w:w="82" w:type="dxa"/>
            <w:tcBorders/>
            <w:vAlign w:val="center"/>
          </w:tcPr>
          <w:p>
            <w:pPr>
              <w:pStyle w:val="TableContents"/>
              <w:bidi w:val="0"/>
              <w:spacing w:before="0" w:after="283"/>
              <w:ind w:left="0" w:right="0" w:hanging="0"/>
              <w:jc w:val="left"/>
            </w:pPr>
            <w: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31" w:type="dxa"/>
            <w:tcBorders/>
            <w:vAlign w:val="center"/>
          </w:tcPr>
          <w:p>
            <w:pPr>
              <w:pStyle w:val="TableContents"/>
              <w:bidi w:val="0"/>
              <w:spacing w:before="0" w:after="283"/>
              <w:jc w:val="left"/>
            </w:pPr>
            <w:r>
              <w:t> </w:t>
            </w:r>
          </w:p>
        </w:tc>
        <w:tc>
          <w:tcPr>
            <w:tcW w:w="75" w:type="dxa"/>
            <w:tcBorders/>
            <w:vAlign w:val="center"/>
          </w:tcPr>
          <w:p>
            <w:pPr>
              <w:pStyle w:val="TableContents"/>
              <w:bidi w:val="0"/>
              <w:spacing w:before="0" w:after="283"/>
              <w:ind w:left="0" w:right="0" w:hanging="0"/>
              <w:jc w:val="left"/>
            </w:pPr>
            <w:r>
              <w:t> </w:t>
            </w:r>
          </w:p>
        </w:tc>
        <w:tc>
          <w:tcPr>
            <w:tcW w:w="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00" w:type="dxa"/>
            <w:tcBorders/>
            <w:vAlign w:val="center"/>
          </w:tcPr>
          <w:p>
            <w:pPr>
              <w:pStyle w:val="TableContents"/>
              <w:bidi w:val="0"/>
              <w:spacing w:before="0" w:after="283"/>
              <w:jc w:val="left"/>
            </w:pPr>
            <w:r>
              <w:t> </w:t>
            </w:r>
          </w:p>
        </w:tc>
      </w:tr>
      <w:t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666" w:type="dxa"/>
            <w:tcBorders/>
            <w:shd w:fill="CCEEFF" w:val="clear"/>
            <w:vAlign w:val="center"/>
          </w:tcPr>
          <w:p>
            <w:pPr>
              <w:pStyle w:val="TableContents"/>
              <w:bidi w:val="0"/>
              <w:spacing w:before="0" w:after="283"/>
              <w:jc w:val="left"/>
            </w:pPr>
            <w:r>
              <w:t> </w:t>
            </w:r>
          </w:p>
        </w:tc>
        <w:tc>
          <w:tcPr>
            <w:tcW w:w="254"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666"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606" w:type="dxa"/>
            <w:tcBorders/>
            <w:shd w:fill="CCEEFF" w:val="clear"/>
            <w:vAlign w:val="center"/>
          </w:tcPr>
          <w:p>
            <w:pPr>
              <w:pStyle w:val="TableContents"/>
              <w:bidi w:val="0"/>
              <w:spacing w:before="0" w:after="283"/>
              <w:jc w:val="left"/>
            </w:pPr>
            <w:r>
              <w:t> </w:t>
            </w:r>
          </w:p>
        </w:tc>
        <w:tc>
          <w:tcPr>
            <w:tcW w:w="231"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606" w:type="dxa"/>
            <w:tcBorders/>
            <w:shd w:fill="CCEEFF" w:val="clear"/>
            <w:vAlign w:val="center"/>
          </w:tcPr>
          <w:p>
            <w:pPr>
              <w:pStyle w:val="TableContents"/>
              <w:bidi w:val="0"/>
              <w:spacing w:before="0" w:after="283"/>
              <w:jc w:val="left"/>
            </w:pPr>
            <w:r>
              <w:t> </w:t>
            </w:r>
          </w:p>
        </w:tc>
        <w:tc>
          <w:tcPr>
            <w:tcW w:w="200" w:type="dxa"/>
            <w:tcBorders/>
            <w:shd w:fill="CCEEFF" w:val="clear"/>
            <w:vAlign w:val="center"/>
          </w:tcPr>
          <w:p>
            <w:pPr>
              <w:pStyle w:val="TableContents"/>
              <w:bidi w:val="0"/>
              <w:spacing w:before="0" w:after="283"/>
              <w:jc w:val="left"/>
            </w:pPr>
            <w:r>
              <w:t> </w:t>
            </w:r>
          </w:p>
        </w:tc>
      </w:tr>
      <w:t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w:t>
            </w:r>
          </w:p>
        </w:tc>
        <w:tc>
          <w:tcPr>
            <w:tcW w:w="254"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231"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200" w:type="dxa"/>
            <w:tcBorders/>
            <w:shd w:fill="CCEEFF" w:val="clear"/>
            <w:vAlign w:val="center"/>
          </w:tcPr>
          <w:p>
            <w:pPr>
              <w:pStyle w:val="TableContents"/>
              <w:bidi w:val="0"/>
              <w:spacing w:before="0" w:after="283"/>
              <w:jc w:val="left"/>
            </w:pPr>
            <w:r>
              <w:t> </w:t>
            </w:r>
          </w:p>
        </w:tc>
      </w:tr>
      <w:t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54"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31"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200" w:type="dxa"/>
            <w:tcBorders/>
            <w:shd w:fill="FFFFFF" w:val="clear"/>
            <w:vAlign w:val="center"/>
          </w:tcPr>
          <w:p>
            <w:pPr>
              <w:pStyle w:val="TableContents"/>
              <w:bidi w:val="0"/>
              <w:spacing w:before="0" w:after="283"/>
              <w:jc w:val="left"/>
            </w:pPr>
            <w:r>
              <w:t> </w:t>
            </w:r>
          </w:p>
        </w:tc>
      </w:tr>
      <w:t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54"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31"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00" w:type="dxa"/>
            <w:tcBorders/>
            <w:shd w:fill="CCEEFF" w:val="clear"/>
            <w:vAlign w:val="center"/>
          </w:tcPr>
          <w:p>
            <w:pPr>
              <w:pStyle w:val="TableContents"/>
              <w:bidi w:val="0"/>
              <w:spacing w:before="0" w:after="283"/>
              <w:jc w:val="left"/>
            </w:pPr>
            <w:r>
              <w:t> </w:t>
            </w:r>
          </w:p>
        </w:tc>
      </w:tr>
      <w:t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pPr>
            <w: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54"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31"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00" w:type="dxa"/>
            <w:tcBorders/>
            <w:shd w:fill="FFFFFF" w:val="clear"/>
            <w:vAlign w:val="center"/>
          </w:tcPr>
          <w:p>
            <w:pPr>
              <w:pStyle w:val="TableContents"/>
              <w:bidi w:val="0"/>
              <w:spacing w:before="0" w:after="283"/>
              <w:jc w:val="left"/>
            </w:pPr>
            <w:r>
              <w:t> </w:t>
            </w:r>
          </w:p>
        </w:tc>
      </w:tr>
      <w:t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54"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31"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00" w:type="dxa"/>
            <w:tcBorders/>
            <w:shd w:fill="CCEEFF" w:val="clear"/>
            <w:vAlign w:val="center"/>
          </w:tcPr>
          <w:p>
            <w:pPr>
              <w:pStyle w:val="TableContents"/>
              <w:bidi w:val="0"/>
              <w:spacing w:before="0" w:after="283"/>
              <w:jc w:val="left"/>
            </w:pPr>
            <w:r>
              <w:t> </w:t>
            </w:r>
          </w:p>
        </w:tc>
      </w:tr>
      <w:t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pPr>
            <w: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w:t>
            </w:r>
          </w:p>
        </w:tc>
        <w:tc>
          <w:tcPr>
            <w:tcW w:w="254"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w:t>
            </w:r>
          </w:p>
        </w:tc>
        <w:tc>
          <w:tcPr>
            <w:tcW w:w="231"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w:t>
            </w:r>
          </w:p>
        </w:tc>
        <w:tc>
          <w:tcPr>
            <w:tcW w:w="200" w:type="dxa"/>
            <w:tcBorders/>
            <w:shd w:fill="FFFFFF" w:val="clear"/>
            <w:vAlign w:val="center"/>
          </w:tcPr>
          <w:p>
            <w:pPr>
              <w:pStyle w:val="TableContents"/>
              <w:bidi w:val="0"/>
              <w:spacing w:before="0" w:after="283"/>
              <w:jc w:val="left"/>
            </w:pPr>
            <w:r>
              <w:t> </w:t>
            </w:r>
          </w:p>
        </w:tc>
      </w:tr>
      <w:t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254"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231"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200" w:type="dxa"/>
            <w:tcBorders/>
            <w:shd w:fill="CCEEFF" w:val="clear"/>
            <w:vAlign w:val="center"/>
          </w:tcPr>
          <w:p>
            <w:pPr>
              <w:pStyle w:val="TableContents"/>
              <w:bidi w:val="0"/>
              <w:spacing w:before="0" w:after="283"/>
              <w:jc w:val="left"/>
            </w:pPr>
            <w:r>
              <w:t> </w:t>
            </w:r>
          </w:p>
        </w:tc>
      </w:tr>
      <w:t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254"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231"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200" w:type="dxa"/>
            <w:tcBorders/>
            <w:shd w:fill="FFFFFF" w:val="clear"/>
            <w:vAlign w:val="center"/>
          </w:tcPr>
          <w:p>
            <w:pPr>
              <w:pStyle w:val="TableContents"/>
              <w:bidi w:val="0"/>
              <w:spacing w:before="0" w:after="283"/>
              <w:jc w:val="left"/>
            </w:pPr>
            <w:r>
              <w:t> </w:t>
            </w:r>
          </w:p>
        </w:tc>
      </w:tr>
      <w:t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54"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31"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00" w:type="dxa"/>
            <w:tcBorders/>
            <w:shd w:fill="CCEEFF" w:val="clear"/>
            <w:vAlign w:val="center"/>
          </w:tcPr>
          <w:p>
            <w:pPr>
              <w:pStyle w:val="TableContents"/>
              <w:bidi w:val="0"/>
              <w:spacing w:before="0" w:after="283"/>
              <w:jc w:val="left"/>
            </w:pPr>
            <w:r>
              <w:t> </w:t>
            </w:r>
          </w:p>
        </w:tc>
      </w:tr>
      <w:t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sale of assets</w:t>
            </w:r>
          </w:p>
        </w:tc>
        <w:tc>
          <w:tcPr>
            <w:tcW w:w="60" w:type="dxa"/>
            <w:tcBorders/>
            <w:shd w:fill="FFFFFF" w:val="clear"/>
            <w:vAlign w:val="center"/>
          </w:tcPr>
          <w:p>
            <w:pPr>
              <w:pStyle w:val="TableContents"/>
              <w:bidi w:val="0"/>
              <w:spacing w:before="0" w:after="283"/>
              <w:jc w:val="left"/>
            </w:pPr>
            <w: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54"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1"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00" w:type="dxa"/>
            <w:tcBorders/>
            <w:shd w:fill="FFFFFF" w:val="clear"/>
            <w:vAlign w:val="center"/>
          </w:tcPr>
          <w:p>
            <w:pPr>
              <w:pStyle w:val="TableContents"/>
              <w:bidi w:val="0"/>
              <w:spacing w:before="0" w:after="283"/>
              <w:jc w:val="left"/>
            </w:pPr>
            <w:r>
              <w:t> </w:t>
            </w:r>
          </w:p>
        </w:tc>
      </w:tr>
      <w:t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54"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31"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ind w:left="0" w:right="0" w:hanging="0"/>
              <w:jc w:val="left"/>
            </w:pPr>
            <w:r>
              <w:t> </w:t>
            </w:r>
          </w:p>
        </w:tc>
        <w:tc>
          <w:tcPr>
            <w:tcW w:w="6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200" w:type="dxa"/>
            <w:tcBorders/>
            <w:shd w:fill="CCEEFF" w:val="clear"/>
            <w:vAlign w:val="center"/>
          </w:tcPr>
          <w:p>
            <w:pPr>
              <w:pStyle w:val="TableContents"/>
              <w:bidi w:val="0"/>
              <w:spacing w:before="0" w:after="283"/>
              <w:jc w:val="left"/>
            </w:pPr>
            <w:r>
              <w:t> </w:t>
            </w:r>
          </w:p>
        </w:tc>
      </w:tr>
      <w:t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54"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1"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00" w:type="dxa"/>
            <w:tcBorders/>
            <w:shd w:fill="FFFFFF" w:val="clear"/>
            <w:vAlign w:val="center"/>
          </w:tcPr>
          <w:p>
            <w:pPr>
              <w:pStyle w:val="TableContents"/>
              <w:bidi w:val="0"/>
              <w:spacing w:before="0" w:after="283"/>
              <w:jc w:val="left"/>
            </w:pPr>
            <w:r>
              <w:t> </w:t>
            </w:r>
          </w:p>
        </w:tc>
      </w:tr>
      <w:t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expense, net</w:t>
            </w:r>
          </w:p>
        </w:tc>
        <w:tc>
          <w:tcPr>
            <w:tcW w:w="60" w:type="dxa"/>
            <w:tcBorders/>
            <w:shd w:fill="CCEEFF" w:val="clear"/>
            <w:vAlign w:val="center"/>
          </w:tcPr>
          <w:p>
            <w:pPr>
              <w:pStyle w:val="TableContents"/>
              <w:bidi w:val="0"/>
              <w:spacing w:before="0" w:after="283"/>
              <w:jc w:val="left"/>
            </w:pPr>
            <w: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54"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31"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00" w:type="dxa"/>
            <w:tcBorders/>
            <w:shd w:fill="CCEEFF" w:val="clear"/>
            <w:vAlign w:val="center"/>
          </w:tcPr>
          <w:p>
            <w:pPr>
              <w:pStyle w:val="TableContents"/>
              <w:bidi w:val="0"/>
              <w:spacing w:before="0" w:after="283"/>
              <w:jc w:val="left"/>
            </w:pPr>
            <w:r>
              <w:t> </w:t>
            </w:r>
          </w:p>
        </w:tc>
      </w:tr>
      <w:t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254"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31"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200" w:type="dxa"/>
            <w:tcBorders/>
            <w:shd w:fill="FFFFFF" w:val="clear"/>
            <w:vAlign w:val="center"/>
          </w:tcPr>
          <w:p>
            <w:pPr>
              <w:pStyle w:val="TableContents"/>
              <w:bidi w:val="0"/>
              <w:spacing w:before="0" w:after="283"/>
              <w:jc w:val="left"/>
            </w:pPr>
            <w:r>
              <w:t> </w:t>
            </w:r>
          </w:p>
        </w:tc>
      </w:tr>
      <w:t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pPr>
            <w: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54"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31"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00" w:type="dxa"/>
            <w:tcBorders/>
            <w:shd w:fill="CCEEFF" w:val="clear"/>
            <w:vAlign w:val="center"/>
          </w:tcPr>
          <w:p>
            <w:pPr>
              <w:pStyle w:val="TableContents"/>
              <w:bidi w:val="0"/>
              <w:spacing w:before="0" w:after="283"/>
              <w:jc w:val="left"/>
            </w:pPr>
            <w:r>
              <w:t> </w:t>
            </w:r>
          </w:p>
        </w:tc>
      </w:tr>
      <w:t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54"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31"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jc w:val="left"/>
            </w:pPr>
            <w:r>
              <w:t> </w:t>
            </w:r>
          </w:p>
        </w:tc>
        <w:tc>
          <w:tcPr>
            <w:tcW w:w="75" w:type="dxa"/>
            <w:tcBorders/>
            <w:shd w:fill="FFFFFF" w:val="clear"/>
            <w:vAlign w:val="center"/>
          </w:tcPr>
          <w:p>
            <w:pPr>
              <w:pStyle w:val="TableContents"/>
              <w:bidi w:val="0"/>
              <w:spacing w:before="0" w:after="283"/>
              <w:ind w:left="0" w:right="0" w:hanging="0"/>
              <w:jc w:val="left"/>
            </w:pPr>
            <w:r>
              <w:t> </w:t>
            </w:r>
          </w:p>
        </w:tc>
        <w:tc>
          <w:tcPr>
            <w:tcW w:w="6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00" w:type="dxa"/>
            <w:tcBorders/>
            <w:shd w:fill="FFFFFF" w:val="clear"/>
            <w:vAlign w:val="center"/>
          </w:tcPr>
          <w:p>
            <w:pPr>
              <w:pStyle w:val="TableContents"/>
              <w:bidi w:val="0"/>
              <w:spacing w:before="0" w:after="283"/>
              <w:jc w:val="left"/>
            </w:pPr>
            <w:r>
              <w:t> </w:t>
            </w:r>
          </w:p>
        </w:tc>
      </w:tr>
      <w:tr>
        <w:tc>
          <w:tcPr>
            <w:tcW w:w="4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income attributable to noncontrolling interest</w:t>
            </w:r>
          </w:p>
        </w:tc>
        <w:tc>
          <w:tcPr>
            <w:tcW w:w="60" w:type="dxa"/>
            <w:tcBorders/>
            <w:shd w:fill="CCEEFF" w:val="clear"/>
            <w:vAlign w:val="center"/>
          </w:tcPr>
          <w:p>
            <w:pPr>
              <w:pStyle w:val="TableContents"/>
              <w:bidi w:val="0"/>
              <w:spacing w:before="0" w:after="283"/>
              <w:jc w:val="left"/>
            </w:pPr>
            <w: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54"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1" w:type="dxa"/>
            <w:tcBorders/>
            <w:shd w:fill="CCEEFF" w:val="clear"/>
            <w:vAlign w:val="center"/>
          </w:tcPr>
          <w:p>
            <w:pPr>
              <w:pStyle w:val="TableContents"/>
              <w:bidi w:val="0"/>
              <w:spacing w:before="0" w:after="283"/>
              <w:jc w:val="left"/>
            </w:pPr>
            <w:r>
              <w:t> </w:t>
            </w:r>
          </w:p>
        </w:tc>
        <w:tc>
          <w:tcPr>
            <w:tcW w:w="75" w:type="dxa"/>
            <w:tcBorders/>
            <w:shd w:fill="CCEEFF" w:val="clear"/>
            <w:vAlign w:val="center"/>
          </w:tcPr>
          <w:p>
            <w:pPr>
              <w:pStyle w:val="TableContents"/>
              <w:bidi w:val="0"/>
              <w:spacing w:before="0" w:after="283"/>
              <w:jc w:val="left"/>
            </w:pPr>
            <w:r>
              <w:t> </w:t>
            </w:r>
          </w:p>
        </w:tc>
        <w:tc>
          <w:tcPr>
            <w:tcW w:w="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00" w:type="dxa"/>
            <w:tcBorders/>
            <w:shd w:fill="CCEEFF" w:val="clear"/>
            <w:vAlign w:val="center"/>
          </w:tcPr>
          <w:p>
            <w:pPr>
              <w:pStyle w:val="TableContents"/>
              <w:bidi w:val="0"/>
              <w:spacing w:before="0" w:after="283"/>
              <w:jc w:val="left"/>
            </w:pPr>
            <w:r>
              <w:t> </w:t>
            </w:r>
          </w:p>
        </w:tc>
      </w:tr>
      <w:tr>
        <w:tc>
          <w:tcPr>
            <w:tcW w:w="4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w:t>
            </w:r>
          </w:p>
        </w:tc>
        <w:tc>
          <w:tcPr>
            <w:tcW w:w="60" w:type="dxa"/>
            <w:tcBorders/>
            <w:shd w:fill="FFFFFF" w:val="clear"/>
            <w:vAlign w:val="center"/>
          </w:tcPr>
          <w:p>
            <w:pPr>
              <w:pStyle w:val="TableContents"/>
              <w:bidi w:val="0"/>
              <w:spacing w:before="0" w:after="283"/>
              <w:jc w:val="left"/>
            </w:pPr>
            <w: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pPr>
            <w: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pPr>
            <w: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the percent of gross profit by revenue source:</w:t>
      </w:r>
    </w:p>
    <w:p>
      <w:pPr>
        <w:pStyle w:val="TextBody"/>
        <w:bidi w:val="0"/>
        <w:spacing w:before="0" w:after="0"/>
        <w:ind w:left="0" w:right="0" w:hanging="0"/>
        <w:jc w:val="left"/>
        <w:rPr>
          <w:caps w:val="false"/>
          <w:smallCaps w:val="false"/>
        </w:rPr>
      </w:pPr>
      <w:r>
        <w:rPr>
          <w:caps w:val="false"/>
          <w:smallCaps w:val="false"/>
        </w:rPr>
        <w:t> </w:t>
      </w:r>
    </w:p>
    <w:tbl>
      <w:tblPr>
        <w:tblW w:w="7281" w:type="dxa"/>
        <w:jc w:val="left"/>
        <w:tblInd w:w="0" w:type="dxa"/>
        <w:tblLayout w:type="fixed"/>
        <w:tblCellMar>
          <w:top w:w="0" w:type="dxa"/>
          <w:left w:w="0" w:type="dxa"/>
          <w:bottom w:w="0" w:type="dxa"/>
          <w:right w:w="0" w:type="dxa"/>
        </w:tblCellMar>
      </w:tblPr>
      <w:tblGrid>
        <w:gridCol w:w="3230"/>
        <w:gridCol w:w="60"/>
        <w:gridCol w:w="82"/>
        <w:gridCol w:w="666"/>
        <w:gridCol w:w="254"/>
        <w:gridCol w:w="82"/>
        <w:gridCol w:w="82"/>
        <w:gridCol w:w="666"/>
        <w:gridCol w:w="185"/>
        <w:gridCol w:w="60"/>
        <w:gridCol w:w="77"/>
        <w:gridCol w:w="623"/>
        <w:gridCol w:w="237"/>
        <w:gridCol w:w="77"/>
        <w:gridCol w:w="77"/>
        <w:gridCol w:w="623"/>
        <w:gridCol w:w="200"/>
      </w:tblGrid>
      <w:tr>
        <w:tc>
          <w:tcPr>
            <w:tcW w:w="323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7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200" w:type="dxa"/>
            <w:tcBorders/>
            <w:vAlign w:val="center"/>
          </w:tcPr>
          <w:p>
            <w:pPr>
              <w:pStyle w:val="TableContents"/>
              <w:bidi w:val="0"/>
              <w:spacing w:before="0" w:after="283"/>
              <w:jc w:val="left"/>
            </w:pPr>
            <w:r>
              <w:t> </w:t>
            </w:r>
          </w:p>
        </w:tc>
      </w:tr>
      <w:tr>
        <w:tc>
          <w:tcPr>
            <w:tcW w:w="323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54" w:type="dxa"/>
            <w:tcBorders/>
            <w:vAlign w:val="center"/>
          </w:tcPr>
          <w:p>
            <w:pPr>
              <w:pStyle w:val="TableContents"/>
              <w:bidi w:val="0"/>
              <w:spacing w:before="0" w:after="283"/>
              <w:jc w:val="left"/>
            </w:pPr>
            <w:r>
              <w:t> </w:t>
            </w:r>
          </w:p>
        </w:tc>
        <w:tc>
          <w:tcPr>
            <w:tcW w:w="82" w:type="dxa"/>
            <w:tcBorders/>
            <w:vAlign w:val="center"/>
          </w:tcPr>
          <w:p>
            <w:pPr>
              <w:pStyle w:val="TableContents"/>
              <w:bidi w:val="0"/>
              <w:spacing w:before="0" w:after="283"/>
              <w:ind w:left="0" w:right="0" w:hanging="0"/>
              <w:jc w:val="left"/>
            </w:pPr>
            <w: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37" w:type="dxa"/>
            <w:tcBorders/>
            <w:vAlign w:val="center"/>
          </w:tcPr>
          <w:p>
            <w:pPr>
              <w:pStyle w:val="TableContents"/>
              <w:bidi w:val="0"/>
              <w:spacing w:before="0" w:after="283"/>
              <w:jc w:val="left"/>
            </w:pPr>
            <w:r>
              <w:t> </w:t>
            </w:r>
          </w:p>
        </w:tc>
        <w:tc>
          <w:tcPr>
            <w:tcW w:w="77" w:type="dxa"/>
            <w:tcBorders/>
            <w:vAlign w:val="center"/>
          </w:tcPr>
          <w:p>
            <w:pPr>
              <w:pStyle w:val="TableContents"/>
              <w:bidi w:val="0"/>
              <w:spacing w:before="0" w:after="283"/>
              <w:ind w:left="0" w:right="0" w:hanging="0"/>
              <w:jc w:val="left"/>
            </w:pPr>
            <w: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00" w:type="dxa"/>
            <w:tcBorders/>
            <w:vAlign w:val="center"/>
          </w:tcPr>
          <w:p>
            <w:pPr>
              <w:pStyle w:val="TableContents"/>
              <w:bidi w:val="0"/>
              <w:spacing w:before="0" w:after="283"/>
              <w:jc w:val="left"/>
            </w:pPr>
            <w:r>
              <w:t> </w:t>
            </w:r>
          </w:p>
        </w:tc>
      </w:tr>
      <w:t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666" w:type="dxa"/>
            <w:tcBorders/>
            <w:shd w:fill="CCEEFF" w:val="clear"/>
            <w:vAlign w:val="center"/>
          </w:tcPr>
          <w:p>
            <w:pPr>
              <w:pStyle w:val="TableContents"/>
              <w:bidi w:val="0"/>
              <w:spacing w:before="0" w:after="283"/>
              <w:jc w:val="left"/>
            </w:pPr>
            <w:r>
              <w:t> </w:t>
            </w:r>
          </w:p>
        </w:tc>
        <w:tc>
          <w:tcPr>
            <w:tcW w:w="254"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666"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jc w:val="left"/>
            </w:pPr>
            <w:r>
              <w:t> </w:t>
            </w:r>
          </w:p>
        </w:tc>
        <w:tc>
          <w:tcPr>
            <w:tcW w:w="623" w:type="dxa"/>
            <w:tcBorders/>
            <w:shd w:fill="CCEEFF" w:val="clear"/>
            <w:vAlign w:val="center"/>
          </w:tcPr>
          <w:p>
            <w:pPr>
              <w:pStyle w:val="TableContents"/>
              <w:bidi w:val="0"/>
              <w:spacing w:before="0" w:after="283"/>
              <w:jc w:val="left"/>
            </w:pPr>
            <w:r>
              <w:t> </w:t>
            </w:r>
          </w:p>
        </w:tc>
        <w:tc>
          <w:tcPr>
            <w:tcW w:w="237"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jc w:val="left"/>
            </w:pPr>
            <w:r>
              <w:t> </w:t>
            </w:r>
          </w:p>
        </w:tc>
        <w:tc>
          <w:tcPr>
            <w:tcW w:w="623" w:type="dxa"/>
            <w:tcBorders/>
            <w:shd w:fill="CCEEFF" w:val="clear"/>
            <w:vAlign w:val="center"/>
          </w:tcPr>
          <w:p>
            <w:pPr>
              <w:pStyle w:val="TableContents"/>
              <w:bidi w:val="0"/>
              <w:spacing w:before="0" w:after="283"/>
              <w:jc w:val="left"/>
            </w:pPr>
            <w:r>
              <w:t> </w:t>
            </w:r>
          </w:p>
        </w:tc>
        <w:tc>
          <w:tcPr>
            <w:tcW w:w="200" w:type="dxa"/>
            <w:tcBorders/>
            <w:shd w:fill="CCEEFF" w:val="clear"/>
            <w:vAlign w:val="center"/>
          </w:tcPr>
          <w:p>
            <w:pPr>
              <w:pStyle w:val="TableContents"/>
              <w:bidi w:val="0"/>
              <w:spacing w:before="0" w:after="283"/>
              <w:jc w:val="left"/>
            </w:pPr>
            <w:r>
              <w:t> </w:t>
            </w:r>
          </w:p>
        </w:tc>
      </w:tr>
      <w:t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ind w:left="0" w:right="0" w:hanging="0"/>
              <w:jc w:val="left"/>
            </w:pPr>
            <w: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ind w:left="0" w:right="0" w:hanging="0"/>
              <w:jc w:val="left"/>
            </w:pPr>
            <w: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w:t>
            </w:r>
          </w:p>
        </w:tc>
        <w:tc>
          <w:tcPr>
            <w:tcW w:w="254"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ind w:left="0" w:right="0" w:hanging="0"/>
              <w:jc w:val="left"/>
            </w:pPr>
            <w: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237"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ind w:left="0" w:right="0" w:hanging="0"/>
              <w:jc w:val="left"/>
            </w:pPr>
            <w: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w:t>
            </w:r>
          </w:p>
        </w:tc>
        <w:tc>
          <w:tcPr>
            <w:tcW w:w="200" w:type="dxa"/>
            <w:tcBorders/>
            <w:shd w:fill="CCEEFF" w:val="clear"/>
            <w:vAlign w:val="center"/>
          </w:tcPr>
          <w:p>
            <w:pPr>
              <w:pStyle w:val="TableContents"/>
              <w:bidi w:val="0"/>
              <w:spacing w:before="0" w:after="283"/>
              <w:jc w:val="left"/>
            </w:pPr>
            <w:r>
              <w:t> </w:t>
            </w:r>
          </w:p>
        </w:tc>
      </w:tr>
      <w:t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254"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ind w:left="0" w:right="0" w:hanging="0"/>
              <w:jc w:val="left"/>
            </w:pPr>
            <w: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ind w:left="0" w:right="0" w:hanging="0"/>
              <w:jc w:val="left"/>
            </w:pPr>
            <w: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237"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ind w:left="0" w:right="0" w:hanging="0"/>
              <w:jc w:val="left"/>
            </w:pPr>
            <w:r>
              <w:t> </w:t>
            </w:r>
          </w:p>
        </w:tc>
        <w:tc>
          <w:tcPr>
            <w:tcW w:w="6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200" w:type="dxa"/>
            <w:tcBorders/>
            <w:shd w:fill="FFFFFF" w:val="clear"/>
            <w:vAlign w:val="center"/>
          </w:tcPr>
          <w:p>
            <w:pPr>
              <w:pStyle w:val="TableContents"/>
              <w:bidi w:val="0"/>
              <w:spacing w:before="0" w:after="283"/>
              <w:jc w:val="left"/>
            </w:pPr>
            <w:r>
              <w:t> </w:t>
            </w:r>
          </w:p>
        </w:tc>
      </w:tr>
      <w:t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54"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jc w:val="left"/>
            </w:pPr>
            <w:r>
              <w:t> </w:t>
            </w:r>
          </w:p>
        </w:tc>
        <w:tc>
          <w:tcPr>
            <w:tcW w:w="82" w:type="dxa"/>
            <w:tcBorders/>
            <w:shd w:fill="CCEEFF" w:val="clear"/>
            <w:vAlign w:val="center"/>
          </w:tcPr>
          <w:p>
            <w:pPr>
              <w:pStyle w:val="TableContents"/>
              <w:bidi w:val="0"/>
              <w:spacing w:before="0" w:after="283"/>
              <w:ind w:left="0" w:right="0" w:hanging="0"/>
              <w:jc w:val="left"/>
            </w:pPr>
            <w: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ind w:left="0" w:right="0" w:hanging="0"/>
              <w:jc w:val="left"/>
            </w:pPr>
            <w: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37"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jc w:val="left"/>
            </w:pPr>
            <w:r>
              <w:t> </w:t>
            </w:r>
          </w:p>
        </w:tc>
        <w:tc>
          <w:tcPr>
            <w:tcW w:w="77" w:type="dxa"/>
            <w:tcBorders/>
            <w:shd w:fill="CCEEFF" w:val="clear"/>
            <w:vAlign w:val="center"/>
          </w:tcPr>
          <w:p>
            <w:pPr>
              <w:pStyle w:val="TableContents"/>
              <w:bidi w:val="0"/>
              <w:spacing w:before="0" w:after="283"/>
              <w:ind w:left="0" w:right="0" w:hanging="0"/>
              <w:jc w:val="left"/>
            </w:pPr>
            <w: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00" w:type="dxa"/>
            <w:tcBorders/>
            <w:shd w:fill="CCEEFF" w:val="clear"/>
            <w:vAlign w:val="center"/>
          </w:tcPr>
          <w:p>
            <w:pPr>
              <w:pStyle w:val="TableContents"/>
              <w:bidi w:val="0"/>
              <w:spacing w:before="0" w:after="283"/>
              <w:jc w:val="left"/>
            </w:pPr>
            <w:r>
              <w:t> </w:t>
            </w:r>
          </w:p>
        </w:tc>
      </w:tr>
      <w:tr>
        <w:tc>
          <w:tcPr>
            <w:tcW w:w="32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pPr>
            <w: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54" w:type="dxa"/>
            <w:tcBorders/>
            <w:shd w:fill="FFFFFF" w:val="clear"/>
            <w:vAlign w:val="center"/>
          </w:tcPr>
          <w:p>
            <w:pPr>
              <w:pStyle w:val="TableContents"/>
              <w:bidi w:val="0"/>
              <w:spacing w:before="0" w:after="283"/>
              <w:jc w:val="left"/>
            </w:pPr>
            <w:r>
              <w:t> </w:t>
            </w:r>
          </w:p>
        </w:tc>
        <w:tc>
          <w:tcPr>
            <w:tcW w:w="82" w:type="dxa"/>
            <w:tcBorders/>
            <w:shd w:fill="FFFFFF" w:val="clear"/>
            <w:vAlign w:val="center"/>
          </w:tcPr>
          <w:p>
            <w:pPr>
              <w:pStyle w:val="TableContents"/>
              <w:bidi w:val="0"/>
              <w:spacing w:before="0" w:after="283"/>
              <w:jc w:val="left"/>
            </w:pPr>
            <w: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37" w:type="dxa"/>
            <w:tcBorders/>
            <w:shd w:fill="FFFFFF" w:val="clear"/>
            <w:vAlign w:val="center"/>
          </w:tcPr>
          <w:p>
            <w:pPr>
              <w:pStyle w:val="TableContents"/>
              <w:bidi w:val="0"/>
              <w:spacing w:before="0" w:after="283"/>
              <w:jc w:val="left"/>
            </w:pPr>
            <w:r>
              <w:t> </w:t>
            </w:r>
          </w:p>
        </w:tc>
        <w:tc>
          <w:tcPr>
            <w:tcW w:w="77" w:type="dxa"/>
            <w:tcBorders/>
            <w:shd w:fill="FFFFFF" w:val="clear"/>
            <w:vAlign w:val="center"/>
          </w:tcPr>
          <w:p>
            <w:pPr>
              <w:pStyle w:val="TableContents"/>
              <w:bidi w:val="0"/>
              <w:spacing w:before="0" w:after="283"/>
              <w:jc w:val="left"/>
            </w:pPr>
            <w: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00" w:type="dxa"/>
            <w:tcBorders/>
            <w:shd w:fill="FFFFFF" w:val="clear"/>
            <w:vAlign w:val="center"/>
          </w:tcPr>
          <w:p>
            <w:pPr>
              <w:pStyle w:val="TableContents"/>
              <w:bidi w:val="0"/>
              <w:spacing w:before="0" w:after="283"/>
              <w:jc w:val="left"/>
            </w:pPr>
            <w:r>
              <w:t> </w:t>
            </w:r>
          </w:p>
        </w:tc>
      </w:tr>
      <w:tr>
        <w:tc>
          <w:tcPr>
            <w:tcW w:w="32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jc w:val="left"/>
            </w:pPr>
            <w: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pPr>
            <w: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pPr>
            <w:r>
              <w:t> </w:t>
            </w:r>
          </w:p>
        </w:tc>
        <w:tc>
          <w:tcPr>
            <w:tcW w:w="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pPr>
            <w:r>
              <w:t> </w:t>
            </w:r>
          </w:p>
        </w:tc>
        <w:tc>
          <w:tcPr>
            <w:tcW w:w="6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unit sales and revenues for new heavy-duty, new medium-duty, new light-duty and used commercial vehicles and our absorption ratio (revenue in millions):</w:t>
      </w:r>
    </w:p>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2420"/>
        <w:gridCol w:w="60"/>
        <w:gridCol w:w="125"/>
        <w:gridCol w:w="635"/>
        <w:gridCol w:w="185"/>
        <w:gridCol w:w="60"/>
        <w:gridCol w:w="125"/>
        <w:gridCol w:w="635"/>
        <w:gridCol w:w="185"/>
        <w:gridCol w:w="60"/>
        <w:gridCol w:w="73"/>
        <w:gridCol w:w="592"/>
        <w:gridCol w:w="245"/>
        <w:gridCol w:w="60"/>
        <w:gridCol w:w="125"/>
        <w:gridCol w:w="635"/>
        <w:gridCol w:w="185"/>
        <w:gridCol w:w="60"/>
        <w:gridCol w:w="125"/>
        <w:gridCol w:w="635"/>
        <w:gridCol w:w="185"/>
        <w:gridCol w:w="60"/>
        <w:gridCol w:w="79"/>
        <w:gridCol w:w="586"/>
        <w:gridCol w:w="245"/>
      </w:tblGrid>
      <w:tr>
        <w:tc>
          <w:tcPr>
            <w:tcW w:w="242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675"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675"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5" w:type="dxa"/>
            <w:tcBorders/>
            <w:vAlign w:val="center"/>
          </w:tcPr>
          <w:p>
            <w:pPr>
              <w:pStyle w:val="TableContents"/>
              <w:bidi w:val="0"/>
              <w:spacing w:before="0" w:after="283"/>
              <w:jc w:val="left"/>
            </w:pPr>
            <w:r>
              <w:t> </w:t>
            </w:r>
          </w:p>
        </w:tc>
      </w:tr>
      <w:tr>
        <w:tc>
          <w:tcPr>
            <w:tcW w:w="242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6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24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267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245" w:type="dxa"/>
            <w:tcBorders/>
            <w:vAlign w:val="center"/>
          </w:tcPr>
          <w:p>
            <w:pPr>
              <w:pStyle w:val="TableContents"/>
              <w:bidi w:val="0"/>
              <w:spacing w:before="0" w:after="283"/>
              <w:jc w:val="left"/>
            </w:pPr>
            <w:r>
              <w:t> </w:t>
            </w:r>
          </w:p>
        </w:tc>
      </w:tr>
      <w:tr>
        <w:tc>
          <w:tcPr>
            <w:tcW w:w="242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ind w:left="0" w:right="0" w:hanging="0"/>
              <w:jc w:val="left"/>
            </w:pPr>
            <w:r>
              <w:t> </w:t>
            </w:r>
          </w:p>
        </w:tc>
      </w:tr>
      <w:t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Vehicle unit sales: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3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3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c>
          <w:tcPr>
            <w:tcW w:w="592"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3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3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jc w:val="left"/>
            </w:pPr>
            <w:r>
              <w:t> </w:t>
            </w:r>
          </w:p>
        </w:tc>
        <w:tc>
          <w:tcPr>
            <w:tcW w:w="586"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ind w:left="0" w:right="0" w:hanging="0"/>
              <w:jc w:val="left"/>
            </w:pPr>
            <w:r>
              <w:t> </w:t>
            </w:r>
          </w:p>
        </w:tc>
      </w:tr>
      <w:t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heavy-duty vehicles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3,994</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ind w:left="0" w:right="0" w:hanging="0"/>
              <w:jc w:val="left"/>
            </w:pPr>
            <w: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10,318</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9,696</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medium-duty vehicles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3,819</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ind w:left="0" w:right="0" w:hanging="0"/>
              <w:jc w:val="left"/>
            </w:pPr>
            <w: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9,370</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10,559</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vehicles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2,841</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245"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c>
          <w:tcPr>
            <w:tcW w:w="24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new vehicle unit sales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9,231</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ind w:left="0" w:right="0" w:hanging="0"/>
              <w:jc w:val="left"/>
            </w:pPr>
            <w: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22,529</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22,286</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vehicles</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ind w:left="0" w:right="0" w:hanging="0"/>
              <w:jc w:val="left"/>
            </w:pPr>
            <w: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5,566</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5,298</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Vehicle revenue:</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3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3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jc w:val="left"/>
            </w:pPr>
            <w:r>
              <w:t> </w:t>
            </w:r>
          </w:p>
        </w:tc>
        <w:tc>
          <w:tcPr>
            <w:tcW w:w="592"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3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635" w:type="dxa"/>
            <w:tcBorders/>
            <w:shd w:fill="CCEEFF" w:val="clear"/>
            <w:vAlign w:val="center"/>
          </w:tcPr>
          <w:p>
            <w:pPr>
              <w:pStyle w:val="TableContents"/>
              <w:bidi w:val="0"/>
              <w:spacing w:before="0" w:after="283"/>
              <w:jc w:val="left"/>
            </w:pPr>
            <w:r>
              <w:t> </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jc w:val="left"/>
            </w:pPr>
            <w:r>
              <w:t> </w:t>
            </w:r>
          </w:p>
        </w:tc>
        <w:tc>
          <w:tcPr>
            <w:tcW w:w="586" w:type="dxa"/>
            <w:tcBorders/>
            <w:shd w:fill="CCEEFF" w:val="clear"/>
            <w:vAlign w:val="center"/>
          </w:tcPr>
          <w:p>
            <w:pPr>
              <w:pStyle w:val="TableContents"/>
              <w:bidi w:val="0"/>
              <w:spacing w:before="0" w:after="283"/>
              <w:jc w:val="left"/>
            </w:pPr>
            <w:r>
              <w:t> </w:t>
            </w:r>
          </w:p>
        </w:tc>
        <w:tc>
          <w:tcPr>
            <w:tcW w:w="245" w:type="dxa"/>
            <w:tcBorders/>
            <w:shd w:fill="CCEEFF" w:val="clear"/>
            <w:vAlign w:val="center"/>
          </w:tcPr>
          <w:p>
            <w:pPr>
              <w:pStyle w:val="TableContents"/>
              <w:bidi w:val="0"/>
              <w:spacing w:before="0" w:after="283"/>
              <w:ind w:left="0" w:right="0" w:hanging="0"/>
              <w:jc w:val="left"/>
            </w:pPr>
            <w:r>
              <w:t> </w:t>
            </w:r>
          </w:p>
        </w:tc>
      </w:tr>
      <w:t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heavy-duty vehicles</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701.7</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591.8</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ind w:left="0" w:right="0" w:hanging="0"/>
              <w:jc w:val="left"/>
            </w:pPr>
            <w: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1,875.7</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1,849.8</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medium-duty vehicles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436.2</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393.8</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ind w:left="0" w:right="0" w:hanging="0"/>
              <w:jc w:val="left"/>
            </w:pPr>
            <w: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1,080.7</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1,185.9</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vehicles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245"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c>
          <w:tcPr>
            <w:tcW w:w="24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new vehicle revenue</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1,212.4</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1,035.2</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ind w:left="0" w:right="0" w:hanging="0"/>
              <w:jc w:val="left"/>
            </w:pPr>
            <w: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3,112.6</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3,157.2</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vehicle revenue</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ind w:left="0" w:right="0" w:hanging="0"/>
              <w:jc w:val="left"/>
            </w:pPr>
            <w: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296.5</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w:t>
            </w:r>
          </w:p>
        </w:tc>
        <w:tc>
          <w:tcPr>
            <w:tcW w:w="185"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79"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242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vehicle revenue(1)</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3" w:type="dxa"/>
            <w:tcBorders/>
            <w:shd w:fill="CCEEFF" w:val="clear"/>
            <w:vAlign w:val="center"/>
          </w:tcPr>
          <w:p>
            <w:pPr>
              <w:pStyle w:val="TableContents"/>
              <w:bidi w:val="0"/>
              <w:spacing w:before="0" w:after="283"/>
              <w:ind w:left="0" w:right="0" w:hanging="0"/>
              <w:jc w:val="left"/>
            </w:pPr>
            <w:r>
              <w:t> </w:t>
            </w:r>
          </w:p>
        </w:tc>
        <w:tc>
          <w:tcPr>
            <w:tcW w:w="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185"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79" w:type="dxa"/>
            <w:tcBorders/>
            <w:shd w:fill="CCEEFF" w:val="clear"/>
            <w:vAlign w:val="center"/>
          </w:tcPr>
          <w:p>
            <w:pPr>
              <w:pStyle w:val="TableContents"/>
              <w:bidi w:val="0"/>
              <w:spacing w:before="0" w:after="283"/>
              <w:ind w:left="0" w:right="0" w:hanging="0"/>
              <w:jc w:val="left"/>
            </w:pPr>
            <w: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Dealership absorption ratio:</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73" w:type="dxa"/>
            <w:tcBorders/>
            <w:shd w:fill="FFFFFF" w:val="clear"/>
            <w:vAlign w:val="center"/>
          </w:tcPr>
          <w:p>
            <w:pPr>
              <w:pStyle w:val="TableContents"/>
              <w:bidi w:val="0"/>
              <w:spacing w:before="0" w:after="283"/>
              <w:ind w:left="0" w:right="0" w:hanging="0"/>
              <w:jc w:val="left"/>
            </w:pPr>
            <w:r>
              <w:t> </w:t>
            </w:r>
          </w:p>
        </w:tc>
        <w:tc>
          <w:tcPr>
            <w:tcW w:w="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125" w:type="dxa"/>
            <w:tcBorders/>
            <w:shd w:fill="FFFFFF" w:val="clear"/>
            <w:vAlign w:val="center"/>
          </w:tcPr>
          <w:p>
            <w:pPr>
              <w:pStyle w:val="TableContents"/>
              <w:bidi w:val="0"/>
              <w:spacing w:before="0" w:after="283"/>
              <w:ind w:left="0" w:right="0" w:hanging="0"/>
              <w:jc w:val="left"/>
            </w:pPr>
            <w: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pPr>
            <w:r>
              <w:t> </w:t>
            </w:r>
          </w:p>
        </w:tc>
        <w:tc>
          <w:tcPr>
            <w:tcW w:w="79" w:type="dxa"/>
            <w:tcBorders/>
            <w:shd w:fill="FFFFFF" w:val="clear"/>
            <w:vAlign w:val="center"/>
          </w:tcPr>
          <w:p>
            <w:pPr>
              <w:pStyle w:val="TableContents"/>
              <w:bidi w:val="0"/>
              <w:spacing w:before="0" w:after="283"/>
              <w:ind w:left="0" w:right="0" w:hanging="0"/>
              <w:jc w:val="left"/>
            </w:pPr>
            <w: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tbl>
      <w:tblPr>
        <w:tblW w:w="5465" w:type="dxa"/>
        <w:jc w:val="left"/>
        <w:tblInd w:w="0" w:type="dxa"/>
        <w:tblLayout w:type="fixed"/>
        <w:tblCellMar>
          <w:top w:w="0" w:type="dxa"/>
          <w:left w:w="0" w:type="dxa"/>
          <w:bottom w:w="0" w:type="dxa"/>
          <w:right w:w="0" w:type="dxa"/>
        </w:tblCellMar>
      </w:tblPr>
      <w:tblGrid>
        <w:gridCol w:w="5465"/>
      </w:tblGrid>
      <w:tr>
        <w:tc>
          <w:tcPr>
            <w:tcW w:w="5465" w:type="dxa"/>
            <w:tcBorders/>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 Includes sales of truck bodies, trailers and other new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Key Performance Indicator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Absorption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 uses several performance metrics to evaluate the performance of our commercial vehicle dealerships and considers Rush Truck Centers’ “absorption ratio” to be of critical importance. Our absorption ratio is calculated by dividing the gross profit from our Aftermarket Products and Services departments by the overhead expenses of all a dealership’s departments, except for the selling expenses of the new and used commercial vehicle departments and carrying costs of new and used commercial vehicle inventory. When 100% absorption is achieved, the gross profit from the sale of a commercial vehicle, after sales commissions and inventory carrying costs, directly impacts operating profit. Our commercial vehicle dealerships achieved a 128.3% absorption ratio for the third quarter of 2026, compared to a 129.3% absorption ratio for the third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Months Ended September 30, 2026 Compared to Three Months Ended September 30, 2025</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revenues increased $232.3 million, or 12.4%, in the third quarter of 2026, compared to the third quarter of 2025. The increase in revenues was primarily the result of increased demand for new commercial vehicles.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Aftermarket Products and Services revenues totaled $679.9 million in the third quarter of 2026, up 5.8% from the third quarter of 2025. The increase in aftermarket products and service revenues was primarily the result of increased customer demand and the acquisition of a total of ten new dealerships in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from sales of new and used commercial vehicles increased $190.1 million, or 16.7%, in the third quarter of 2026, compared to the third quarter of 2025. The increase in revenues from the sale of new and used commercial vehicles was primarily the result of increased demand from our over-the-road customers, resulting from improved freight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3,880 new Class 8 vehicles in the United States during the third quarter of 2026, a 24.4% increase compared to 3,120 new Class 8 trucks sold in the third quarter of 2025. We sold 114 new Class 8 heavy-duty trucks in the third quarter of 2026 in Canada, a 20.0% increase compared to 95 new Class 8 heavy-duty trucks in the third quarter of 2025. The increase in revenues from the sale of new Class 8 commercial vehicles was primarily the result of increased demand from our over-the-road customers, resulting from improved freight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3,265 new Class 4 through 7 medium-duty commercial vehicles in the United States, including 347 buses, during the third quarter of 2026, a 9.6% increase compared to 2,979 new medium-duty commercial vehicles, including 369 buses, in the third quarter of 2025. We sold 554 Class 5 through 7 medium-duty commercial vehicles, including 435 buses, in the third quarter of 2026 in Canada, a 23.7% increase compared to 448 new Class 5 through 7 commercial vehicles in the third quarter of 2025. The increase in new medium-duty commercial vehicle sales was primarily the result of the timing of deliveries to our larger fleet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1,418 light-duty vehicles in the third quarter of 2026, a 65.3% increase compared to 858 light-duty vehicles sold in the third quarter of 2025. We sold 1,913 used commercial vehicles in the third quarter of 2026, a 5.5% increase compared to 1,814 used commercial vehicles in the third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Commercial vehicle lease and rental revenues increased $4.9 million, or 5.3%, in the third quarter of 2026, compared to the third quarter of 2025. This increase in commercial vehicle lease and rental revenues was primarily the result of increased rental rates and rental fleet utilization.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increased $0.6 million, or 10.2%, in the third quarter of 2026, compared to the third quarter of 2025. Finance and insurance revenues have limited direct costs and, therefore, contribute a disproportionate share of our operating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increased $12.2 million, or 3.3%, in the third quarter of 2026, compared to the third quarter of 2025.  Gross profit as a percentage of sales decreased to 18.3% in the third quarter of 2026, from 19.9% in the third quarter of 2025.  Overall gross profit margins decreased primarily due to an increase in truck sales to large over-the-road fleet customers and aftermarket sales to our national account customers. Commercial vehicle sales, a lower margin revenue item, increased as a percentage of total revenues to 62.7% in the third quarter of 2026, from 60.3% in the third quarter of 2025.  Aftermarket Products and Services revenues, a higher margin revenue item, decreased as a percentage of total revenues to 32.2% in the third quarter of 2026, from 34.2% in the third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our Aftermarket Products and Services operations decreased to 35.8% in the third quarter of 2026, from 37.2% in the third quarter of 2025. The decrease was primarily a result of an increase in the percentage of sales to national account customers and a competitive pricing environment. Gross profit for the Aftermarket Products and Services departments increased to $243.1 million in the third quarter of 2026, from $238.9 million in the third quarter of 2025. Historically, gross margins on parts sales range from 28% to 30% and gross margins on service and collision center operations range from 66% to 68%. We expect blended gross margins on Aftermarket Products and Services operations to range from 35.5% to 37.5% in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8 truck sales decreased to 7.2% in the third quarter of 2026, from 9.2% in the third quarter of 2025. The decrease was primarily a result of a change in customer mix. For 2026, we expect overall gross margins from new Class 8 truck sales of approximately 7.5% to 8.0%.</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4 through 7 commercial vehicle sales decreased to 7.6% in the third quarter of 2026, from 8.1% in the third quarter of 2025. For 2026, we expect overall gross margins from new medium-duty commercial vehicle sales of approximately 7.5% to 8.0%, but this will largely depend upon the mix of purchasers and types of vehicles sold.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used commercial vehicle sales increased to 14.9% in the third quarter of 2026, from 10.9% in the third quarter of 2025. We expect margins on used commercial vehicles to range between 12.0% and 15.0% in 2026. The increase was primarily a result of healthy demand and a change in sales mix to more retail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truck lease and rental sales increased to 29.0% in the third quarter of 2026, from 27.7% in the third quarter of 2025. We expect gross margins from lease and rental sales of approximately 28.0% to 30.0%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and other income, as described above, have limited direct costs and, therefore, contribute a disproportionate share of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(“SG&amp;A”) expenses increased $3.6 million, or 1.4%, in the third quarter of 2026, compared to the third quarter of 2025. SG&amp;A expenses as a percentage of total revenues decreased to 12.3% in the third quarter of 2026, from 13.6% in the third quarter of 2025. Annual SG&amp;A expenses as a percentage of total revenues have ranged from approximately 12.4% to 14.4% over the last five years. For 2026, we expect SG&amp;A expenses as a percentage of total revenues to range from 13.0% to 14.0%. For 2026, we expect the selling portion of SG&amp;A expenses to be approximately 25.0% to 30.0% of new and used commercial vehicle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interest expense decreased $6.0 million, or 50.8%, in the third quarter of 2026, compared to the third quarter of 2025. We expect net interest expense in 2026 to decrease compared to 2025, but the amount of the change will depend on inventory levels, interest rate fluctuations and the amount of cash available to make prepayments on our floor plan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factors described above, income before income taxes increased $14.5 million, or 16.5%, in the third quarter of 2026, compared to the third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taxes increased $3.4 million, or 16.9%, in the third quarter of 2026, compared to the third quarter of 2025. We provided for taxes at a 23.0% effective rate in the third quarter of 2026 compared to 22.9% in the third quarter of 2025. We expect our effective tax rate to be approximately 22.0% to 23.0% of pretax income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Nine Months Ended September 30, 2026 Compared to Nine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stated below, our variance explanations and future expectations with regard to the items discussed in this section are set forth in the discussion of the Three Months Ended September 30, 2026 Compared to Three Months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revenues increased $34.7 million, or 0.6%, in the first nine months of 2026, compared to the first nine months of 2025.</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Aftermarket Products and Services revenues increased $54.8 million, or 2.9%, in the first nine months of 2026, compared to the first nine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from the sales of new and used commercial vehicles decreased $28.1 million, or 0.8%, in the first nine months of 2026, compared to the first nine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10,016 new Class 8 heavy-duty vehicles in the United States during the first nine months of 2026, a 6.0% increase compared to 9,452 new Class 8 heavy-duty trucks in the first nine months of 2025. According to A.C.T. Research, new U.S. Class 8 truck sales decreased 5.6% in the first nine months of 2026, compared to the first nine months of 2025. We sold 302 new Class 8 heavy-duty trucks in the first nine months of 2026 in Canada, a 23.8% increase compared to 244 new Class 8 heavy-duty trucks in the first nine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8,465 new Class 4 through 7 medium-duty commercial vehicles in the United States, including 892 buses, during the first nine months of 2026, a 13.7% decrease compared to 9,809 new Class 4 through 7 medium-duty commercial vehicles, including 1,038 buses, in the first nine months of 2025. A.C.T. Research estimates that unit sales of new Class 4 through 7 commercial vehicles, including buses, in the U.S. decreased 6.2% in the first nine months of 2026, compared to the first nine months of 2025. We sold 905 new Class 5 through 7 medium-duty commercial vehicles, including 607 buses, during the first nine months of 2026 in Canada, a 20.7% increase compared to 750 new Class 5 through 7 medium-duty commercial vehicles, including 291 buses, in the first nine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2,841 new light-duty commercial vehicles during the first nine months of 2026, a 39.9% increase compared to 2,031 light-duty commercial vehicles in the first nine months of 2025. We sold 5,566 used commercial vehicles during the first nine months of 2026, a 5.1% increase compared to 5,298 used commercial vehicles in the first nine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Truck lease and rental revenues increased $8.6 million, or 3.1%, in the first nine months of 2026, compared to the first nine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increased $1.8 million, or 10.9%, in the first nine months of 2026, compared to the first nine months of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decreased $19.7 million, or 1.8%, in the first nine months of 2026, compared to the first nine months of 2025. Gross profit as a percentage of sales decreased to 19.2% in the first nine months of 2026, from 19.6% in the first nine months of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our Aftermarket Products and Services operations decreased to 36.0% in the first nine months of 2026, from 36.9% in the first nine months of 2025. Gross profit for the Aftermarket Products and Services departments was $702.0 million in the first nine months of 2026, compared to $699.4 million in the first nine months of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8 truck sales decreased to 7.6% in the first nine months of 2026, from 8.9% in the first nine months of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4 through 7 medium-duty commercial vehicle sales remained flat at 7.8% in the first nine months of 2026, compared to the first nine months of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used commercial vehicle sales decreased to 13.6% in the first nine months of 2026, from 14.1% in the first nine months of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truck lease and rental sales increased to 28.4% in the first nine months of 2026, from 28.2% in the first nine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SG&amp;A expenses decreased $9.1 million, or 1.2%, in the first nine months of 2026, compared to the first nine months of 2025. SG&amp;A expenses equaled 13.1% of total revenue in the first nine months of 2026, compared to 13.4% in the first nine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interest expense decreased $20.8 million, or 55.8%, in the first nine months of 2026, compared to the first nine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before income taxes increased $6.5 million, or 2.5%, in the first nine months of 2026, compared to the first nine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taxes decreased $5.7 million in the first nine months of 2026, compared to the first nine months of 2025. We provided for taxes at a 20.9% rate in the first nine months of 2026 and a 23.6% rate in the first nine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September 30, 2026, we had working capital of approximately $713.2 million, including $226.4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various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continually evaluate our liquidity and capital resources based upon: (i) our cash, cash equivalents and restricted cash on hand; (ii) the funds that we expect to generate through future operations; (iii) current and expected borrowing availability under our secured line of credit, working capital lines of credit available under certain of our credit agreements and our floor plan credit agreements;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 secured line of credit that provides for a maximum borrowing of $25.0 million. There were no advances outstanding under this secured line of credit on September 30, 2026, however, $19.7 million was pledged to secure various letters of credit related to self-insurance products, leaving $5.3 million available for future borrowings as of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floor plan credit agreement with BMO Bank N.A. (“BMO Bank”), and the lenders signatory thereto and our credit agreement with Wells Fargo Bank, National Association (“WF”) require us to satisfy various financial ratios such as the leverage ratio, the asset coverage ratio, and the fixed charge coverage ratio. As of September 30, 2026, we were compliant with all debt covenants related to our floor plan credit agreement with BMO Bank and our credit agreement with WF. We do not anticipate any breach of these covenants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purchase or lease commercial vehicles worth approximately $300.0 million to $325.0 million for our leasing operations during 2026, depending on customer demand. We also expect to make capital expenditures for the purchase of recurring items such as computers, shop tools and equipment and company vehicles of approximately $35.0 million to $40.0 million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third quarter of 2026, we paid a cash dividend of $16.4 million. Additionally, on October 27, 2026, our Board of Directors declared a cash dividend of $0.14 per share of Class A and Class B common stock, to be paid on December 10, 2026, to all shareholders of record as of November 11, 2026.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3, 2025,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2025. Repurchases, if any, are made at times and in amounts we deem appropriate and may be made through open-market transactions at prevailing market prices, privately negotiated transactions or by other means in accordance with federal securities laws. The actual timing, number of shares and value of repurchases under the stock repurchase program will be determined by management at its discretion and will depend on a number of factors, including market conditions, stock price and other factors. As of September 30, 2026, we had repurchased $15.8 million of our shares of common stock under the current stock repurchase program, excluding federal excise tax. The current stock repurchase program expires on December 31, 2026, and may be suspended or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Inflation Reduction Act of 2022 imposed a nondeductible 1% excise tax on the net value of certain stock repurchases made after December 31, 2022. We have reflected the applicable excise tax in treasury stock as part of the cost basis of the stock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under contract to construct a new facility in Conroe, Texas with a current budget of $20.0 million. We are currently under contract to construct a new facility in Hickory, North Carolina with a current budget of $13.8 million. We are currently under contract to construct a new facility in Jefferson, Georgia with a current budget of $13.3 million. We are also under contract to purchase certain dealership facilities in Brantford and London, Ontario, for approximately $21 million CAD, in connection with RTC Canada's acquisition of Carrier Truck Center, Inc. The purchases are expected to close in the next 6 to 24 months, subject to the completion of certain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2555"/>
        <w:gridCol w:w="60"/>
        <w:gridCol w:w="125"/>
        <w:gridCol w:w="755"/>
        <w:gridCol w:w="80"/>
        <w:gridCol w:w="60"/>
        <w:gridCol w:w="125"/>
        <w:gridCol w:w="755"/>
        <w:gridCol w:w="80"/>
      </w:tblGrid>
      <w:tr>
        <w:tc>
          <w:tcPr>
            <w:tcW w:w="255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190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80" w:type="dxa"/>
            <w:tcBorders/>
            <w:vAlign w:val="center"/>
          </w:tcPr>
          <w:p>
            <w:pPr>
              <w:pStyle w:val="TableContents"/>
              <w:bidi w:val="0"/>
              <w:spacing w:before="0" w:after="283"/>
              <w:jc w:val="left"/>
            </w:pPr>
            <w:r>
              <w:t> </w:t>
            </w:r>
          </w:p>
        </w:tc>
      </w:tr>
      <w:tr>
        <w:tc>
          <w:tcPr>
            <w:tcW w:w="2555"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pPr>
            <w:r>
              <w:t> </w:t>
            </w:r>
          </w:p>
        </w:tc>
        <w:tc>
          <w:tcPr>
            <w:tcW w:w="60" w:type="dxa"/>
            <w:tcBorders/>
            <w:vAlign w:val="center"/>
          </w:tcPr>
          <w:p>
            <w:pPr>
              <w:pStyle w:val="TableContents"/>
              <w:bidi w:val="0"/>
              <w:spacing w:before="0" w:after="283"/>
              <w:ind w:left="0" w:right="0" w:hanging="0"/>
              <w:jc w:val="left"/>
            </w:pPr>
            <w: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pPr>
            <w:r>
              <w:t> </w:t>
            </w:r>
          </w:p>
        </w:tc>
      </w:tr>
      <w:t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75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jc w:val="left"/>
            </w:pPr>
            <w:r>
              <w:t> </w:t>
            </w:r>
          </w:p>
        </w:tc>
        <w:tc>
          <w:tcPr>
            <w:tcW w:w="755" w:type="dxa"/>
            <w:tcBorders/>
            <w:shd w:fill="CCEEFF" w:val="clear"/>
            <w:vAlign w:val="center"/>
          </w:tcPr>
          <w:p>
            <w:pPr>
              <w:pStyle w:val="TableContents"/>
              <w:bidi w:val="0"/>
              <w:spacing w:before="0" w:after="283"/>
              <w:jc w:val="left"/>
            </w:pPr>
            <w:r>
              <w:t> </w:t>
            </w:r>
          </w:p>
        </w:tc>
        <w:tc>
          <w:tcPr>
            <w:tcW w:w="80" w:type="dxa"/>
            <w:tcBorders/>
            <w:shd w:fill="CCEEFF" w:val="clear"/>
            <w:vAlign w:val="center"/>
          </w:tcPr>
          <w:p>
            <w:pPr>
              <w:pStyle w:val="TableContents"/>
              <w:bidi w:val="0"/>
              <w:spacing w:before="0" w:after="283"/>
              <w:jc w:val="left"/>
            </w:pPr>
            <w:r>
              <w:t> </w:t>
            </w:r>
          </w:p>
        </w:tc>
      </w:tr>
      <w:tr>
        <w:tc>
          <w:tcPr>
            <w:tcW w:w="25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257,577</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ind w:left="0" w:right="0" w:hanging="0"/>
              <w:jc w:val="left"/>
            </w:pPr>
            <w: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748,945</w:t>
            </w:r>
          </w:p>
        </w:tc>
        <w:tc>
          <w:tcPr>
            <w:tcW w:w="80" w:type="dxa"/>
            <w:tcBorders/>
            <w:shd w:fill="FFFFFF" w:val="clear"/>
            <w:vAlign w:val="center"/>
          </w:tcPr>
          <w:p>
            <w:pPr>
              <w:pStyle w:val="TableContents"/>
              <w:bidi w:val="0"/>
              <w:spacing w:before="0" w:after="283"/>
              <w:jc w:val="left"/>
            </w:pPr>
            <w:r>
              <w:t> </w:t>
            </w:r>
          </w:p>
        </w:tc>
      </w:tr>
      <w:tr>
        <w:tc>
          <w:tcPr>
            <w:tcW w:w="25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(328,201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pPr>
            <w:r>
              <w:t> </w:t>
            </w:r>
          </w:p>
        </w:tc>
        <w:tc>
          <w:tcPr>
            <w:tcW w:w="125" w:type="dxa"/>
            <w:tcBorders/>
            <w:shd w:fill="CCEEFF" w:val="clear"/>
            <w:vAlign w:val="center"/>
          </w:tcPr>
          <w:p>
            <w:pPr>
              <w:pStyle w:val="TableContents"/>
              <w:bidi w:val="0"/>
              <w:spacing w:before="0" w:after="283"/>
              <w:ind w:left="0" w:right="0" w:hanging="0"/>
              <w:jc w:val="left"/>
            </w:pPr>
            <w: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(330,217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5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84,584</w:t>
            </w:r>
          </w:p>
        </w:tc>
        <w:tc>
          <w:tcPr>
            <w:tcW w:w="80" w:type="dxa"/>
            <w:tcBorders/>
            <w:shd w:fill="FFFFFF" w:val="clear"/>
            <w:vAlign w:val="center"/>
          </w:tcPr>
          <w:p>
            <w:pPr>
              <w:pStyle w:val="TableContents"/>
              <w:bidi w:val="0"/>
              <w:spacing w:before="0" w:after="283"/>
              <w:jc w:val="left"/>
            </w:pPr>
            <w:r>
              <w:t> </w:t>
            </w:r>
          </w:p>
        </w:tc>
        <w:tc>
          <w:tcPr>
            <w:tcW w:w="60" w:type="dxa"/>
            <w:tcBorders/>
            <w:shd w:fill="FFFFFF" w:val="clear"/>
            <w:vAlign w:val="center"/>
          </w:tcPr>
          <w:p>
            <w:pPr>
              <w:pStyle w:val="TableContents"/>
              <w:bidi w:val="0"/>
              <w:spacing w:before="0" w:after="283"/>
              <w:jc w:val="left"/>
            </w:pPr>
            <w: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pPr>
            <w: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(404,945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cash</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13,960</w:t>
            </w:r>
          </w:p>
        </w:tc>
        <w:tc>
          <w:tcPr>
            <w:tcW w:w="80" w:type="dxa"/>
            <w:tcBorders/>
            <w:shd w:fill="CCEEFF" w:val="clear"/>
            <w:vAlign w:val="center"/>
          </w:tcPr>
          <w:p>
            <w:pPr>
              <w:pStyle w:val="TableContents"/>
              <w:bidi w:val="0"/>
              <w:spacing w:before="0" w:after="283"/>
              <w:jc w:val="left"/>
            </w:pPr>
            <w:r>
              <w:t> </w:t>
            </w:r>
          </w:p>
        </w:tc>
        <w:tc>
          <w:tcPr>
            <w:tcW w:w="60" w:type="dxa"/>
            <w:tcBorders/>
            <w:shd w:fill="CCEEFF" w:val="clear"/>
            <w:vAlign w:val="center"/>
          </w:tcPr>
          <w:p>
            <w:pPr>
              <w:pStyle w:val="TableContents"/>
              <w:bidi w:val="0"/>
              <w:spacing w:before="0" w:after="283"/>
              <w:ind w:left="0" w:right="0" w:hanging="0"/>
              <w:jc w:val="left"/>
            </w:pPr>
            <w: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13,783</w:t>
            </w:r>
          </w:p>
        </w:tc>
        <w:tc>
          <w:tcPr>
            <w:tcW w:w="80" w:type="dxa"/>
            <w:tcBorders/>
            <w:shd w:fill="CCEEFF" w:val="clear"/>
            <w:vAlign w:val="center"/>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from operating activities include net income adjusted for non-cash items and the effects of changes in working capital.  During the first nine months of 2026, operating activities resulted in net cash provided by operations of $257.6 million.  Net cash provided by operating activities primarily consisted of $213.6 million in net income, as well as non-cash adjustments related to depreciation and amortization of $195.5 million, stock-based compensation of $26.6 million, and cash inflows for deferred income tax expense of $8.5 million.  Cash used by operating activities included cash used in floor plan financing of $120.0 million and an aggregate of $67.4 million net changes in operating assets and liabilities.  Included in the net change in operating assets and liabilities were cash inflows of $68.7 million from the increase in accounts payable and $28.8 million from the decrease in other assets, which were offset by cash outflows of $109.5 million from the increase in inventories, $2.8 million from the decrease in accrued expenses, $50.7 million from the increase in accounts receivable and $1.9 million from the decrease in customer deposits.  Most of our commercial vehicle inventory is financed through our floor plan credit agreements, though we may pay cash for certain of our commercial vehicle inventory from time-to-time depending on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nine months of 2025, operating activities resulted in net cash provided by operations of $748.9 million.  Net cash provided by operating activities primarily consisted of $201.3 million in net income, as well as non-cash adjustments related to depreciation and amortization of $188.4 million, stock-based compensation of $26.8 million and cash inflows for deferred income tax expense of $19.3 million.  Cash provided by operating activities included an aggregate of $314.5 million net changes in operating assets and liabilities.  Included in the net change in operating assets and liabilities were cash inflows of $36.3 million from the increase in accounts payable, $82.6 million from the decrease in accounts receivable $206.5 million from the decrease in inventories and $15.4 million from an increase in accrued expenses which were offset by cash outflows of $18.3 million from the increase in other assets, $8.0 million from the decrease in customer deposits.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nine months of 2026, cash used in investing activities was $328.2 million. Cash flows used in investing activities consist primarily of cash used for the acquisition of property and equipment and the acquisition of new businesses. See Note 12 of the Notes to Consolidated Financial Statements for a detailed discussion of the business acquisitions. Acquisition of property and equipment totaled $230.0 million during the first nine months of 2026 and consisted primarily of purchases of machine and shop equipment, furniture and fixtures, real estate and facilities, improvements to our existing dealership facilities and $198.4 million for purchases of rental and lease vehicles for our rental and leasing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nine months of 2025, cash used in investing activities was $330.2 million. Cash flows used in investing activities consist primarily of cash used for the acquisition of property and equipment and the acquisition of new businesses. See Note 12 of the Notes to Consolidated Financial Statements for a detailed discussion of the business acquisitions. Acquisition of property and equipment totaled $318.8 million during the first nine months of 2025 and consisted primarily of purchases of machine and shop equipment, furniture and fixtures, real estate and facilities, improvements to our existing dealership facilities and $261.3 million for purchases of rental and lease vehicles for our rental and leasing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from financing activities include borrowings and repayments of long-term debt and net proceeds of floor plan notes payable, non-trade. During the first nine months of 2026, financing activities resulted in net cash provided by financing activities of $84.6 million, primarily related to $85.2 million from borrowings of long-term debt, $28.6 million from the issuance of shares related to equity compensation plans and $162.8 million from net draws on floor plan notes payable, non-trade. These cash inflows were offset by cash outflows of $121.4 million used for principal repayments of long-term debt and finance lease obligations, $14.6 million used for repurchases of common stock, $9.5 million for taxes paid related to net share settlement of equity awards and $46.9 million used for payment of 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nine months of 2025, financing activities resulted in net cash used in financing activities of $404.9 million, primarily related to $838.7 million from borrowings of long-term debt and $15.0 million from the issuance of shares related to equity compensation plans. These cash inflows were offset by cash outflows of $91.6 million from net payments on floor plan notes payable, non-trade, $997.5 million used for principal repayments of long-term debt and finance lease obligations, $124.4 million used for repurchases of common stock, $1.4 million for taxes paid related to net share settlement of equity awards and $43.7 million used for payment of cash dividends.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14, 2021, we entered into a credit agreement with WF, the lenders signatory thereto (the “WF Lenders”) and WF as administrative agent (the “WF Credit Agreement”).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Secured Overnight Financing Rate (“SOFR”) plus (i) 1.25% or (ii) 1.5%, depending on our consolidated leverage ratio or (B) on or after the SOFR transition date, SOFR plus (i) 1.25% or (ii) 1.5%, depending on our consolidated leverage ratio. The WF Credit Agreement expires on September 30, 2028, although, upon the occurrence and during the continuance of an event of default, the agent has the right to, or upon the request of the required lenders must, terminate the commitments and declare all outstanding principal and interest due and payable. On September 30, 2026, we had approximately $278,000 outstanding under the WF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 2023, we entered into that certain Second Amended and Restated Inventory Financing and Purchase Money Security Agreement with PACCAR Leasing Company (“PLC”), a division of Paccar Financing Corp. (“PFC”) (the “PLC Agreement”). Pursuant to the terms of the PLC Agreement (as amended), PLC agreed to make up to $500.0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$220.0 million or we are subject to an unused commitment fee 0.20% of the amount by which the average daily outstanding principal balance of the loan during such quarter is less than $220.0 million. Advances under the PLC Agreement bear interest per annum, payable on the fifth day of the following month, at our option, at either (A) the prime rate, minus 2.10%, provided that the floating rate of interest is subject to a floor of 0%, or (B) a fixed rate, to be determined between us and PLC in each instance of borrowing at a fixed rate. The PLC Agreement expires on December 16, 2029, although either party has the right to terminate the PLC Agreement at any time upon 360 days written notice. On September 30, 2026, we had approximately $220.0 million outstanding under the PLC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31, 2022, RTC Canada entered into that certain BMO Revolving Lease and Rental Credit Agreement (the “RTC Canada Revolving Credit Agreement”) with Bank of Montreal (“BMO”). Pursuant to the terms of the RTC Canada Revolving Credit Agreement (as amended), BMO agreed to make up to $120.0 million CAD of revolving credit loans to finance certain of RTC Canada’s capital expenditures, including commercial vehicle purchases and other equipment to be leased or rented through RTC Canada’s Idealease franchise. Borrowings under the RTC Canada Revolving Credit Agreement bear interest per annum payable monthly at Canadian Overnight Repo Rate Average (“CORRA”), plus 1.72%. The RTC Canada Revolving Credit Agreement expires on December 31, 2029. On September 30, 2026, we had approximately $67.1 million CAD outstanding under the RTC Canada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15 to 60 days. If the commercial vehicle is not sold within the interest-free period, we finance the commercial vehicle under the credit agreements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16, 2024, we entered into the Inventory Financing and Purchase Money Security Agreement (the “PFC Floor Plan Credit Agreement”) with PFC. The PFC Floor Plan Credit Agreement includes an aggregate loan commitment of $800.0 million for the financing of new Peterbilt trucks, tractors, chassis and other related equipment manufactured by Peterbilt. Borrowings under the PFC Floor Plan Credit Agreement bear interest per annum, payable on the fifth day of the following month, at our option, at either (A) the prime rate, minus 2.10%, provided that the floating rate of interest is subject to a floor of 0%, or (B) a fixed rate, to be determined between us and PFC in each instance of borrowing at a fixed rate. The PFC Floor Plan Credit Agreement expires on December 16, 2029, although either party has the right to terminate the PFC Floor Plan Credit Agreement at any time upon 360 days written notice. On September 30, 2026, we had approximately $260.0 million outstanding under the PFC Floor Plan Credit Agreement. We utilize our excess cash on hand to pay down our outstanding borrowings under the PFC Floor Plan Credit Agreement, and the resulting interest earned is recognized as an offset to our gross interest expense under the PFC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14, 2021, we entered into the Fifth Amended and Restated Credit Agreement (the “BMO Floor Plan Credit Agreement”) (as amended) with BMO Bank and the lenders signatory thereto. This agreement previously had an aggregate loan commitment of $1.0 billion, which we utilized to finance all of our new and used commercial vehicle inventory in the United States until we entered into the PFC Floor Plan Credit Agreement. On December 12, 2024, we entered into an amendment of the BMO Floor Plan Credit Agreement. Pursuant to the terms of the amendment, the aggregate loan commitment was reduced from $1.0 billion to $675.0 million and the definition of “Inventory” was amended to remove trucks, tractors and chassis manufactured by Peterbilt. We utilize the BMO Floor Plan Credit Agreement to finance all of our new commercial vehicle inventory, except for equipment manufactured by Peterbilt, and all of our used commercial vehicle inventory and for working capital purposes. Borrowings under the BMO Floor Plan Credit Agreement bear interest per annum, payable monthly, at (A) the greater of (i) zero and (ii) Term SOFR (as defined in the agreement), plus (B) 1.20%. Borrowings under the BMO Floor Plan Credit Agreement for the purchase of used inventory are limited to $150.0 million and loans for working capital purposes are limited to $200.0 million. The BMO Floor Plan Credit Agreement expires on December 31, 2029, although BMO Bank has the right to terminate at any time upon 360 days written notice and we may terminate at any time, subject to specified limited exceptions. On September 30, 2026, we had approximately $358.9 million outstanding under the BMO Floor Plan Credit Agreement. We utilize our excess cash on hand to pay down our outstanding borrowings under the BMO Floor Plan Credit Agreement, and the resulting interest earned is recognized as an offset to our gross interest expense under the BMO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15, 2022, RTC Canada entered into that certain Amended and Restated BMO Wholesale Financing and Security Agreement (the “RTC Canada Floor Plan Credit Agreement”) with BMO. The RTC Canada Floor Plan Credit Agreement as amended previously included an aggregate loan commitment of $171.7 million CAD of revolving credit loans to finance RTC Canada’s purchase of new and used vehicle inventory. On June 15, 2026 the RTC Canada Floor Plan Credit Agreement was amended to increase the loan commitment to $194.7 million CAD.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required to be made in CAD dollars under the RTC Canada Floor Plan Credit Agreement bear interest per annum, payable monthly, at CORRA, plus 1.27%. Advances required to be made in USD dollars bear interest per annum, payable monthly, at SOFR, plus 1.20%. The RTC Canada Floor Plan Credit Agreement expires on December 31, 2029. On September 30, 2026, we had approximately $153.7 million CAD outstanding under the RTC Canada Floor Plan Credit Agreement. We utilize our excess cash on hand to pay down our outstanding borrowings under the RTC Canada Floor Plan Credit Agreement, and the resulting interest earned is recognized as an offset to our gross interest expense under the RTC Canada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30, 2026, our backlog of commercial vehicle orders was approximately $1,490.1 million, as compared to a backlog of commercial vehicle orders of approximately $647.6 million on September 30, 2025.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model ordered. We sell the majority of our new heavy-duty commercial vehicles by customer special order and we sell the majority of our medium- and light-duty commercial vehicles out of inventory. Orders from several of our major fleet customers are included in our backlog as of September 30, 2026, and we expect to fill the majority of our backlog orders by the end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Cyclicality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the last ten years, total U.S. retail sales of new Class 8 commercial vehicles have ranged from a low of approximately 196,000 in 2020,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Environmental Standards and Other Governmental Regulations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also have liability in connection with materials that were sent to third 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subject to federal and state laws and regulations governing commercial vehicle engine emissions. Many of these laws and regulations are rapidly changing and subject to multiple legal challenges. The EPA and the National Highway Traffic Safety Administration on behalf of the U.S. Department of Transportation, previously issued rules associated with reducing greenhouse gas (“GHG”) and Nitrogen Oxide (“NOx”) emissions and improving the fuel efficiency of medium and heavy-duty trucks and buses. The California Air Resources Board (“CARB”) adopted its own rules and regulations intended to reduce NOx emissions and phase out the sale of internal combustion vehicles (“ICE”) over time. A group of seventeen U.S. states and the District of Columbia entered into a joint memorandum of understanding that adopted at least a portion of CARB’s emissions regulations and committed each of them to work together to advance and accelerate the market for electric Class 3 through 8 commercial vehicles. Six of the states are states where we operate new commercial vehicle dealerships: California, Colorado, Nevada, New Mexico, North Carolina, and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Recently, the EPA announced that it was repealing its prior findings that GHG emissions endanger public human health and that vehicle emissions contribute to that endangerment (the “Endangerment Finding”). In connection with its repeal of the Endangerment Finding, the EPA also eliminated all GHG engine emission standards for vehicle model years 2012 and beyond. With respect to CARB’s rules and regulations, Congress recently rescinded the federal preemption waivers that the EPA previously granted. These waivers were the basis of CARB’s ability to enact its own engine emissions regulations. The EPA’s repeal of the Endangerment Finding and Congress’ rescission of CARB’s federal preemption waivers are subject to multiple legal challenges, and it is unclear when such challenges will be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One of the EPA’s engine emissions rules that we believe will become effective is referred to herein as the “EPA 2027 Low NOx” rule. This rule requires commercial vehicle engines to emit significantly less NOx than most such engines do today. The EPA 2027 Low NOx rule is expected to become effective in the first half of 2027 with respect to the currently proposed emissions limits but is expected to be modified with respect to certain other provisions, such as reducing the required duration of manufacturers’ engine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July 2023, CARB and various manufacturers of heavy-duty commercial vehicles and engines, including PACCAR, International,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It is not clear at this time if the Clean Truck Partnership will survive in light of Congress’ rescission of CARB’s federal preemption waivers, in addition to legal challenges to CARB’s authority to regulate engine emissions and to the Clean Truck Partnership itself.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CARB were to prevail in its legal challenges against Congress’ rescission of the EPA’s federal preemption waivers, attaining the goals stated by CARB and the signers of the joint memorandum would likely require the adoption of new laws and regulations, and we cannot predict at this time whether such laws and regulations would have an adverse impact on our business. With respect to the legal challenges to the EPA’s repeal of the Endangerment Finding, we do not expect that any successful challenge will result in the prior GHG rules and regulations becoming effective in the near term. However, if the EPA’s policies change in the future and a new endangerment finding is issued with respect to GHG emissions, then the EPA may create a new rule similar to the one it created in 2024, which could require commercial vehicle engine manufacturers to manufacture an increasing percentage of “zero-emission” vehicles over time, which would likely reduce the number of diesel ICE vehicles that would be manufactured over the relevant period. Additional EPA regulations, or CARB’s ability to enforce its existing regulations, could result in increased compliance costs, additional operating restrictions, or changes in demand for our products and services,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1" w:name="p1i3"/>
      <w:bookmarkEnd w:id="11"/>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exposed to market risk through interest rates related to the PFC Floor Plan Credit Agreement, the BMO Floor Plan Credit Agreement, the WF Credit Agreement, the PLC Agreement, the RTC Canada Revolving Credit Agreement, the RTC Canada Floor Plan Credit Agreement and discount rates related to finance sales. The PFC Floor Plan Credit Agreement and the PLC Agreement are both based on the prime rate. The BMO Floor Plan Credit Agreement and the WF Credit Agreement are both based on SOFR. The RTC Canada Revolving Credit Agreement and RTC Canada Floor Plan Credit Agreement are both based on CORRA. As of September 30, 2026, we had outstanding floor plan borrowings and lease and rental fleet borrowings in the aggregate amount of $996.2 million. Assuming an increase or decrease in the prime rate, SOFR or CORRA of 100 basis points, annual interest expense could correspondingly increase or decrease by approximately $10.0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2" w:name="p1i4"/>
      <w:bookmarkEnd w:id="12"/>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September 30, 2026,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has been no change in our internal control over financial reporting that occurred during the three months ended September 30, 2026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3" w:name="p2"/>
      <w:bookmarkEnd w:id="13"/>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p2i1"/>
      <w:bookmarkEnd w:id="14"/>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we are involved in litigation arising out of our operations in the ordinary course of business. We maintain liability insurance through self-insurance, a captive insurer and third-party excess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September 30, 2026, we believe that there are no pending claims or litigation, individually or in the aggregate, that are reasonably possible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p2i1a"/>
      <w:bookmarkEnd w:id="15"/>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we attempt to identify, manage and mitigate risks and uncertainties associated with our business to the extent practical under the circumstances, some level of risk and uncertainty will always be present. Item 1A, Part I of our 2025 Annual Report on Form 10-K (the “2025 Annual Report”) describes some of the risks and uncertainties associated with our business that have the potential to materially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has been no material change in our risk factors disclosed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p2i2"/>
      <w:bookmarkEnd w:id="16"/>
      <w:r>
        <w:rPr>
          <w:rFonts w:ascii="Times New Roman" w:hAnsi="Times New Roman"/>
          <w:b/>
          <w:caps w:val="false"/>
          <w:smallCaps w:val="false"/>
          <w:sz w:val="20"/>
        </w:rPr>
        <w:t xml:space="preserve">ITEM 2. Unregistered Sales of Equity Securities and Use of Proceeds.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did not make any unregistered sales of equity securities during the third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summary of the Company’s stock repurchase activity for the third quarter of 2026 is as follows:</w:t>
      </w:r>
    </w:p>
    <w:p>
      <w:pPr>
        <w:pStyle w:val="TextBody"/>
        <w:bidi w:val="0"/>
        <w:spacing w:before="0" w:after="0"/>
        <w:ind w:left="0" w:right="0" w:hanging="0"/>
        <w:jc w:val="left"/>
      </w:pPr>
      <w:r>
        <w:t> </w:t>
      </w:r>
    </w:p>
    <w:tbl>
      <w:tblPr>
        <w:tblW w:w="8531" w:type="dxa"/>
        <w:jc w:val="left"/>
        <w:tblInd w:w="0" w:type="dxa"/>
        <w:tblLayout w:type="fixed"/>
        <w:tblCellMar>
          <w:top w:w="0" w:type="dxa"/>
          <w:left w:w="0" w:type="dxa"/>
          <w:bottom w:w="28" w:type="dxa"/>
          <w:right w:w="0" w:type="dxa"/>
        </w:tblCellMar>
      </w:tblPr>
      <w:tblGrid>
        <w:gridCol w:w="2855"/>
        <w:gridCol w:w="60"/>
        <w:gridCol w:w="99"/>
        <w:gridCol w:w="1165"/>
        <w:gridCol w:w="60"/>
        <w:gridCol w:w="60"/>
        <w:gridCol w:w="193"/>
        <w:gridCol w:w="756"/>
        <w:gridCol w:w="245"/>
        <w:gridCol w:w="60"/>
        <w:gridCol w:w="99"/>
        <w:gridCol w:w="1165"/>
        <w:gridCol w:w="60"/>
        <w:gridCol w:w="60"/>
        <w:gridCol w:w="161"/>
        <w:gridCol w:w="1358"/>
        <w:gridCol w:w="75"/>
      </w:tblGrid>
      <w:tr>
        <w:tc>
          <w:tcPr>
            <w:tcW w:w="28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tcMar>
              <w:bottom w:w="0" w:type="dxa"/>
            </w:tcMar>
            <w:vAlign w:val="center"/>
          </w:tcPr>
          <w:p>
            <w:pPr>
              <w:pStyle w:val="TableContents"/>
              <w:bidi w:val="0"/>
              <w:spacing w:before="0" w:after="283"/>
              <w:ind w:left="0" w:right="0" w:hanging="0"/>
              <w:jc w:val="left"/>
            </w:pPr>
            <w:r>
              <w:t> </w:t>
            </w:r>
          </w:p>
        </w:tc>
        <w:tc>
          <w:tcPr>
            <w:tcW w:w="12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of Shares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(1)(2)(3)(4)</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9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Paid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Share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245"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12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Purchased as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Publicly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Announced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Plans 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Programs (2)</w:t>
            </w:r>
          </w:p>
        </w:tc>
        <w:tc>
          <w:tcPr>
            <w:tcW w:w="6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ind w:left="0" w:right="0" w:hanging="0"/>
              <w:jc w:val="left"/>
            </w:pPr>
            <w:r>
              <w:t> </w:t>
            </w:r>
          </w:p>
        </w:tc>
        <w:tc>
          <w:tcPr>
            <w:tcW w:w="151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Approximate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Dollar Value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Shares that May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Yet be Purchased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 the Plans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 Programs (3)</w:t>
            </w:r>
          </w:p>
        </w:tc>
        <w:tc>
          <w:tcPr>
            <w:tcW w:w="75" w:type="dxa"/>
            <w:tcBorders/>
            <w:tcMar>
              <w:bottom w:w="0" w:type="dxa"/>
            </w:tcMar>
            <w:vAlign w:val="center"/>
          </w:tcPr>
          <w:p>
            <w:pPr>
              <w:pStyle w:val="TableContents"/>
              <w:bidi w:val="0"/>
              <w:spacing w:before="0" w:after="283"/>
              <w:jc w:val="left"/>
            </w:pPr>
            <w:r>
              <w:t> </w:t>
            </w:r>
          </w:p>
        </w:tc>
      </w:tr>
      <w:tr>
        <w:tc>
          <w:tcPr>
            <w:tcW w:w="28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1 – July 31, 2026</w:t>
            </w:r>
          </w:p>
        </w:tc>
        <w:tc>
          <w:tcPr>
            <w:tcW w:w="60" w:type="dxa"/>
            <w:tcBorders/>
            <w:shd w:fill="CCEEFF" w:val="clear"/>
            <w:tcMar>
              <w:bottom w:w="0" w:type="dxa"/>
            </w:tcMar>
            <w:vAlign w:val="center"/>
          </w:tcPr>
          <w:p>
            <w:pPr>
              <w:pStyle w:val="TableContents"/>
              <w:bidi w:val="0"/>
              <w:spacing w:before="0" w:after="283"/>
              <w:jc w:val="left"/>
            </w:pPr>
            <w:r>
              <w:t> </w:t>
            </w:r>
          </w:p>
        </w:tc>
        <w:tc>
          <w:tcPr>
            <w:tcW w:w="99" w:type="dxa"/>
            <w:tcBorders/>
            <w:shd w:fill="CCEEFF" w:val="clear"/>
            <w:tcMar>
              <w:bottom w:w="0" w:type="dxa"/>
            </w:tcMar>
            <w:vAlign w:val="center"/>
          </w:tcPr>
          <w:p>
            <w:pPr>
              <w:pStyle w:val="TableContents"/>
              <w:bidi w:val="0"/>
              <w:spacing w:before="0" w:after="283"/>
              <w:ind w:left="0" w:right="0" w:hanging="0"/>
              <w:jc w:val="left"/>
            </w:pPr>
            <w:r>
              <w:t> </w:t>
            </w:r>
          </w:p>
        </w:tc>
        <w:tc>
          <w:tcPr>
            <w:tcW w:w="11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9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99" w:type="dxa"/>
            <w:tcBorders/>
            <w:shd w:fill="CCEEFF" w:val="clear"/>
            <w:tcMar>
              <w:bottom w:w="0" w:type="dxa"/>
            </w:tcMar>
            <w:vAlign w:val="center"/>
          </w:tcPr>
          <w:p>
            <w:pPr>
              <w:pStyle w:val="TableContents"/>
              <w:bidi w:val="0"/>
              <w:spacing w:before="0" w:after="283"/>
              <w:ind w:left="0" w:right="0" w:hanging="0"/>
              <w:jc w:val="left"/>
            </w:pPr>
            <w:r>
              <w:t> </w:t>
            </w:r>
          </w:p>
        </w:tc>
        <w:tc>
          <w:tcPr>
            <w:tcW w:w="11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ind w:left="0" w:right="0" w:hanging="0"/>
              <w:jc w:val="left"/>
            </w:pPr>
            <w:r>
              <w:t> </w:t>
            </w:r>
          </w:p>
        </w:tc>
        <w:tc>
          <w:tcPr>
            <w:tcW w:w="16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144,510,789</w:t>
            </w:r>
          </w:p>
        </w:tc>
        <w:tc>
          <w:tcPr>
            <w:tcW w:w="75" w:type="dxa"/>
            <w:tcBorders/>
            <w:shd w:fill="CCEEFF" w:val="clear"/>
            <w:tcMar>
              <w:bottom w:w="0" w:type="dxa"/>
            </w:tcMar>
            <w:vAlign w:val="center"/>
          </w:tcPr>
          <w:p>
            <w:pPr>
              <w:pStyle w:val="TableContents"/>
              <w:bidi w:val="0"/>
              <w:spacing w:before="0" w:after="283"/>
              <w:jc w:val="left"/>
            </w:pPr>
            <w:r>
              <w:t> </w:t>
            </w:r>
          </w:p>
        </w:tc>
      </w:tr>
      <w:tr>
        <w:tc>
          <w:tcPr>
            <w:tcW w:w="28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August 1 – August 31, 2026</w:t>
            </w:r>
          </w:p>
        </w:tc>
        <w:tc>
          <w:tcPr>
            <w:tcW w:w="60" w:type="dxa"/>
            <w:tcBorders/>
            <w:shd w:fill="FFFFFF" w:val="clear"/>
            <w:tcMar>
              <w:bottom w:w="0" w:type="dxa"/>
            </w:tcMar>
            <w:vAlign w:val="center"/>
          </w:tcPr>
          <w:p>
            <w:pPr>
              <w:pStyle w:val="TableContents"/>
              <w:bidi w:val="0"/>
              <w:spacing w:before="0" w:after="283"/>
              <w:jc w:val="left"/>
            </w:pPr>
            <w:r>
              <w:t> </w:t>
            </w:r>
          </w:p>
        </w:tc>
        <w:tc>
          <w:tcPr>
            <w:tcW w:w="99" w:type="dxa"/>
            <w:tcBorders/>
            <w:shd w:fill="FFFFFF" w:val="clear"/>
            <w:tcMar>
              <w:bottom w:w="0" w:type="dxa"/>
            </w:tcMar>
            <w:vAlign w:val="center"/>
          </w:tcPr>
          <w:p>
            <w:pPr>
              <w:pStyle w:val="TableContents"/>
              <w:bidi w:val="0"/>
              <w:spacing w:before="0" w:after="283"/>
              <w:ind w:left="0" w:right="0" w:hanging="0"/>
              <w:jc w:val="left"/>
            </w:pPr>
            <w:r>
              <w:t> </w:t>
            </w:r>
          </w:p>
        </w:tc>
        <w:tc>
          <w:tcPr>
            <w:tcW w:w="11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93" w:type="dxa"/>
            <w:tcBorders/>
            <w:shd w:fill="FFFFFF" w:val="clear"/>
            <w:tcMar>
              <w:bottom w:w="0" w:type="dxa"/>
            </w:tcMar>
            <w:vAlign w:val="center"/>
          </w:tcPr>
          <w:p>
            <w:pPr>
              <w:pStyle w:val="TableContents"/>
              <w:bidi w:val="0"/>
              <w:spacing w:before="0" w:after="283"/>
              <w:ind w:left="0" w:right="0" w:hanging="0"/>
              <w:jc w:val="left"/>
            </w:pPr>
            <w:r>
              <w:t> </w:t>
            </w:r>
          </w:p>
        </w:tc>
        <w:tc>
          <w:tcPr>
            <w:tcW w:w="75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99" w:type="dxa"/>
            <w:tcBorders/>
            <w:shd w:fill="FFFFFF" w:val="clear"/>
            <w:tcMar>
              <w:bottom w:w="0" w:type="dxa"/>
            </w:tcMar>
            <w:vAlign w:val="center"/>
          </w:tcPr>
          <w:p>
            <w:pPr>
              <w:pStyle w:val="TableContents"/>
              <w:bidi w:val="0"/>
              <w:spacing w:before="0" w:after="283"/>
              <w:ind w:left="0" w:right="0" w:hanging="0"/>
              <w:jc w:val="left"/>
            </w:pPr>
            <w:r>
              <w:t> </w:t>
            </w:r>
          </w:p>
        </w:tc>
        <w:tc>
          <w:tcPr>
            <w:tcW w:w="11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61" w:type="dxa"/>
            <w:tcBorders/>
            <w:shd w:fill="FFFFFF" w:val="clear"/>
            <w:tcMar>
              <w:bottom w:w="0" w:type="dxa"/>
            </w:tcMar>
            <w:vAlign w:val="center"/>
          </w:tcPr>
          <w:p>
            <w:pPr>
              <w:pStyle w:val="TableContents"/>
              <w:bidi w:val="0"/>
              <w:spacing w:before="0" w:after="283"/>
              <w:ind w:left="0" w:right="0" w:hanging="0"/>
              <w:jc w:val="left"/>
            </w:pPr>
            <w:r>
              <w:t> </w:t>
            </w:r>
          </w:p>
        </w:tc>
        <w:tc>
          <w:tcPr>
            <w:tcW w:w="13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144,510,789</w:t>
            </w:r>
          </w:p>
        </w:tc>
        <w:tc>
          <w:tcPr>
            <w:tcW w:w="75" w:type="dxa"/>
            <w:tcBorders/>
            <w:shd w:fill="FFFFFF" w:val="clear"/>
            <w:tcMar>
              <w:bottom w:w="0" w:type="dxa"/>
            </w:tcMar>
            <w:vAlign w:val="center"/>
          </w:tcPr>
          <w:p>
            <w:pPr>
              <w:pStyle w:val="TableContents"/>
              <w:bidi w:val="0"/>
              <w:spacing w:before="0" w:after="283"/>
              <w:jc w:val="left"/>
            </w:pPr>
            <w:r>
              <w:t> </w:t>
            </w:r>
          </w:p>
        </w:tc>
      </w:tr>
      <w:tr>
        <w:tc>
          <w:tcPr>
            <w:tcW w:w="28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1 – September 30, 2026</w:t>
            </w:r>
          </w:p>
        </w:tc>
        <w:tc>
          <w:tcPr>
            <w:tcW w:w="60" w:type="dxa"/>
            <w:tcBorders/>
            <w:shd w:fill="CCEEFF" w:val="clear"/>
            <w:tcMar>
              <w:bottom w:w="0" w:type="dxa"/>
            </w:tcMar>
            <w:vAlign w:val="center"/>
          </w:tcPr>
          <w:p>
            <w:pPr>
              <w:pStyle w:val="TableContents"/>
              <w:bidi w:val="0"/>
              <w:spacing w:before="0" w:after="283"/>
              <w:jc w:val="left"/>
            </w:pPr>
            <w:r>
              <w:t> </w:t>
            </w:r>
          </w:p>
        </w:tc>
        <w:tc>
          <w:tcPr>
            <w:tcW w:w="99" w:type="dxa"/>
            <w:tcBorders>
              <w:bottom w:val="single" w:sz="2" w:space="0" w:color="000000"/>
            </w:tcBorders>
            <w:shd w:fill="CCEEFF" w:val="clear"/>
            <w:vAlign w:val="center"/>
          </w:tcPr>
          <w:p>
            <w:pPr>
              <w:pStyle w:val="TableContents"/>
              <w:bidi w:val="0"/>
              <w:spacing w:before="0" w:after="283"/>
              <w:ind w:left="0" w:right="0" w:hanging="0"/>
              <w:jc w:val="left"/>
            </w:pPr>
            <w:r>
              <w:t> </w:t>
            </w:r>
          </w:p>
        </w:tc>
        <w:tc>
          <w:tcPr>
            <w:tcW w:w="11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214,846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93" w:type="dxa"/>
            <w:tcBorders/>
            <w:shd w:fill="CCEEFF" w:val="clear"/>
            <w:tcMar>
              <w:bottom w:w="0" w:type="dxa"/>
            </w:tcMar>
            <w:vAlign w:val="center"/>
          </w:tcPr>
          <w:p>
            <w:pPr>
              <w:pStyle w:val="TableContents"/>
              <w:bidi w:val="0"/>
              <w:spacing w:before="0" w:after="283"/>
              <w:ind w:left="0" w:right="0" w:hanging="0"/>
              <w:jc w:val="left"/>
            </w:pPr>
            <w:r>
              <w:t> </w:t>
            </w:r>
          </w:p>
        </w:tc>
        <w:tc>
          <w:tcPr>
            <w:tcW w:w="75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48.08</w:t>
            </w:r>
          </w:p>
        </w:tc>
        <w:tc>
          <w:tcPr>
            <w:tcW w:w="2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shd w:fill="CCEEFF" w:val="clear"/>
            <w:tcMar>
              <w:bottom w:w="0" w:type="dxa"/>
            </w:tcMar>
            <w:vAlign w:val="center"/>
          </w:tcPr>
          <w:p>
            <w:pPr>
              <w:pStyle w:val="TableContents"/>
              <w:bidi w:val="0"/>
              <w:spacing w:before="0" w:after="283"/>
              <w:jc w:val="left"/>
            </w:pPr>
            <w:r>
              <w:t> </w:t>
            </w:r>
          </w:p>
        </w:tc>
        <w:tc>
          <w:tcPr>
            <w:tcW w:w="99" w:type="dxa"/>
            <w:tcBorders>
              <w:bottom w:val="single" w:sz="2" w:space="0" w:color="000000"/>
            </w:tcBorders>
            <w:shd w:fill="CCEEFF" w:val="clear"/>
            <w:vAlign w:val="center"/>
          </w:tcPr>
          <w:p>
            <w:pPr>
              <w:pStyle w:val="TableContents"/>
              <w:bidi w:val="0"/>
              <w:spacing w:before="0" w:after="283"/>
              <w:ind w:left="0" w:right="0" w:hanging="0"/>
              <w:jc w:val="left"/>
            </w:pPr>
            <w:r>
              <w:t> </w:t>
            </w:r>
          </w:p>
        </w:tc>
        <w:tc>
          <w:tcPr>
            <w:tcW w:w="11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214,846</w:t>
            </w:r>
          </w:p>
        </w:tc>
        <w:tc>
          <w:tcPr>
            <w:tcW w:w="60" w:type="dxa"/>
            <w:tcBorders/>
            <w:shd w:fill="CCEEFF" w:val="clear"/>
            <w:tcMar>
              <w:bottom w:w="0" w:type="dxa"/>
            </w:tcMar>
            <w:vAlign w:val="center"/>
          </w:tcPr>
          <w:p>
            <w:pPr>
              <w:pStyle w:val="TableContents"/>
              <w:bidi w:val="0"/>
              <w:spacing w:before="0" w:after="283"/>
              <w:jc w:val="left"/>
            </w:pPr>
            <w:r>
              <w:t> </w:t>
            </w:r>
          </w:p>
        </w:tc>
        <w:tc>
          <w:tcPr>
            <w:tcW w:w="60" w:type="dxa"/>
            <w:tcBorders/>
            <w:shd w:fill="CCEEFF" w:val="clear"/>
            <w:tcMar>
              <w:bottom w:w="0" w:type="dxa"/>
            </w:tcMar>
            <w:vAlign w:val="center"/>
          </w:tcPr>
          <w:p>
            <w:pPr>
              <w:pStyle w:val="TableContents"/>
              <w:bidi w:val="0"/>
              <w:spacing w:before="0" w:after="283"/>
              <w:jc w:val="left"/>
            </w:pPr>
            <w:r>
              <w:t> </w:t>
            </w:r>
          </w:p>
        </w:tc>
        <w:tc>
          <w:tcPr>
            <w:tcW w:w="161" w:type="dxa"/>
            <w:tcBorders/>
            <w:shd w:fill="CCEEFF" w:val="clear"/>
            <w:tcMar>
              <w:bottom w:w="0" w:type="dxa"/>
            </w:tcMar>
            <w:vAlign w:val="center"/>
          </w:tcPr>
          <w:p>
            <w:pPr>
              <w:pStyle w:val="TableContents"/>
              <w:bidi w:val="0"/>
              <w:spacing w:before="0" w:after="283"/>
              <w:ind w:left="0" w:right="0" w:hanging="0"/>
              <w:jc w:val="left"/>
            </w:pPr>
            <w:r>
              <w:t> </w:t>
            </w:r>
          </w:p>
        </w:tc>
        <w:tc>
          <w:tcPr>
            <w:tcW w:w="13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134,174,786</w:t>
            </w:r>
          </w:p>
        </w:tc>
        <w:tc>
          <w:tcPr>
            <w:tcW w:w="75" w:type="dxa"/>
            <w:tcBorders/>
            <w:shd w:fill="CCEEFF" w:val="clear"/>
            <w:tcMar>
              <w:bottom w:w="0" w:type="dxa"/>
            </w:tcMar>
            <w:vAlign w:val="center"/>
          </w:tcPr>
          <w:p>
            <w:pPr>
              <w:pStyle w:val="TableContents"/>
              <w:bidi w:val="0"/>
              <w:spacing w:before="0" w:after="283"/>
              <w:jc w:val="left"/>
            </w:pPr>
            <w:r>
              <w:t> </w:t>
            </w:r>
          </w:p>
        </w:tc>
      </w:tr>
      <w:tr>
        <w:tc>
          <w:tcPr>
            <w:tcW w:w="28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pPr>
            <w:r>
              <w:t> </w:t>
            </w:r>
          </w:p>
        </w:tc>
        <w:tc>
          <w:tcPr>
            <w:tcW w:w="99"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11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214,846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93" w:type="dxa"/>
            <w:tcBorders/>
            <w:shd w:fill="FFFFFF" w:val="clear"/>
            <w:tcMar>
              <w:bottom w:w="0" w:type="dxa"/>
            </w:tcMar>
            <w:vAlign w:val="center"/>
          </w:tcPr>
          <w:p>
            <w:pPr>
              <w:pStyle w:val="TableContents"/>
              <w:bidi w:val="0"/>
              <w:spacing w:before="0" w:after="283"/>
              <w:jc w:val="left"/>
            </w:pPr>
            <w:r>
              <w:t> </w:t>
            </w:r>
          </w:p>
        </w:tc>
        <w:tc>
          <w:tcPr>
            <w:tcW w:w="756" w:type="dxa"/>
            <w:tcBorders/>
            <w:shd w:fill="FFFFFF" w:val="clear"/>
            <w:tcMar>
              <w:bottom w:w="0" w:type="dxa"/>
            </w:tcMar>
            <w:vAlign w:val="center"/>
          </w:tcPr>
          <w:p>
            <w:pPr>
              <w:pStyle w:val="TableContents"/>
              <w:bidi w:val="0"/>
              <w:spacing w:before="0" w:after="283"/>
              <w:jc w:val="right"/>
            </w:pPr>
            <w:r>
              <w:t> </w:t>
            </w:r>
          </w:p>
        </w:tc>
        <w:tc>
          <w:tcPr>
            <w:tcW w:w="245"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99" w:type="dxa"/>
            <w:tcBorders>
              <w:bottom w:val="single" w:sz="2" w:space="0" w:color="000000"/>
            </w:tcBorders>
            <w:shd w:fill="FFFFFF" w:val="clear"/>
            <w:vAlign w:val="center"/>
          </w:tcPr>
          <w:p>
            <w:pPr>
              <w:pStyle w:val="TableContents"/>
              <w:bidi w:val="0"/>
              <w:spacing w:before="0" w:after="283"/>
              <w:ind w:left="0" w:right="0" w:hanging="0"/>
              <w:jc w:val="left"/>
            </w:pPr>
            <w:r>
              <w:t> </w:t>
            </w:r>
          </w:p>
        </w:tc>
        <w:tc>
          <w:tcPr>
            <w:tcW w:w="11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214,846</w:t>
            </w:r>
          </w:p>
        </w:tc>
        <w:tc>
          <w:tcPr>
            <w:tcW w:w="60" w:type="dxa"/>
            <w:tcBorders/>
            <w:shd w:fill="FFFFFF" w:val="clear"/>
            <w:tcMar>
              <w:bottom w:w="0" w:type="dxa"/>
            </w:tcMar>
            <w:vAlign w:val="center"/>
          </w:tcPr>
          <w:p>
            <w:pPr>
              <w:pStyle w:val="TableContents"/>
              <w:bidi w:val="0"/>
              <w:spacing w:before="0" w:after="283"/>
              <w:jc w:val="left"/>
            </w:pPr>
            <w:r>
              <w:t> </w:t>
            </w:r>
          </w:p>
        </w:tc>
        <w:tc>
          <w:tcPr>
            <w:tcW w:w="60" w:type="dxa"/>
            <w:tcBorders/>
            <w:shd w:fill="FFFFFF" w:val="clear"/>
            <w:tcMar>
              <w:bottom w:w="0" w:type="dxa"/>
            </w:tcMar>
            <w:vAlign w:val="center"/>
          </w:tcPr>
          <w:p>
            <w:pPr>
              <w:pStyle w:val="TableContents"/>
              <w:bidi w:val="0"/>
              <w:spacing w:before="0" w:after="283"/>
              <w:jc w:val="left"/>
            </w:pPr>
            <w:r>
              <w:t> </w:t>
            </w:r>
          </w:p>
        </w:tc>
        <w:tc>
          <w:tcPr>
            <w:tcW w:w="161" w:type="dxa"/>
            <w:tcBorders/>
            <w:shd w:fill="FFFFFF" w:val="clear"/>
            <w:tcMar>
              <w:bottom w:w="0" w:type="dxa"/>
            </w:tcMar>
            <w:vAlign w:val="center"/>
          </w:tcPr>
          <w:p>
            <w:pPr>
              <w:pStyle w:val="TableContents"/>
              <w:bidi w:val="0"/>
              <w:spacing w:before="0" w:after="283"/>
              <w:jc w:val="left"/>
            </w:pPr>
            <w:r>
              <w:t> </w:t>
            </w:r>
          </w:p>
        </w:tc>
        <w:tc>
          <w:tcPr>
            <w:tcW w:w="1358" w:type="dxa"/>
            <w:tcBorders/>
            <w:shd w:fill="FFFFFF" w:val="clear"/>
            <w:tcMar>
              <w:bottom w:w="0" w:type="dxa"/>
            </w:tcMar>
            <w:vAlign w:val="center"/>
          </w:tcPr>
          <w:p>
            <w:pPr>
              <w:pStyle w:val="TableContents"/>
              <w:bidi w:val="0"/>
              <w:spacing w:before="0" w:after="283"/>
              <w:jc w:val="right"/>
            </w:pPr>
            <w:r>
              <w:t> </w:t>
            </w:r>
          </w:p>
        </w:tc>
        <w:tc>
          <w:tcPr>
            <w:tcW w:w="75" w:type="dxa"/>
            <w:tcBorders/>
            <w:shd w:fill="FFFFFF" w:val="clear"/>
            <w:tcMar>
              <w:bottom w:w="0" w:type="dxa"/>
            </w:tcMar>
            <w:vAlign w:val="center"/>
          </w:tcPr>
          <w:p>
            <w:pPr>
              <w:pStyle w:val="TableContents"/>
              <w:bidi w:val="0"/>
              <w:spacing w:before="0" w:after="283"/>
              <w:jc w:val="left"/>
            </w:pPr>
            <w:r>
              <w:t> </w:t>
            </w:r>
          </w:p>
        </w:tc>
      </w:tr>
    </w:tbl>
    <w:p>
      <w:pPr>
        <w:pStyle w:val="TextBody"/>
        <w:bidi w:val="0"/>
        <w:spacing w:before="0" w:after="0"/>
        <w:ind w:left="0" w:right="0" w:hanging="0"/>
        <w:jc w:val="left"/>
      </w:pPr>
      <w:r>
        <w:t> </w:t>
      </w:r>
    </w:p>
    <w:p>
      <w:pPr>
        <w:pStyle w:val="HorizontalLine"/>
        <w:pBdr>
          <w:bottom w:val="double" w:sz="2" w:space="0" w:color="808080"/>
        </w:pBdr>
        <w:bidi w:val="0"/>
        <w:spacing w:before="0" w:after="283"/>
        <w:jc w:val="left"/>
      </w:pPr>
      <w:r/>
    </w:p>
    <w:tbl>
      <w:tblPr>
        <w:tblW w:w="10205" w:type="dxa"/>
        <w:jc w:val="left"/>
        <w:tblInd w:w="0" w:type="dxa"/>
        <w:tblLayout w:type="fixed"/>
        <w:tblCellMar>
          <w:top w:w="0" w:type="dxa"/>
          <w:left w:w="0" w:type="dxa"/>
          <w:bottom w:w="0" w:type="dxa"/>
          <w:right w:w="0" w:type="dxa"/>
        </w:tblCellMar>
      </w:tblPr>
      <w:tblGrid>
        <w:gridCol w:w="231"/>
        <w:gridCol w:w="9974"/>
      </w:tblGrid>
      <w:tr>
        <w:tc>
          <w:tcPr>
            <w:tcW w:w="2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calculation of the average price paid per share does not give effect to any fees, commissions or other costs associated with the repurchase of such shares.</w:t>
            </w:r>
          </w:p>
        </w:tc>
      </w:tr>
    </w:tbl>
    <w:tbl>
      <w:tblPr>
        <w:tblW w:w="8635" w:type="dxa"/>
        <w:jc w:val="left"/>
        <w:tblInd w:w="0" w:type="dxa"/>
        <w:tblLayout w:type="fixed"/>
        <w:tblCellMar>
          <w:top w:w="0" w:type="dxa"/>
          <w:left w:w="0" w:type="dxa"/>
          <w:bottom w:w="0" w:type="dxa"/>
          <w:right w:w="0" w:type="dxa"/>
        </w:tblCellMar>
      </w:tblPr>
      <w:tblGrid>
        <w:gridCol w:w="245"/>
        <w:gridCol w:w="8390"/>
      </w:tblGrid>
      <w:t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83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shares represent Class A Common Stock and Class B Common Stock repurchased by the Company.</w:t>
            </w:r>
          </w:p>
        </w:tc>
      </w:tr>
    </w:tbl>
    <w:tbl>
      <w:tblPr>
        <w:tblW w:w="10205" w:type="dxa"/>
        <w:jc w:val="left"/>
        <w:tblInd w:w="0" w:type="dxa"/>
        <w:tblLayout w:type="fixed"/>
        <w:tblCellMar>
          <w:top w:w="0" w:type="dxa"/>
          <w:left w:w="0" w:type="dxa"/>
          <w:bottom w:w="0" w:type="dxa"/>
          <w:right w:w="0" w:type="dxa"/>
        </w:tblCellMar>
      </w:tblPr>
      <w:tblGrid>
        <w:gridCol w:w="209"/>
        <w:gridCol w:w="9996"/>
      </w:tblGrid>
      <w:tr>
        <w:tc>
          <w:tcPr>
            <w:tcW w:w="2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9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3, 2025, we announced the approval of a new stock repurchase program, effective December 3, 2025, authorizing management to repurchase, from time to time, up to an aggregate of $150.0 million of our shares of Class A common stock and/or Class B common stock.</w:t>
            </w:r>
          </w:p>
        </w:tc>
      </w:tr>
    </w:tbl>
    <w:tbl>
      <w:tblPr>
        <w:tblW w:w="10205" w:type="dxa"/>
        <w:jc w:val="left"/>
        <w:tblInd w:w="0" w:type="dxa"/>
        <w:tblLayout w:type="fixed"/>
        <w:tblCellMar>
          <w:top w:w="0" w:type="dxa"/>
          <w:left w:w="0" w:type="dxa"/>
          <w:bottom w:w="0" w:type="dxa"/>
          <w:right w:w="0" w:type="dxa"/>
        </w:tblCellMar>
      </w:tblPr>
      <w:tblGrid>
        <w:gridCol w:w="223"/>
        <w:gridCol w:w="9982"/>
      </w:tblGrid>
      <w:tr>
        <w:tc>
          <w:tcPr>
            <w:tcW w:w="22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99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Represents 202,222 shares of Class A Common Stock at an average price paid per share of $47.83 and 12,624 shares of Class B Common Stock at an average price paid per share of $52.04.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pPr>
      <w:r>
        <w:t> </w:t>
      </w:r>
    </w:p>
    <w:p>
      <w:pPr>
        <w:pStyle w:val="TextBody"/>
        <w:bidi w:val="0"/>
        <w:spacing w:before="0" w:after="0"/>
        <w:ind w:left="720" w:right="0" w:hanging="720"/>
        <w:jc w:val="both"/>
        <w:rPr>
          <w:rFonts w:ascii="Times New Roman" w:hAnsi="Times New Roman"/>
          <w:b/>
          <w:caps w:val="false"/>
          <w:smallCaps w:val="false"/>
          <w:sz w:val="20"/>
        </w:rPr>
      </w:pPr>
      <w:bookmarkStart w:id="17" w:name="p2i3"/>
      <w:bookmarkEnd w:id="17"/>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8" w:name="p2i4"/>
      <w:bookmarkEnd w:id="18"/>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both"/>
        <w:rPr>
          <w:rFonts w:ascii="Times New Roman" w:hAnsi="Times New Roman"/>
          <w:b/>
          <w:caps w:val="false"/>
          <w:smallCaps w:val="false"/>
          <w:sz w:val="20"/>
        </w:rPr>
      </w:pPr>
      <w:bookmarkStart w:id="19" w:name="p2i5"/>
      <w:bookmarkEnd w:id="19"/>
      <w:r>
        <w:rPr>
          <w:rFonts w:ascii="Times New Roman" w:hAnsi="Times New Roman"/>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2026,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pStyle w:val="TextBody"/>
        <w:bidi w:val="0"/>
        <w:spacing w:before="0" w:after="283"/>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0" w:name="p2i6"/>
      <w:bookmarkEnd w:id="20"/>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1"/>
        <w:gridCol w:w="60"/>
        <w:gridCol w:w="9154"/>
      </w:tblGrid>
      <w:tr>
        <w:tc>
          <w:tcPr>
            <w:tcW w:w="99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Number</w:t>
            </w:r>
          </w:p>
        </w:tc>
        <w:tc>
          <w:tcPr>
            <w:tcW w:w="60" w:type="dxa"/>
            <w:tcBorders/>
            <w:tcMar>
              <w:bottom w:w="0" w:type="dxa"/>
            </w:tcMar>
            <w:vAlign w:val="center"/>
          </w:tcPr>
          <w:p>
            <w:pPr>
              <w:pStyle w:val="TableContents"/>
              <w:bidi w:val="0"/>
              <w:spacing w:before="0" w:after="283"/>
              <w:jc w:val="left"/>
            </w:pPr>
            <w:r>
              <w:t> </w:t>
            </w:r>
          </w:p>
        </w:tc>
        <w:tc>
          <w:tcPr>
            <w:tcW w:w="9154"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 Title</w:t>
            </w:r>
            <w:r>
              <w:rPr>
                <w:rFonts w:ascii="Times New Roman" w:hAnsi="Times New Roman"/>
                <w:caps w:val="false"/>
                <w:smallCaps w:val="false"/>
                <w:sz w:val="20"/>
              </w:rPr>
              <w:t>         </w:t>
            </w:r>
          </w:p>
        </w:tc>
      </w:tr>
      <w:tr>
        <w:tc>
          <w:tcPr>
            <w:tcW w:w="9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both"/>
            </w:pPr>
            <w:hyperlink r:id="rId2">
              <w:r>
                <w:rPr>
                  <w:rStyle w:val="InternetLink"/>
                  <w:rFonts w:ascii="Times New Roman" w:hAnsi="Times New Roman"/>
                  <w:caps w:val="false"/>
                  <w:smallCaps w:val="false"/>
                  <w:sz w:val="20"/>
                </w:rPr>
                <w:t>Restated Articles of Incorporation of Rush Enterprises, Inc. (incorporated herein by reference to Exhibit 3.1 of the Company’s Quarterly Report on Form 10-Q (File No. 000-20797) for the quarter ended June 30, 2008)</w:t>
              </w:r>
            </w:hyperlink>
          </w:p>
        </w:tc>
      </w:tr>
      <w:tr>
        <w:tc>
          <w:tcPr>
            <w:tcW w:w="9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both"/>
            </w:pPr>
            <w:hyperlink r:id="rId3">
              <w:r>
                <w:rPr>
                  <w:rStyle w:val="InternetLink"/>
                  <w:rFonts w:ascii="Times New Roman" w:hAnsi="Times New Roman"/>
                  <w:caps w:val="false"/>
                  <w:smallCaps w:val="false"/>
                  <w:sz w:val="20"/>
                </w:rPr>
                <w:t>Certificate of Amendment to the Restated Articles of Incorporation of Rush Enterprises, Inc. (incorporated herein by reference to Exhibit 3.2 of the Company’s Quarterly Report on Form 10-Q (File No. 000-20797) for the quarter ended June 30, 2023)</w:t>
              </w:r>
            </w:hyperlink>
          </w:p>
        </w:tc>
      </w:tr>
      <w:tr>
        <w:tc>
          <w:tcPr>
            <w:tcW w:w="9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both"/>
            </w:pPr>
            <w:hyperlink r:id="rId4">
              <w:r>
                <w:rPr>
                  <w:rStyle w:val="InternetLink"/>
                  <w:rFonts w:ascii="Times New Roman" w:hAnsi="Times New Roman"/>
                  <w:caps w:val="false"/>
                  <w:smallCaps w:val="false"/>
                  <w:sz w:val="20"/>
                </w:rPr>
                <w:t>Rush Enterprises, Inc. Second Amended and Restated Bylaws (incorporated herein by reference to Exhibit 3.1 of the Company’s Current Report on Form 8-K (File No. 000-20797) filed December 3, 2025)</w:t>
              </w:r>
            </w:hyperlink>
          </w:p>
        </w:tc>
      </w:tr>
      <w:tr>
        <w:tc>
          <w:tcPr>
            <w:tcW w:w="9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left"/>
            </w:pPr>
            <w:hyperlink w:anchor="ex_1035419.htm">
              <w:r>
                <w:rPr>
                  <w:rStyle w:val="InternetLink"/>
                  <w:rFonts w:ascii="Times New Roman" w:hAnsi="Times New Roman"/>
                  <w:caps w:val="false"/>
                  <w:smallCaps w:val="false"/>
                  <w:sz w:val="20"/>
                </w:rPr>
                <w:t>Certification of CEO pursuant to Rules 13a-14(a) and 15d-14(a) adopted pursuant to Section 302 of the Sarbanes-Oxley Act of 2002.</w:t>
              </w:r>
            </w:hyperlink>
          </w:p>
        </w:tc>
      </w:tr>
      <w:tr>
        <w:tc>
          <w:tcPr>
            <w:tcW w:w="9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left"/>
            </w:pPr>
            <w:hyperlink w:anchor="ex_1035418.htm">
              <w:r>
                <w:rPr>
                  <w:rStyle w:val="InternetLink"/>
                  <w:rFonts w:ascii="Times New Roman" w:hAnsi="Times New Roman"/>
                  <w:caps w:val="false"/>
                  <w:smallCaps w:val="false"/>
                  <w:sz w:val="20"/>
                </w:rPr>
                <w:t>Certification of CFO pursuant to Rules 13a-14(a) and 15d-14(a) adopted pursuant to Section 302 of the Sarbanes-Oxley Act of 2002.</w:t>
              </w:r>
            </w:hyperlink>
          </w:p>
        </w:tc>
      </w:tr>
      <w:tr>
        <w:tc>
          <w:tcPr>
            <w:tcW w:w="9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left"/>
            </w:pPr>
            <w:hyperlink w:anchor="ex_1035417.htm">
              <w:r>
                <w:rPr>
                  <w:rStyle w:val="InternetLink"/>
                  <w:rFonts w:ascii="Times New Roman" w:hAnsi="Times New Roman"/>
                  <w:caps w:val="false"/>
                  <w:smallCaps w:val="false"/>
                  <w:sz w:val="20"/>
                </w:rPr>
                <w:t>Certification of CEO pursuant to 18 U.S.C. Section 1350 as adopted pursuant to Section 906 of the Sarbanes-Oxley Act of 2002.</w:t>
              </w:r>
            </w:hyperlink>
          </w:p>
        </w:tc>
      </w:tr>
      <w:tr>
        <w:tc>
          <w:tcPr>
            <w:tcW w:w="99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left"/>
            </w:pPr>
            <w:hyperlink w:anchor="ex_1035416.htm">
              <w:r>
                <w:rPr>
                  <w:rStyle w:val="InternetLink"/>
                  <w:rFonts w:ascii="Times New Roman" w:hAnsi="Times New Roman"/>
                  <w:caps w:val="false"/>
                  <w:smallCaps w:val="false"/>
                  <w:sz w:val="20"/>
                </w:rPr>
                <w:t>Certification of CFO pursuant to 18 U.S.C. Section 1350 as adopted pursuant to Section 906 of the Sarbanes-Oxley Act of 2002.</w:t>
              </w:r>
            </w:hyperlink>
          </w:p>
        </w:tc>
      </w:tr>
      <w:tr>
        <w:tc>
          <w:tcPr>
            <w:tcW w:w="99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XBRL Instance Document – The instance document does not appear in the Interactive Data File because its XBRL tags are embedded within the inline XBRL document</w:t>
            </w:r>
          </w:p>
        </w:tc>
      </w:tr>
      <w:tr>
        <w:tc>
          <w:tcPr>
            <w:tcW w:w="99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c>
          <w:tcPr>
            <w:tcW w:w="99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c>
          <w:tcPr>
            <w:tcW w:w="99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c>
          <w:tcPr>
            <w:tcW w:w="99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c>
          <w:tcPr>
            <w:tcW w:w="99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c>
          <w:tcPr>
            <w:tcW w:w="99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pPr>
            <w:r>
              <w:t> </w:t>
            </w:r>
          </w:p>
        </w:tc>
        <w:tc>
          <w:tcPr>
            <w:tcW w:w="915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125"/>
        <w:gridCol w:w="1190"/>
      </w:tblGrid>
      <w:t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165"/>
        <w:gridCol w:w="10040"/>
      </w:tblGrid>
      <w:tr>
        <w:tc>
          <w:tcPr>
            <w:tcW w:w="1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pPr>
      <w:r/>
    </w:p>
    <w:p>
      <w:pPr>
        <w:pStyle w:val="TextBody"/>
        <w:bidi w:val="0"/>
        <w:jc w:val="left"/>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1" w:name="sig"/>
      <w:bookmarkEnd w:id="21"/>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2360"/>
        <w:gridCol w:w="365"/>
        <w:gridCol w:w="3125"/>
        <w:gridCol w:w="60"/>
      </w:tblGrid>
      <w:tr>
        <w:tc>
          <w:tcPr>
            <w:tcW w:w="2360" w:type="dxa"/>
            <w:tcBorders/>
          </w:tcPr>
          <w:p>
            <w:pPr>
              <w:pStyle w:val="TableContents"/>
              <w:bidi w:val="0"/>
              <w:spacing w:before="0" w:after="0"/>
              <w:ind w:left="0" w:right="0" w:hanging="0"/>
              <w:jc w:val="left"/>
            </w:pPr>
            <w:r>
              <w:t> </w:t>
            </w:r>
          </w:p>
        </w:tc>
        <w:tc>
          <w:tcPr>
            <w:tcW w:w="3490"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RUSH ENTERPRISES, INC.</w:t>
            </w:r>
          </w:p>
        </w:tc>
        <w:tc>
          <w:tcPr>
            <w:tcW w:w="60" w:type="dxa"/>
            <w:tcBorders/>
          </w:tcPr>
          <w:p>
            <w:pPr>
              <w:pStyle w:val="TableContents"/>
              <w:bidi w:val="0"/>
              <w:spacing w:before="0" w:after="0"/>
              <w:ind w:left="0" w:right="0" w:hanging="0"/>
              <w:jc w:val="left"/>
            </w:pPr>
            <w:r>
              <w:t> </w:t>
            </w:r>
          </w:p>
        </w:tc>
      </w:tr>
      <w:tr>
        <w:tc>
          <w:tcPr>
            <w:tcW w:w="2360" w:type="dxa"/>
            <w:tcBorders/>
          </w:tcPr>
          <w:p>
            <w:pPr>
              <w:pStyle w:val="TableContents"/>
              <w:bidi w:val="0"/>
              <w:spacing w:before="0" w:after="0"/>
              <w:ind w:left="0" w:right="0" w:hanging="0"/>
              <w:jc w:val="left"/>
            </w:pPr>
            <w:r>
              <w:t> </w:t>
            </w:r>
          </w:p>
        </w:tc>
        <w:tc>
          <w:tcPr>
            <w:tcW w:w="365" w:type="dxa"/>
            <w:tcBorders/>
          </w:tcPr>
          <w:p>
            <w:pPr>
              <w:pStyle w:val="TableContents"/>
              <w:bidi w:val="0"/>
              <w:spacing w:before="0" w:after="0"/>
              <w:ind w:left="0" w:right="0" w:hanging="0"/>
              <w:jc w:val="left"/>
            </w:pPr>
            <w:r>
              <w:t> </w:t>
            </w:r>
          </w:p>
        </w:tc>
        <w:tc>
          <w:tcPr>
            <w:tcW w:w="3125" w:type="dxa"/>
            <w:tcBorders/>
          </w:tcPr>
          <w:p>
            <w:pPr>
              <w:pStyle w:val="TableContents"/>
              <w:bidi w:val="0"/>
              <w:spacing w:before="0" w:after="0"/>
              <w:ind w:left="0" w:right="0" w:hanging="0"/>
              <w:jc w:val="left"/>
            </w:pPr>
            <w:r>
              <w:t> </w:t>
            </w:r>
          </w:p>
        </w:tc>
        <w:tc>
          <w:tcPr>
            <w:tcW w:w="60" w:type="dxa"/>
            <w:tcBorders/>
          </w:tcPr>
          <w:p>
            <w:pPr>
              <w:pStyle w:val="TableContents"/>
              <w:bidi w:val="0"/>
              <w:spacing w:before="0" w:after="0"/>
              <w:ind w:left="0" w:right="0" w:hanging="0"/>
              <w:jc w:val="left"/>
            </w:pPr>
            <w:r>
              <w:t> </w:t>
            </w:r>
          </w:p>
        </w:tc>
      </w:tr>
      <w:tr>
        <w:tc>
          <w:tcPr>
            <w:tcW w:w="2360" w:type="dxa"/>
            <w:tcBorders/>
          </w:tcPr>
          <w:p>
            <w:pPr>
              <w:pStyle w:val="TableContents"/>
              <w:bidi w:val="0"/>
              <w:spacing w:before="0" w:after="0"/>
              <w:ind w:left="0" w:right="0" w:hanging="0"/>
              <w:jc w:val="left"/>
            </w:pPr>
            <w:r>
              <w:t> </w:t>
            </w:r>
          </w:p>
        </w:tc>
        <w:tc>
          <w:tcPr>
            <w:tcW w:w="365" w:type="dxa"/>
            <w:tcBorders/>
          </w:tcPr>
          <w:p>
            <w:pPr>
              <w:pStyle w:val="TableContents"/>
              <w:bidi w:val="0"/>
              <w:spacing w:before="0" w:after="0"/>
              <w:ind w:left="0" w:right="0" w:hanging="0"/>
              <w:jc w:val="left"/>
            </w:pPr>
            <w:r>
              <w:t> </w:t>
            </w:r>
          </w:p>
        </w:tc>
        <w:tc>
          <w:tcPr>
            <w:tcW w:w="3125" w:type="dxa"/>
            <w:tcBorders/>
            <w:vAlign w:val="bottom"/>
          </w:tcPr>
          <w:p>
            <w:pPr>
              <w:pStyle w:val="TableContents"/>
              <w:bidi w:val="0"/>
              <w:spacing w:before="0" w:after="0"/>
              <w:ind w:left="0" w:right="0" w:hanging="0"/>
              <w:jc w:val="left"/>
            </w:pPr>
            <w:r>
              <w:t> </w:t>
            </w:r>
          </w:p>
        </w:tc>
        <w:tc>
          <w:tcPr>
            <w:tcW w:w="60" w:type="dxa"/>
            <w:tcBorders/>
          </w:tcPr>
          <w:p>
            <w:pPr>
              <w:pStyle w:val="TableContents"/>
              <w:bidi w:val="0"/>
              <w:spacing w:before="0" w:after="0"/>
              <w:ind w:left="0" w:right="0" w:hanging="0"/>
              <w:jc w:val="left"/>
            </w:pPr>
            <w:r>
              <w:t> </w:t>
            </w:r>
          </w:p>
        </w:tc>
      </w:tr>
      <w:tr>
        <w:tc>
          <w:tcPr>
            <w:tcW w:w="236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2026   </w:t>
            </w:r>
          </w:p>
        </w:tc>
        <w:tc>
          <w:tcPr>
            <w:tcW w:w="3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12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W.M. “RUSTY” RUSH</w:t>
            </w:r>
          </w:p>
        </w:tc>
        <w:tc>
          <w:tcPr>
            <w:tcW w:w="60" w:type="dxa"/>
            <w:tcBorders/>
          </w:tcPr>
          <w:p>
            <w:pPr>
              <w:pStyle w:val="TableContents"/>
              <w:bidi w:val="0"/>
              <w:spacing w:before="0" w:after="0"/>
              <w:ind w:left="0" w:right="0" w:hanging="0"/>
              <w:jc w:val="left"/>
            </w:pPr>
            <w:r>
              <w:t> </w:t>
            </w:r>
          </w:p>
        </w:tc>
      </w:tr>
      <w:tr>
        <w:tc>
          <w:tcPr>
            <w:tcW w:w="2360" w:type="dxa"/>
            <w:tcBorders/>
          </w:tcPr>
          <w:p>
            <w:pPr>
              <w:pStyle w:val="TableContents"/>
              <w:bidi w:val="0"/>
              <w:spacing w:before="0" w:after="0"/>
              <w:ind w:left="0" w:right="0" w:hanging="0"/>
              <w:jc w:val="left"/>
            </w:pPr>
            <w:r>
              <w:t> </w:t>
            </w:r>
          </w:p>
        </w:tc>
        <w:tc>
          <w:tcPr>
            <w:tcW w:w="365" w:type="dxa"/>
            <w:tcBorders/>
          </w:tcPr>
          <w:p>
            <w:pPr>
              <w:pStyle w:val="TableContents"/>
              <w:bidi w:val="0"/>
              <w:spacing w:before="0" w:after="0"/>
              <w:ind w:left="0" w:right="0" w:hanging="0"/>
              <w:jc w:val="left"/>
            </w:pPr>
            <w:r>
              <w:t> </w:t>
            </w:r>
          </w:p>
        </w:tc>
        <w:tc>
          <w:tcPr>
            <w:tcW w:w="312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W.M. “Rusty” Rush</w:t>
            </w:r>
          </w:p>
        </w:tc>
        <w:tc>
          <w:tcPr>
            <w:tcW w:w="60" w:type="dxa"/>
            <w:tcBorders/>
          </w:tcPr>
          <w:p>
            <w:pPr>
              <w:pStyle w:val="TableContents"/>
              <w:bidi w:val="0"/>
              <w:spacing w:before="0" w:after="0"/>
              <w:ind w:left="0" w:right="0" w:hanging="0"/>
              <w:jc w:val="left"/>
            </w:pPr>
            <w:r>
              <w:t> </w:t>
            </w:r>
          </w:p>
        </w:tc>
      </w:tr>
      <w:tr>
        <w:tc>
          <w:tcPr>
            <w:tcW w:w="2360" w:type="dxa"/>
            <w:tcBorders/>
          </w:tcPr>
          <w:p>
            <w:pPr>
              <w:pStyle w:val="TableContents"/>
              <w:bidi w:val="0"/>
              <w:spacing w:before="0" w:after="0"/>
              <w:ind w:left="0" w:right="0" w:hanging="0"/>
              <w:jc w:val="left"/>
            </w:pPr>
            <w:r>
              <w:t> </w:t>
            </w:r>
          </w:p>
        </w:tc>
        <w:tc>
          <w:tcPr>
            <w:tcW w:w="365" w:type="dxa"/>
            <w:tcBorders/>
          </w:tcPr>
          <w:p>
            <w:pPr>
              <w:pStyle w:val="TableContents"/>
              <w:bidi w:val="0"/>
              <w:spacing w:before="0" w:after="0"/>
              <w:ind w:left="0" w:right="0" w:hanging="0"/>
              <w:jc w:val="left"/>
            </w:pPr>
            <w:r>
              <w:t> </w:t>
            </w:r>
          </w:p>
        </w:tc>
        <w:tc>
          <w:tcPr>
            <w:tcW w:w="312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w:t>
            </w:r>
          </w:p>
        </w:tc>
        <w:tc>
          <w:tcPr>
            <w:tcW w:w="60" w:type="dxa"/>
            <w:tcBorders/>
          </w:tcPr>
          <w:p>
            <w:pPr>
              <w:pStyle w:val="TableContents"/>
              <w:bidi w:val="0"/>
              <w:spacing w:before="0" w:after="0"/>
              <w:ind w:left="0" w:right="0" w:hanging="0"/>
              <w:jc w:val="left"/>
            </w:pPr>
            <w:r>
              <w:t> </w:t>
            </w:r>
          </w:p>
        </w:tc>
      </w:tr>
      <w:tr>
        <w:tc>
          <w:tcPr>
            <w:tcW w:w="2360" w:type="dxa"/>
            <w:tcBorders/>
          </w:tcPr>
          <w:p>
            <w:pPr>
              <w:pStyle w:val="TableContents"/>
              <w:bidi w:val="0"/>
              <w:spacing w:before="0" w:after="283"/>
              <w:jc w:val="left"/>
            </w:pPr>
            <w:r>
              <w:t> </w:t>
            </w:r>
          </w:p>
        </w:tc>
        <w:tc>
          <w:tcPr>
            <w:tcW w:w="365" w:type="dxa"/>
            <w:tcBorders/>
          </w:tcPr>
          <w:p>
            <w:pPr>
              <w:pStyle w:val="TableContents"/>
              <w:bidi w:val="0"/>
              <w:spacing w:before="0" w:after="283"/>
              <w:jc w:val="left"/>
            </w:pPr>
            <w:r>
              <w:t> </w:t>
            </w:r>
          </w:p>
        </w:tc>
        <w:tc>
          <w:tcPr>
            <w:tcW w:w="3125" w:type="dxa"/>
            <w:tcBorders/>
          </w:tcPr>
          <w:p>
            <w:pPr>
              <w:pStyle w:val="TableContents"/>
              <w:bidi w:val="0"/>
              <w:spacing w:before="0" w:after="283"/>
              <w:jc w:val="left"/>
            </w:pPr>
            <w:r>
              <w:t>Chairman of the Board</w:t>
            </w:r>
          </w:p>
        </w:tc>
        <w:tc>
          <w:tcPr>
            <w:tcW w:w="60" w:type="dxa"/>
            <w:tcBorders/>
          </w:tcPr>
          <w:p>
            <w:pPr>
              <w:pStyle w:val="TableContents"/>
              <w:bidi w:val="0"/>
              <w:spacing w:before="0" w:after="283"/>
              <w:jc w:val="left"/>
            </w:pPr>
            <w:r>
              <w:t> </w:t>
            </w:r>
          </w:p>
        </w:tc>
      </w:tr>
      <w:tr>
        <w:tc>
          <w:tcPr>
            <w:tcW w:w="2360" w:type="dxa"/>
            <w:tcBorders/>
          </w:tcPr>
          <w:p>
            <w:pPr>
              <w:pStyle w:val="TableContents"/>
              <w:bidi w:val="0"/>
              <w:spacing w:before="0" w:after="283"/>
              <w:jc w:val="left"/>
            </w:pPr>
            <w:r>
              <w:t> </w:t>
            </w:r>
          </w:p>
        </w:tc>
        <w:tc>
          <w:tcPr>
            <w:tcW w:w="365" w:type="dxa"/>
            <w:tcBorders/>
          </w:tcPr>
          <w:p>
            <w:pPr>
              <w:pStyle w:val="TableContents"/>
              <w:bidi w:val="0"/>
              <w:spacing w:before="0" w:after="283"/>
              <w:jc w:val="left"/>
            </w:pPr>
            <w:r>
              <w:t> </w:t>
            </w:r>
          </w:p>
        </w:tc>
        <w:tc>
          <w:tcPr>
            <w:tcW w:w="3125" w:type="dxa"/>
            <w:tcBorders/>
          </w:tcPr>
          <w:p>
            <w:pPr>
              <w:pStyle w:val="TableContents"/>
              <w:bidi w:val="0"/>
              <w:spacing w:before="0" w:after="283"/>
              <w:jc w:val="left"/>
            </w:pPr>
            <w:r>
              <w:t>(Principal Executive Officer)</w:t>
            </w:r>
          </w:p>
        </w:tc>
        <w:tc>
          <w:tcPr>
            <w:tcW w:w="60" w:type="dxa"/>
            <w:tcBorders/>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tbl>
      <w:tblPr>
        <w:tblW w:w="6900" w:type="dxa"/>
        <w:jc w:val="left"/>
        <w:tblInd w:w="0" w:type="dxa"/>
        <w:tblLayout w:type="fixed"/>
        <w:tblCellMar>
          <w:top w:w="0" w:type="dxa"/>
          <w:left w:w="0" w:type="dxa"/>
          <w:bottom w:w="0" w:type="dxa"/>
          <w:right w:w="0" w:type="dxa"/>
        </w:tblCellMar>
      </w:tblPr>
      <w:tblGrid>
        <w:gridCol w:w="2225"/>
        <w:gridCol w:w="365"/>
        <w:gridCol w:w="4250"/>
        <w:gridCol w:w="60"/>
      </w:tblGrid>
      <w:tr>
        <w:tc>
          <w:tcPr>
            <w:tcW w:w="222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2026</w:t>
            </w:r>
          </w:p>
        </w:tc>
        <w:tc>
          <w:tcPr>
            <w:tcW w:w="3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25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L. KELLER</w:t>
            </w:r>
          </w:p>
        </w:tc>
        <w:tc>
          <w:tcPr>
            <w:tcW w:w="60" w:type="dxa"/>
            <w:tcBorders/>
          </w:tcPr>
          <w:p>
            <w:pPr>
              <w:pStyle w:val="TableContents"/>
              <w:bidi w:val="0"/>
              <w:spacing w:before="0" w:after="0"/>
              <w:ind w:left="0" w:right="0" w:hanging="0"/>
              <w:jc w:val="left"/>
            </w:pPr>
            <w:r>
              <w:t> </w:t>
            </w:r>
          </w:p>
        </w:tc>
      </w:tr>
      <w:tr>
        <w:tc>
          <w:tcPr>
            <w:tcW w:w="2225" w:type="dxa"/>
            <w:tcBorders/>
          </w:tcPr>
          <w:p>
            <w:pPr>
              <w:pStyle w:val="TableContents"/>
              <w:bidi w:val="0"/>
              <w:spacing w:before="0" w:after="0"/>
              <w:ind w:left="0" w:right="0" w:hanging="0"/>
              <w:jc w:val="left"/>
            </w:pPr>
            <w:r>
              <w:t> </w:t>
            </w:r>
          </w:p>
        </w:tc>
        <w:tc>
          <w:tcPr>
            <w:tcW w:w="365" w:type="dxa"/>
            <w:tcBorders/>
          </w:tcPr>
          <w:p>
            <w:pPr>
              <w:pStyle w:val="TableContents"/>
              <w:bidi w:val="0"/>
              <w:spacing w:before="0" w:after="0"/>
              <w:ind w:left="0" w:right="0" w:hanging="0"/>
              <w:jc w:val="left"/>
            </w:pPr>
            <w:r>
              <w:t> </w:t>
            </w:r>
          </w:p>
        </w:tc>
        <w:tc>
          <w:tcPr>
            <w:tcW w:w="425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L. Keller</w:t>
            </w:r>
          </w:p>
        </w:tc>
        <w:tc>
          <w:tcPr>
            <w:tcW w:w="60" w:type="dxa"/>
            <w:tcBorders/>
          </w:tcPr>
          <w:p>
            <w:pPr>
              <w:pStyle w:val="TableContents"/>
              <w:bidi w:val="0"/>
              <w:spacing w:before="0" w:after="0"/>
              <w:ind w:left="0" w:right="0" w:hanging="0"/>
              <w:jc w:val="left"/>
            </w:pPr>
            <w:r>
              <w:t> </w:t>
            </w:r>
          </w:p>
        </w:tc>
      </w:tr>
      <w:tr>
        <w:tc>
          <w:tcPr>
            <w:tcW w:w="2225" w:type="dxa"/>
            <w:tcBorders/>
          </w:tcPr>
          <w:p>
            <w:pPr>
              <w:pStyle w:val="TableContents"/>
              <w:bidi w:val="0"/>
              <w:spacing w:before="0" w:after="0"/>
              <w:ind w:left="0" w:right="0" w:hanging="0"/>
              <w:jc w:val="left"/>
            </w:pPr>
            <w:r>
              <w:t> </w:t>
            </w:r>
          </w:p>
        </w:tc>
        <w:tc>
          <w:tcPr>
            <w:tcW w:w="365" w:type="dxa"/>
            <w:tcBorders/>
          </w:tcPr>
          <w:p>
            <w:pPr>
              <w:pStyle w:val="TableContents"/>
              <w:bidi w:val="0"/>
              <w:spacing w:before="0" w:after="0"/>
              <w:ind w:left="0" w:right="0" w:hanging="0"/>
              <w:jc w:val="left"/>
            </w:pPr>
            <w:r>
              <w:t> </w:t>
            </w:r>
          </w:p>
        </w:tc>
        <w:tc>
          <w:tcPr>
            <w:tcW w:w="425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c>
          <w:tcPr>
            <w:tcW w:w="60" w:type="dxa"/>
            <w:tcBorders/>
          </w:tcPr>
          <w:p>
            <w:pPr>
              <w:pStyle w:val="TableContents"/>
              <w:bidi w:val="0"/>
              <w:spacing w:before="0" w:after="0"/>
              <w:ind w:left="0" w:right="0" w:hanging="0"/>
              <w:jc w:val="left"/>
            </w:pPr>
            <w:r>
              <w:t> </w:t>
            </w:r>
          </w:p>
        </w:tc>
      </w:tr>
      <w:tr>
        <w:tc>
          <w:tcPr>
            <w:tcW w:w="2225" w:type="dxa"/>
            <w:tcBorders/>
          </w:tcPr>
          <w:p>
            <w:pPr>
              <w:pStyle w:val="TableContents"/>
              <w:bidi w:val="0"/>
              <w:spacing w:before="0" w:after="283"/>
              <w:jc w:val="left"/>
            </w:pPr>
            <w:r>
              <w:t> </w:t>
            </w:r>
          </w:p>
        </w:tc>
        <w:tc>
          <w:tcPr>
            <w:tcW w:w="365" w:type="dxa"/>
            <w:tcBorders/>
          </w:tcPr>
          <w:p>
            <w:pPr>
              <w:pStyle w:val="TableContents"/>
              <w:bidi w:val="0"/>
              <w:spacing w:before="0" w:after="283"/>
              <w:jc w:val="left"/>
            </w:pPr>
            <w:r>
              <w:t> </w:t>
            </w:r>
          </w:p>
        </w:tc>
        <w:tc>
          <w:tcPr>
            <w:tcW w:w="4250" w:type="dxa"/>
            <w:tcBorders/>
          </w:tcPr>
          <w:p>
            <w:pPr>
              <w:pStyle w:val="TableContents"/>
              <w:bidi w:val="0"/>
              <w:spacing w:before="0" w:after="283"/>
              <w:jc w:val="left"/>
            </w:pPr>
            <w:r>
              <w:t>(Principal Financial and Accounting Officer)</w:t>
            </w:r>
          </w:p>
        </w:tc>
        <w:tc>
          <w:tcPr>
            <w:tcW w:w="60" w:type="dxa"/>
            <w:tcBorders/>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31</w:t>
      </w:r>
    </w:p>
    <w:p>
      <w:pPr>
        <w:pStyle w:val="TextBody"/>
        <w:bidi w:val="0"/>
        <w:spacing w:before="0" w:after="0"/>
        <w:ind w:left="0" w:right="0" w:hanging="0"/>
        <w:jc w:val="right"/>
        <w:rPr>
          <w:rFonts w:ascii="Times New Roman" w:hAnsi="Times New Roman"/>
          <w:caps w:val="false"/>
          <w:smallCaps w:val="false"/>
          <w:sz w:val="20"/>
          <w:u w:val="single"/>
        </w:rPr>
      </w:pPr>
      <w:bookmarkStart w:id="22" w:name="ex_1035419.htm"/>
      <w:bookmarkStart w:id="23" w:name="ksex_1035419"/>
      <w:bookmarkEnd w:id="22"/>
      <w:bookmarkEnd w:id="23"/>
      <w:r>
        <w:rPr>
          <w:rFonts w:ascii="Times New Roman" w:hAnsi="Times New Roman"/>
          <w:caps w:val="false"/>
          <w:smallCaps w:val="false"/>
          <w:sz w:val="20"/>
          <w:u w:val="single"/>
        </w:rPr>
        <w:t>EXHIBIT 31.1</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W.M. “Rusty” Rush,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92"/>
        <w:gridCol w:w="341"/>
        <w:gridCol w:w="3755"/>
        <w:gridCol w:w="1117"/>
      </w:tblGrid>
      <w:tr>
        <w:tc>
          <w:tcPr>
            <w:tcW w:w="4992" w:type="dxa"/>
            <w:tcBorders/>
          </w:tcPr>
          <w:p>
            <w:pPr>
              <w:pStyle w:val="TableContents"/>
              <w:bidi w:val="0"/>
              <w:spacing w:before="0" w:after="0"/>
              <w:ind w:left="0" w:right="0" w:hanging="0"/>
              <w:jc w:val="left"/>
            </w:pPr>
            <w:r>
              <w:t> </w:t>
            </w:r>
          </w:p>
        </w:tc>
        <w:tc>
          <w:tcPr>
            <w:tcW w:w="341" w:type="dxa"/>
            <w:tcBorders/>
          </w:tcPr>
          <w:p>
            <w:pPr>
              <w:pStyle w:val="TableContents"/>
              <w:bidi w:val="0"/>
              <w:spacing w:before="0" w:after="0"/>
              <w:ind w:left="0" w:right="0" w:hanging="0"/>
              <w:jc w:val="left"/>
            </w:pPr>
            <w:r>
              <w:t> </w:t>
            </w:r>
          </w:p>
        </w:tc>
        <w:tc>
          <w:tcPr>
            <w:tcW w:w="3755" w:type="dxa"/>
            <w:tcBorders/>
            <w:vAlign w:val="bottom"/>
          </w:tcPr>
          <w:p>
            <w:pPr>
              <w:pStyle w:val="TableContents"/>
              <w:bidi w:val="0"/>
              <w:spacing w:before="0" w:after="0"/>
              <w:ind w:left="0" w:right="0" w:hanging="0"/>
              <w:jc w:val="left"/>
            </w:pPr>
            <w:r>
              <w:t> </w:t>
            </w:r>
          </w:p>
        </w:tc>
        <w:tc>
          <w:tcPr>
            <w:tcW w:w="1117" w:type="dxa"/>
            <w:tcBorders/>
          </w:tcPr>
          <w:p>
            <w:pPr>
              <w:pStyle w:val="TableContents"/>
              <w:bidi w:val="0"/>
              <w:spacing w:before="0" w:after="0"/>
              <w:ind w:left="0" w:right="0" w:hanging="0"/>
              <w:jc w:val="left"/>
            </w:pPr>
            <w:r>
              <w:t> </w:t>
            </w:r>
          </w:p>
        </w:tc>
      </w:tr>
      <w:tr>
        <w:tc>
          <w:tcPr>
            <w:tcW w:w="4992" w:type="dxa"/>
            <w:tcBorders/>
          </w:tcPr>
          <w:p>
            <w:pPr>
              <w:pStyle w:val="TableContents"/>
              <w:bidi w:val="0"/>
              <w:spacing w:before="0" w:after="0"/>
              <w:ind w:left="0" w:right="0" w:hanging="0"/>
              <w:jc w:val="left"/>
            </w:pPr>
            <w:r>
              <w:t> </w:t>
            </w:r>
            <w:r>
              <w:rPr>
                <w:rFonts w:ascii="Times New Roman;Times;serif" w:hAnsi="Times New Roman;Times;serif"/>
                <w:sz w:val="20"/>
              </w:rPr>
              <w:t>Date:     November 6, 2026   </w:t>
            </w:r>
          </w:p>
        </w:tc>
        <w:tc>
          <w:tcPr>
            <w:tcW w:w="34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55"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W.M. “RUSTY” RUSH</w:t>
            </w:r>
          </w:p>
        </w:tc>
        <w:tc>
          <w:tcPr>
            <w:tcW w:w="1117" w:type="dxa"/>
            <w:tcBorders/>
          </w:tcPr>
          <w:p>
            <w:pPr>
              <w:pStyle w:val="TableContents"/>
              <w:bidi w:val="0"/>
              <w:spacing w:before="0" w:after="0"/>
              <w:ind w:left="0" w:right="0" w:hanging="0"/>
              <w:jc w:val="left"/>
            </w:pPr>
            <w:r>
              <w:t> </w:t>
            </w:r>
          </w:p>
        </w:tc>
      </w:tr>
      <w:tr>
        <w:tc>
          <w:tcPr>
            <w:tcW w:w="4992" w:type="dxa"/>
            <w:tcBorders/>
          </w:tcPr>
          <w:p>
            <w:pPr>
              <w:pStyle w:val="TableContents"/>
              <w:bidi w:val="0"/>
              <w:spacing w:before="0" w:after="0"/>
              <w:ind w:left="0" w:right="0" w:hanging="0"/>
              <w:jc w:val="left"/>
            </w:pPr>
            <w:r>
              <w:t> </w:t>
            </w:r>
          </w:p>
        </w:tc>
        <w:tc>
          <w:tcPr>
            <w:tcW w:w="341" w:type="dxa"/>
            <w:tcBorders/>
          </w:tcPr>
          <w:p>
            <w:pPr>
              <w:pStyle w:val="TableContents"/>
              <w:bidi w:val="0"/>
              <w:spacing w:before="0" w:after="0"/>
              <w:ind w:left="0" w:right="0" w:hanging="0"/>
              <w:jc w:val="left"/>
            </w:pPr>
            <w:r>
              <w:t> </w:t>
            </w:r>
          </w:p>
        </w:tc>
        <w:tc>
          <w:tcPr>
            <w:tcW w:w="375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W.M. “Rusty” Rush</w:t>
            </w:r>
          </w:p>
        </w:tc>
        <w:tc>
          <w:tcPr>
            <w:tcW w:w="1117" w:type="dxa"/>
            <w:tcBorders/>
          </w:tcPr>
          <w:p>
            <w:pPr>
              <w:pStyle w:val="TableContents"/>
              <w:bidi w:val="0"/>
              <w:spacing w:before="0" w:after="0"/>
              <w:ind w:left="0" w:right="0" w:hanging="0"/>
              <w:jc w:val="left"/>
            </w:pPr>
            <w:r>
              <w:t> </w:t>
            </w:r>
          </w:p>
        </w:tc>
      </w:tr>
      <w:tr>
        <w:tc>
          <w:tcPr>
            <w:tcW w:w="4992" w:type="dxa"/>
            <w:tcBorders/>
          </w:tcPr>
          <w:p>
            <w:pPr>
              <w:pStyle w:val="TableContents"/>
              <w:bidi w:val="0"/>
              <w:spacing w:before="0" w:after="0"/>
              <w:ind w:left="0" w:right="0" w:hanging="0"/>
              <w:jc w:val="left"/>
            </w:pPr>
            <w:r>
              <w:t> </w:t>
            </w:r>
          </w:p>
        </w:tc>
        <w:tc>
          <w:tcPr>
            <w:tcW w:w="341" w:type="dxa"/>
            <w:tcBorders/>
          </w:tcPr>
          <w:p>
            <w:pPr>
              <w:pStyle w:val="TableContents"/>
              <w:bidi w:val="0"/>
              <w:spacing w:before="0" w:after="0"/>
              <w:ind w:left="0" w:right="0" w:hanging="0"/>
              <w:jc w:val="left"/>
            </w:pPr>
            <w:r>
              <w:t> </w:t>
            </w:r>
          </w:p>
        </w:tc>
        <w:tc>
          <w:tcPr>
            <w:tcW w:w="375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w:t>
            </w:r>
          </w:p>
        </w:tc>
        <w:tc>
          <w:tcPr>
            <w:tcW w:w="1117" w:type="dxa"/>
            <w:tcBorders/>
          </w:tcPr>
          <w:p>
            <w:pPr>
              <w:pStyle w:val="TableContents"/>
              <w:bidi w:val="0"/>
              <w:spacing w:before="0" w:after="0"/>
              <w:ind w:left="0" w:right="0" w:hanging="0"/>
              <w:jc w:val="left"/>
            </w:pPr>
            <w:r>
              <w:t> </w:t>
            </w:r>
          </w:p>
        </w:tc>
      </w:tr>
      <w:tr>
        <w:tc>
          <w:tcPr>
            <w:tcW w:w="4992" w:type="dxa"/>
            <w:tcBorders/>
          </w:tcPr>
          <w:p>
            <w:pPr>
              <w:pStyle w:val="TableContents"/>
              <w:bidi w:val="0"/>
              <w:spacing w:before="0" w:after="283"/>
              <w:jc w:val="left"/>
            </w:pPr>
            <w:r>
              <w:t> </w:t>
            </w:r>
          </w:p>
        </w:tc>
        <w:tc>
          <w:tcPr>
            <w:tcW w:w="341" w:type="dxa"/>
            <w:tcBorders/>
          </w:tcPr>
          <w:p>
            <w:pPr>
              <w:pStyle w:val="TableContents"/>
              <w:bidi w:val="0"/>
              <w:spacing w:before="0" w:after="283"/>
              <w:jc w:val="left"/>
            </w:pPr>
            <w:r>
              <w:t> </w:t>
            </w:r>
          </w:p>
        </w:tc>
        <w:tc>
          <w:tcPr>
            <w:tcW w:w="3755" w:type="dxa"/>
            <w:tcBorders/>
          </w:tcPr>
          <w:p>
            <w:pPr>
              <w:pStyle w:val="TableContents"/>
              <w:bidi w:val="0"/>
              <w:spacing w:before="0" w:after="283"/>
              <w:jc w:val="left"/>
            </w:pPr>
            <w:r>
              <w:t>Chairman of the Board</w:t>
            </w:r>
          </w:p>
        </w:tc>
        <w:tc>
          <w:tcPr>
            <w:tcW w:w="1117" w:type="dxa"/>
            <w:tcBorders/>
          </w:tcPr>
          <w:p>
            <w:pPr>
              <w:pStyle w:val="TableContents"/>
              <w:bidi w:val="0"/>
              <w:spacing w:before="0" w:after="283"/>
              <w:jc w:val="left"/>
            </w:pPr>
            <w:r>
              <w:t> </w:t>
            </w:r>
          </w:p>
        </w:tc>
      </w:tr>
      <w:tr>
        <w:tc>
          <w:tcPr>
            <w:tcW w:w="4992" w:type="dxa"/>
            <w:tcBorders/>
          </w:tcPr>
          <w:p>
            <w:pPr>
              <w:pStyle w:val="TableContents"/>
              <w:bidi w:val="0"/>
              <w:spacing w:before="0" w:after="283"/>
              <w:jc w:val="left"/>
            </w:pPr>
            <w:r>
              <w:t> </w:t>
            </w:r>
          </w:p>
        </w:tc>
        <w:tc>
          <w:tcPr>
            <w:tcW w:w="341" w:type="dxa"/>
            <w:tcBorders/>
          </w:tcPr>
          <w:p>
            <w:pPr>
              <w:pStyle w:val="TableContents"/>
              <w:bidi w:val="0"/>
              <w:spacing w:before="0" w:after="283"/>
              <w:jc w:val="left"/>
            </w:pPr>
            <w:r>
              <w:t> </w:t>
            </w:r>
          </w:p>
        </w:tc>
        <w:tc>
          <w:tcPr>
            <w:tcW w:w="3755" w:type="dxa"/>
            <w:tcBorders/>
          </w:tcPr>
          <w:p>
            <w:pPr>
              <w:pStyle w:val="TableContents"/>
              <w:bidi w:val="0"/>
              <w:spacing w:before="0" w:after="283"/>
              <w:jc w:val="left"/>
            </w:pPr>
            <w:r>
              <w:t>(Principal Executive Officer)</w:t>
            </w:r>
          </w:p>
        </w:tc>
        <w:tc>
          <w:tcPr>
            <w:tcW w:w="1117" w:type="dxa"/>
            <w:tcBorders/>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right"/>
        <w:rPr>
          <w:rFonts w:ascii="Times New Roman" w:hAnsi="Times New Roman"/>
          <w:caps w:val="false"/>
          <w:smallCaps w:val="false"/>
          <w:sz w:val="20"/>
          <w:u w:val="single"/>
        </w:rPr>
      </w:pPr>
      <w:bookmarkStart w:id="24" w:name="ex_1035418.htm"/>
      <w:bookmarkStart w:id="25" w:name="ksex_1035418"/>
      <w:bookmarkEnd w:id="24"/>
      <w:bookmarkEnd w:id="25"/>
      <w:r>
        <w:rPr>
          <w:rFonts w:ascii="Times New Roman" w:hAnsi="Times New Roman"/>
          <w:caps w:val="false"/>
          <w:smallCaps w:val="false"/>
          <w:sz w:val="20"/>
          <w:u w:val="single"/>
        </w:rPr>
        <w:t>EXHIBIT 31.2</w:t>
      </w:r>
      <w:r>
        <w:br w:type="page"/>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Steven L. Keller,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Rush Enterprises,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8"/>
        <w:gridCol w:w="342"/>
        <w:gridCol w:w="3781"/>
        <w:gridCol w:w="1164"/>
      </w:tblGrid>
      <w:tr>
        <w:tc>
          <w:tcPr>
            <w:tcW w:w="4918" w:type="dxa"/>
            <w:tcBorders/>
          </w:tcPr>
          <w:p>
            <w:pPr>
              <w:pStyle w:val="TableContents"/>
              <w:bidi w:val="0"/>
              <w:spacing w:before="0" w:after="0"/>
              <w:ind w:left="0" w:right="0" w:hanging="0"/>
              <w:jc w:val="left"/>
            </w:pPr>
            <w:r>
              <w:t> </w:t>
            </w:r>
          </w:p>
        </w:tc>
        <w:tc>
          <w:tcPr>
            <w:tcW w:w="342" w:type="dxa"/>
            <w:tcBorders/>
          </w:tcPr>
          <w:p>
            <w:pPr>
              <w:pStyle w:val="TableContents"/>
              <w:bidi w:val="0"/>
              <w:spacing w:before="0" w:after="0"/>
              <w:ind w:left="0" w:right="0" w:hanging="0"/>
              <w:jc w:val="left"/>
            </w:pPr>
            <w:r>
              <w:t> </w:t>
            </w:r>
          </w:p>
        </w:tc>
        <w:tc>
          <w:tcPr>
            <w:tcW w:w="3781" w:type="dxa"/>
            <w:tcBorders/>
            <w:vAlign w:val="bottom"/>
          </w:tcPr>
          <w:p>
            <w:pPr>
              <w:pStyle w:val="TableContents"/>
              <w:bidi w:val="0"/>
              <w:spacing w:before="0" w:after="0"/>
              <w:ind w:left="0" w:right="0" w:hanging="0"/>
              <w:jc w:val="left"/>
            </w:pPr>
            <w:r>
              <w:t> </w:t>
            </w:r>
          </w:p>
        </w:tc>
        <w:tc>
          <w:tcPr>
            <w:tcW w:w="1164" w:type="dxa"/>
            <w:tcBorders/>
          </w:tcPr>
          <w:p>
            <w:pPr>
              <w:pStyle w:val="TableContents"/>
              <w:bidi w:val="0"/>
              <w:spacing w:before="0" w:after="0"/>
              <w:ind w:left="0" w:right="0" w:hanging="0"/>
              <w:jc w:val="left"/>
            </w:pPr>
            <w:r>
              <w:t> </w:t>
            </w:r>
          </w:p>
        </w:tc>
      </w:tr>
      <w:tr>
        <w:tc>
          <w:tcPr>
            <w:tcW w:w="4918"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6, 2026 </w:t>
            </w:r>
          </w:p>
        </w:tc>
        <w:tc>
          <w:tcPr>
            <w:tcW w:w="34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81"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STEVEN L. KELLER</w:t>
            </w:r>
          </w:p>
        </w:tc>
        <w:tc>
          <w:tcPr>
            <w:tcW w:w="1164" w:type="dxa"/>
            <w:tcBorders/>
          </w:tcPr>
          <w:p>
            <w:pPr>
              <w:pStyle w:val="TableContents"/>
              <w:bidi w:val="0"/>
              <w:spacing w:before="0" w:after="0"/>
              <w:ind w:left="0" w:right="0" w:hanging="0"/>
              <w:jc w:val="left"/>
            </w:pPr>
            <w:r>
              <w:t> </w:t>
            </w:r>
          </w:p>
        </w:tc>
      </w:tr>
      <w:tr>
        <w:tc>
          <w:tcPr>
            <w:tcW w:w="4918" w:type="dxa"/>
            <w:tcBorders/>
          </w:tcPr>
          <w:p>
            <w:pPr>
              <w:pStyle w:val="TableContents"/>
              <w:bidi w:val="0"/>
              <w:spacing w:before="0" w:after="0"/>
              <w:ind w:left="0" w:right="0" w:hanging="0"/>
              <w:jc w:val="left"/>
            </w:pPr>
            <w:r>
              <w:t> </w:t>
            </w:r>
          </w:p>
        </w:tc>
        <w:tc>
          <w:tcPr>
            <w:tcW w:w="342" w:type="dxa"/>
            <w:tcBorders/>
          </w:tcPr>
          <w:p>
            <w:pPr>
              <w:pStyle w:val="TableContents"/>
              <w:bidi w:val="0"/>
              <w:spacing w:before="0" w:after="0"/>
              <w:ind w:left="0" w:right="0" w:hanging="0"/>
              <w:jc w:val="left"/>
            </w:pPr>
            <w:r>
              <w:t> </w:t>
            </w:r>
          </w:p>
        </w:tc>
        <w:tc>
          <w:tcPr>
            <w:tcW w:w="378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L. Keller</w:t>
            </w:r>
          </w:p>
        </w:tc>
        <w:tc>
          <w:tcPr>
            <w:tcW w:w="1164" w:type="dxa"/>
            <w:tcBorders/>
          </w:tcPr>
          <w:p>
            <w:pPr>
              <w:pStyle w:val="TableContents"/>
              <w:bidi w:val="0"/>
              <w:spacing w:before="0" w:after="0"/>
              <w:ind w:left="0" w:right="0" w:hanging="0"/>
              <w:jc w:val="left"/>
            </w:pPr>
            <w:r>
              <w:t> </w:t>
            </w:r>
          </w:p>
        </w:tc>
      </w:tr>
      <w:tr>
        <w:tc>
          <w:tcPr>
            <w:tcW w:w="4918" w:type="dxa"/>
            <w:tcBorders/>
          </w:tcPr>
          <w:p>
            <w:pPr>
              <w:pStyle w:val="TableContents"/>
              <w:bidi w:val="0"/>
              <w:spacing w:before="0" w:after="0"/>
              <w:ind w:left="0" w:right="0" w:hanging="0"/>
              <w:jc w:val="left"/>
            </w:pPr>
            <w:r>
              <w:t> </w:t>
            </w:r>
          </w:p>
        </w:tc>
        <w:tc>
          <w:tcPr>
            <w:tcW w:w="342" w:type="dxa"/>
            <w:tcBorders/>
          </w:tcPr>
          <w:p>
            <w:pPr>
              <w:pStyle w:val="TableContents"/>
              <w:bidi w:val="0"/>
              <w:spacing w:before="0" w:after="0"/>
              <w:ind w:left="0" w:right="0" w:hanging="0"/>
              <w:jc w:val="left"/>
            </w:pPr>
            <w:r>
              <w:t> </w:t>
            </w:r>
          </w:p>
        </w:tc>
        <w:tc>
          <w:tcPr>
            <w:tcW w:w="378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c>
          <w:tcPr>
            <w:tcW w:w="1164" w:type="dxa"/>
            <w:tcBorders/>
          </w:tcPr>
          <w:p>
            <w:pPr>
              <w:pStyle w:val="TableContents"/>
              <w:bidi w:val="0"/>
              <w:spacing w:before="0" w:after="0"/>
              <w:ind w:left="0" w:right="0" w:hanging="0"/>
              <w:jc w:val="left"/>
            </w:pPr>
            <w:r>
              <w:t> </w:t>
            </w:r>
          </w:p>
        </w:tc>
      </w:tr>
      <w:tr>
        <w:tc>
          <w:tcPr>
            <w:tcW w:w="4918" w:type="dxa"/>
            <w:tcBorders/>
          </w:tcPr>
          <w:p>
            <w:pPr>
              <w:pStyle w:val="TableContents"/>
              <w:bidi w:val="0"/>
              <w:spacing w:before="0" w:after="283"/>
              <w:jc w:val="left"/>
            </w:pPr>
            <w:r>
              <w:t> </w:t>
            </w:r>
          </w:p>
        </w:tc>
        <w:tc>
          <w:tcPr>
            <w:tcW w:w="342" w:type="dxa"/>
            <w:tcBorders/>
          </w:tcPr>
          <w:p>
            <w:pPr>
              <w:pStyle w:val="TableContents"/>
              <w:bidi w:val="0"/>
              <w:spacing w:before="0" w:after="283"/>
              <w:jc w:val="left"/>
            </w:pPr>
            <w:r>
              <w:t> </w:t>
            </w:r>
          </w:p>
        </w:tc>
        <w:tc>
          <w:tcPr>
            <w:tcW w:w="3781" w:type="dxa"/>
            <w:tcBorders/>
          </w:tcPr>
          <w:p>
            <w:pPr>
              <w:pStyle w:val="TableContents"/>
              <w:bidi w:val="0"/>
              <w:spacing w:before="0" w:after="283"/>
              <w:jc w:val="left"/>
            </w:pPr>
            <w:r>
              <w:t>(Principal Financial and Accounting Officer)</w:t>
            </w:r>
          </w:p>
        </w:tc>
        <w:tc>
          <w:tcPr>
            <w:tcW w:w="1164" w:type="dxa"/>
            <w:tcBorders/>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right"/>
        <w:rPr>
          <w:rFonts w:ascii="Times New Roman" w:hAnsi="Times New Roman"/>
          <w:caps w:val="false"/>
          <w:smallCaps w:val="false"/>
          <w:sz w:val="20"/>
          <w:u w:val="single"/>
        </w:rPr>
      </w:pPr>
      <w:bookmarkStart w:id="26" w:name="ex_1035417.htm"/>
      <w:bookmarkStart w:id="27" w:name="ksex_1035417"/>
      <w:bookmarkEnd w:id="26"/>
      <w:bookmarkEnd w:id="27"/>
      <w:r>
        <w:rPr>
          <w:rFonts w:ascii="Times New Roman" w:hAnsi="Times New Roman"/>
          <w:caps w:val="false"/>
          <w:smallCaps w:val="false"/>
          <w:sz w:val="20"/>
          <w:u w:val="single"/>
        </w:rPr>
        <w:t>EXHIBIT 32.1</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this quarterly report of Rush Enterprises, Inc. (the “</w:t>
      </w:r>
      <w:r>
        <w:rPr>
          <w:rFonts w:ascii="Times New Roman" w:hAnsi="Times New Roman"/>
          <w:caps w:val="false"/>
          <w:smallCaps w:val="false"/>
          <w:sz w:val="20"/>
          <w:u w:val="single"/>
        </w:rPr>
        <w:t>Company</w:t>
      </w:r>
      <w:r>
        <w:rPr>
          <w:rFonts w:ascii="Times New Roman" w:hAnsi="Times New Roman"/>
          <w:caps w:val="false"/>
          <w:smallCaps w:val="false"/>
          <w:sz w:val="20"/>
        </w:rPr>
        <w:t>”) on Form 10-Q for the period ended September 30, 2026, as filed with the Securities and Exchange Commission on the date hereof (the “</w:t>
      </w:r>
      <w:r>
        <w:rPr>
          <w:rFonts w:ascii="Times New Roman" w:hAnsi="Times New Roman"/>
          <w:caps w:val="false"/>
          <w:smallCaps w:val="false"/>
          <w:sz w:val="20"/>
          <w:u w:val="single"/>
        </w:rPr>
        <w:t>Report</w:t>
      </w:r>
      <w:r>
        <w:rPr>
          <w:rFonts w:ascii="Times New Roman" w:hAnsi="Times New Roman"/>
          <w:caps w:val="false"/>
          <w:smallCaps w:val="false"/>
          <w:sz w:val="20"/>
        </w:rPr>
        <w:t>”), I, W.M. “Rusty” Rush, President, Chief Executive Officer and Chairman of the Board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c>
          <w:tcPr>
            <w:tcW w:w="60" w:type="dxa"/>
            <w:tcBorders/>
            <w:vAlign w:val="center"/>
          </w:tcPr>
          <w:p>
            <w:pPr>
              <w:pStyle w:val="TableContents"/>
              <w:bidi w:val="0"/>
              <w:spacing w:before="0" w:after="283"/>
              <w:jc w:val="left"/>
            </w:pPr>
            <w: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0"/>
        <w:gridCol w:w="523"/>
        <w:gridCol w:w="4200"/>
        <w:gridCol w:w="1082"/>
      </w:tblGrid>
      <w:tr>
        <w:tc>
          <w:tcPr>
            <w:tcW w:w="4400" w:type="dxa"/>
            <w:tcBorders/>
          </w:tcPr>
          <w:p>
            <w:pPr>
              <w:pStyle w:val="TableContents"/>
              <w:bidi w:val="0"/>
              <w:spacing w:before="0" w:after="0"/>
              <w:ind w:left="0" w:right="0" w:hanging="0"/>
              <w:jc w:val="left"/>
            </w:pPr>
            <w:r>
              <w:t> </w:t>
            </w:r>
          </w:p>
        </w:tc>
        <w:tc>
          <w:tcPr>
            <w:tcW w:w="4723" w:type="dxa"/>
            <w:gridSpan w:val="2"/>
            <w:tcBorders/>
          </w:tcPr>
          <w:p>
            <w:pPr>
              <w:pStyle w:val="TableContents"/>
              <w:bidi w:val="0"/>
              <w:spacing w:before="0" w:after="0"/>
              <w:ind w:left="0" w:right="0" w:hanging="0"/>
              <w:jc w:val="left"/>
            </w:pPr>
            <w:r>
              <w:t> </w:t>
            </w:r>
          </w:p>
        </w:tc>
        <w:tc>
          <w:tcPr>
            <w:tcW w:w="1082" w:type="dxa"/>
            <w:tcBorders/>
          </w:tcPr>
          <w:p>
            <w:pPr>
              <w:pStyle w:val="TableContents"/>
              <w:bidi w:val="0"/>
              <w:spacing w:before="0" w:after="0"/>
              <w:ind w:left="0" w:right="0" w:hanging="0"/>
              <w:jc w:val="left"/>
            </w:pPr>
            <w:r>
              <w:t> </w:t>
            </w:r>
          </w:p>
        </w:tc>
      </w:tr>
      <w:tr>
        <w:tc>
          <w:tcPr>
            <w:tcW w:w="4400" w:type="dxa"/>
            <w:tcBorders/>
          </w:tcPr>
          <w:p>
            <w:pPr>
              <w:pStyle w:val="TableContents"/>
              <w:bidi w:val="0"/>
              <w:spacing w:before="0" w:after="0"/>
              <w:ind w:left="0" w:right="0" w:hanging="0"/>
              <w:jc w:val="left"/>
            </w:pPr>
            <w:r>
              <w:t> </w:t>
            </w:r>
          </w:p>
        </w:tc>
        <w:tc>
          <w:tcPr>
            <w:tcW w:w="52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200"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W.M. “RUSTY” RUSH</w:t>
            </w:r>
          </w:p>
        </w:tc>
        <w:tc>
          <w:tcPr>
            <w:tcW w:w="1082" w:type="dxa"/>
            <w:tcBorders/>
          </w:tcPr>
          <w:p>
            <w:pPr>
              <w:pStyle w:val="TableContents"/>
              <w:bidi w:val="0"/>
              <w:spacing w:before="0" w:after="0"/>
              <w:ind w:left="0" w:right="0" w:hanging="0"/>
              <w:jc w:val="left"/>
            </w:pPr>
            <w:r>
              <w:t> </w:t>
            </w:r>
          </w:p>
        </w:tc>
      </w:tr>
      <w:tr>
        <w:tc>
          <w:tcPr>
            <w:tcW w:w="4400" w:type="dxa"/>
            <w:tcBorders/>
          </w:tcPr>
          <w:p>
            <w:pPr>
              <w:pStyle w:val="TableContents"/>
              <w:bidi w:val="0"/>
              <w:spacing w:before="0" w:after="0"/>
              <w:ind w:left="0" w:right="0" w:hanging="0"/>
              <w:jc w:val="left"/>
            </w:pPr>
            <w:r>
              <w:t> </w:t>
            </w:r>
          </w:p>
        </w:tc>
        <w:tc>
          <w:tcPr>
            <w:tcW w:w="52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20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W.M. “Rusty” Rush</w:t>
            </w:r>
          </w:p>
        </w:tc>
        <w:tc>
          <w:tcPr>
            <w:tcW w:w="1082" w:type="dxa"/>
            <w:tcBorders/>
          </w:tcPr>
          <w:p>
            <w:pPr>
              <w:pStyle w:val="TableContents"/>
              <w:bidi w:val="0"/>
              <w:spacing w:before="0" w:after="0"/>
              <w:ind w:left="0" w:right="0" w:hanging="0"/>
              <w:jc w:val="left"/>
            </w:pPr>
            <w:r>
              <w:t> </w:t>
            </w:r>
          </w:p>
        </w:tc>
      </w:tr>
      <w:tr>
        <w:tc>
          <w:tcPr>
            <w:tcW w:w="4400" w:type="dxa"/>
            <w:tcBorders/>
          </w:tcPr>
          <w:p>
            <w:pPr>
              <w:pStyle w:val="TableContents"/>
              <w:bidi w:val="0"/>
              <w:spacing w:before="0" w:after="0"/>
              <w:ind w:left="0" w:right="0" w:hanging="0"/>
              <w:jc w:val="left"/>
            </w:pPr>
            <w:r>
              <w:t> </w:t>
            </w:r>
          </w:p>
        </w:tc>
        <w:tc>
          <w:tcPr>
            <w:tcW w:w="523"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20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w:t>
            </w:r>
          </w:p>
        </w:tc>
        <w:tc>
          <w:tcPr>
            <w:tcW w:w="1082" w:type="dxa"/>
            <w:tcBorders/>
          </w:tcPr>
          <w:p>
            <w:pPr>
              <w:pStyle w:val="TableContents"/>
              <w:bidi w:val="0"/>
              <w:spacing w:before="0" w:after="0"/>
              <w:ind w:left="0" w:right="0" w:hanging="0"/>
              <w:jc w:val="left"/>
            </w:pPr>
            <w:r>
              <w:t> </w:t>
            </w:r>
          </w:p>
        </w:tc>
      </w:tr>
      <w:tr>
        <w:tc>
          <w:tcPr>
            <w:tcW w:w="4400" w:type="dxa"/>
            <w:tcBorders/>
          </w:tcPr>
          <w:p>
            <w:pPr>
              <w:pStyle w:val="TableContents"/>
              <w:bidi w:val="0"/>
              <w:spacing w:before="0" w:after="283"/>
              <w:jc w:val="left"/>
            </w:pPr>
            <w:r>
              <w:t> </w:t>
            </w:r>
          </w:p>
        </w:tc>
        <w:tc>
          <w:tcPr>
            <w:tcW w:w="523" w:type="dxa"/>
            <w:tcBorders/>
          </w:tcPr>
          <w:p>
            <w:pPr>
              <w:pStyle w:val="TableContents"/>
              <w:bidi w:val="0"/>
              <w:spacing w:before="0" w:after="283"/>
              <w:jc w:val="left"/>
            </w:pPr>
            <w:r>
              <w:t> </w:t>
            </w:r>
          </w:p>
        </w:tc>
        <w:tc>
          <w:tcPr>
            <w:tcW w:w="4200" w:type="dxa"/>
            <w:tcBorders/>
          </w:tcPr>
          <w:p>
            <w:pPr>
              <w:pStyle w:val="TableContents"/>
              <w:bidi w:val="0"/>
              <w:spacing w:before="0" w:after="283"/>
              <w:jc w:val="left"/>
            </w:pPr>
            <w:r>
              <w:t>Chairman of the Board</w:t>
            </w:r>
          </w:p>
        </w:tc>
        <w:tc>
          <w:tcPr>
            <w:tcW w:w="1082" w:type="dxa"/>
            <w:tcBorders/>
          </w:tcPr>
          <w:p>
            <w:pPr>
              <w:pStyle w:val="TableContents"/>
              <w:bidi w:val="0"/>
              <w:spacing w:before="0" w:after="283"/>
              <w:jc w:val="left"/>
            </w:pPr>
            <w:r>
              <w:t> </w:t>
            </w:r>
          </w:p>
        </w:tc>
      </w:tr>
      <w:tr>
        <w:tc>
          <w:tcPr>
            <w:tcW w:w="4400" w:type="dxa"/>
            <w:tcBorders/>
          </w:tcPr>
          <w:p>
            <w:pPr>
              <w:pStyle w:val="TableContents"/>
              <w:bidi w:val="0"/>
              <w:spacing w:before="0" w:after="283"/>
              <w:jc w:val="left"/>
            </w:pPr>
            <w:r>
              <w:t> </w:t>
            </w:r>
          </w:p>
        </w:tc>
        <w:tc>
          <w:tcPr>
            <w:tcW w:w="523" w:type="dxa"/>
            <w:tcBorders/>
          </w:tcPr>
          <w:p>
            <w:pPr>
              <w:pStyle w:val="TableContents"/>
              <w:bidi w:val="0"/>
              <w:spacing w:before="0" w:after="283"/>
              <w:jc w:val="left"/>
            </w:pPr>
            <w:r>
              <w:t>Date:</w:t>
            </w:r>
          </w:p>
        </w:tc>
        <w:tc>
          <w:tcPr>
            <w:tcW w:w="4200" w:type="dxa"/>
            <w:tcBorders/>
          </w:tcPr>
          <w:p>
            <w:pPr>
              <w:pStyle w:val="TableContents"/>
              <w:bidi w:val="0"/>
              <w:spacing w:before="0" w:after="283"/>
              <w:jc w:val="left"/>
            </w:pPr>
            <w:r>
              <w:t>November 6, 2026</w:t>
            </w:r>
          </w:p>
        </w:tc>
        <w:tc>
          <w:tcPr>
            <w:tcW w:w="1082" w:type="dxa"/>
            <w:tcBorders/>
          </w:tcPr>
          <w:p>
            <w:pPr>
              <w:pStyle w:val="TableContents"/>
              <w:bidi w:val="0"/>
              <w:spacing w:before="0" w:after="283"/>
              <w:jc w:val="left"/>
            </w:pP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p>
      <w:pPr>
        <w:pStyle w:val="TextBody"/>
        <w:bidi w:val="0"/>
        <w:spacing w:before="0" w:after="0"/>
        <w:ind w:left="0" w:right="0" w:hanging="0"/>
        <w:jc w:val="right"/>
        <w:rPr>
          <w:rFonts w:ascii="Times New Roman" w:hAnsi="Times New Roman"/>
          <w:caps w:val="false"/>
          <w:smallCaps w:val="false"/>
          <w:sz w:val="20"/>
          <w:u w:val="single"/>
        </w:rPr>
      </w:pPr>
      <w:bookmarkStart w:id="28" w:name="ex_1035416.htm"/>
      <w:bookmarkStart w:id="29" w:name="ksex_1035416"/>
      <w:bookmarkEnd w:id="28"/>
      <w:bookmarkEnd w:id="29"/>
      <w:r>
        <w:rPr>
          <w:rFonts w:ascii="Times New Roman" w:hAnsi="Times New Roman"/>
          <w:caps w:val="false"/>
          <w:smallCaps w:val="false"/>
          <w:sz w:val="20"/>
          <w:u w:val="single"/>
        </w:rPr>
        <w:t>EXHIBIT 32.2</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this quarterly report of Rush Enterprises, Inc. (the “</w:t>
      </w:r>
      <w:r>
        <w:rPr>
          <w:rFonts w:ascii="Times New Roman" w:hAnsi="Times New Roman"/>
          <w:caps w:val="false"/>
          <w:smallCaps w:val="false"/>
          <w:sz w:val="20"/>
          <w:u w:val="single"/>
        </w:rPr>
        <w:t>Company</w:t>
      </w:r>
      <w:r>
        <w:rPr>
          <w:rFonts w:ascii="Times New Roman" w:hAnsi="Times New Roman"/>
          <w:caps w:val="false"/>
          <w:smallCaps w:val="false"/>
          <w:sz w:val="20"/>
        </w:rPr>
        <w:t>”) on Form 10-Q for the period ended September 30, 2026, as filed with the Securities and Exchange Commission on the date hereof (the “</w:t>
      </w:r>
      <w:r>
        <w:rPr>
          <w:rFonts w:ascii="Times New Roman" w:hAnsi="Times New Roman"/>
          <w:caps w:val="false"/>
          <w:smallCaps w:val="false"/>
          <w:sz w:val="20"/>
          <w:u w:val="single"/>
        </w:rPr>
        <w:t>Report</w:t>
      </w:r>
      <w:r>
        <w:rPr>
          <w:rFonts w:ascii="Times New Roman" w:hAnsi="Times New Roman"/>
          <w:caps w:val="false"/>
          <w:smallCaps w:val="false"/>
          <w:sz w:val="20"/>
        </w:rPr>
        <w:t>”), I, Steven L. Keller, Chief Financial Officer and Treasurer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c>
          <w:tcPr>
            <w:tcW w:w="60" w:type="dxa"/>
            <w:tcBorders/>
            <w:vAlign w:val="center"/>
          </w:tcPr>
          <w:p>
            <w:pPr>
              <w:pStyle w:val="TableContents"/>
              <w:bidi w:val="0"/>
              <w:spacing w:before="0" w:after="283"/>
              <w:jc w:val="left"/>
            </w:pPr>
            <w: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c>
          <w:tcPr>
            <w:tcW w:w="60" w:type="dxa"/>
            <w:tcBorders/>
            <w:vAlign w:val="center"/>
          </w:tcPr>
          <w:p>
            <w:pPr>
              <w:pStyle w:val="TableContents"/>
              <w:bidi w:val="0"/>
              <w:spacing w:before="0" w:after="283"/>
              <w:jc w:val="left"/>
            </w:pPr>
            <w: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56"/>
        <w:gridCol w:w="517"/>
        <w:gridCol w:w="4137"/>
        <w:gridCol w:w="1095"/>
      </w:tblGrid>
      <w:tr>
        <w:tc>
          <w:tcPr>
            <w:tcW w:w="4456" w:type="dxa"/>
            <w:tcBorders/>
          </w:tcPr>
          <w:p>
            <w:pPr>
              <w:pStyle w:val="TableContents"/>
              <w:bidi w:val="0"/>
              <w:spacing w:before="0" w:after="0"/>
              <w:ind w:left="0" w:right="0" w:hanging="0"/>
              <w:jc w:val="left"/>
            </w:pPr>
            <w:r>
              <w:t> </w:t>
            </w:r>
          </w:p>
        </w:tc>
        <w:tc>
          <w:tcPr>
            <w:tcW w:w="517" w:type="dxa"/>
            <w:tcBorders/>
          </w:tcPr>
          <w:p>
            <w:pPr>
              <w:pStyle w:val="TableContents"/>
              <w:bidi w:val="0"/>
              <w:spacing w:before="0" w:after="0"/>
              <w:ind w:left="0" w:right="0" w:hanging="0"/>
              <w:jc w:val="left"/>
            </w:pPr>
            <w:r>
              <w:t> </w:t>
            </w:r>
          </w:p>
        </w:tc>
        <w:tc>
          <w:tcPr>
            <w:tcW w:w="4137" w:type="dxa"/>
            <w:tcBorders/>
            <w:vAlign w:val="bottom"/>
          </w:tcPr>
          <w:p>
            <w:pPr>
              <w:pStyle w:val="TableContents"/>
              <w:bidi w:val="0"/>
              <w:spacing w:before="0" w:after="0"/>
              <w:ind w:left="0" w:right="0" w:hanging="0"/>
              <w:jc w:val="left"/>
            </w:pPr>
            <w:r>
              <w:t> </w:t>
            </w:r>
          </w:p>
        </w:tc>
        <w:tc>
          <w:tcPr>
            <w:tcW w:w="1095" w:type="dxa"/>
            <w:tcBorders/>
          </w:tcPr>
          <w:p>
            <w:pPr>
              <w:pStyle w:val="TableContents"/>
              <w:bidi w:val="0"/>
              <w:spacing w:before="0" w:after="0"/>
              <w:ind w:left="0" w:right="0" w:hanging="0"/>
              <w:jc w:val="left"/>
            </w:pPr>
            <w:r>
              <w:t> </w:t>
            </w:r>
          </w:p>
        </w:tc>
      </w:tr>
      <w:tr>
        <w:tc>
          <w:tcPr>
            <w:tcW w:w="4456" w:type="dxa"/>
            <w:tcBorders/>
          </w:tcPr>
          <w:p>
            <w:pPr>
              <w:pStyle w:val="TableContents"/>
              <w:bidi w:val="0"/>
              <w:spacing w:before="0" w:after="0"/>
              <w:ind w:left="0" w:right="0" w:hanging="0"/>
              <w:jc w:val="left"/>
            </w:pPr>
            <w:r>
              <w:t> </w:t>
            </w:r>
          </w:p>
        </w:tc>
        <w:tc>
          <w:tcPr>
            <w:tcW w:w="51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137" w:type="dxa"/>
            <w:tcBorders/>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STEVEN L. KELLER</w:t>
            </w:r>
          </w:p>
        </w:tc>
        <w:tc>
          <w:tcPr>
            <w:tcW w:w="1095" w:type="dxa"/>
            <w:tcBorders/>
          </w:tcPr>
          <w:p>
            <w:pPr>
              <w:pStyle w:val="TableContents"/>
              <w:bidi w:val="0"/>
              <w:spacing w:before="0" w:after="0"/>
              <w:ind w:left="0" w:right="0" w:hanging="0"/>
              <w:jc w:val="left"/>
            </w:pPr>
            <w:r>
              <w:t> </w:t>
            </w:r>
          </w:p>
        </w:tc>
      </w:tr>
      <w:tr>
        <w:tc>
          <w:tcPr>
            <w:tcW w:w="4456" w:type="dxa"/>
            <w:tcBorders/>
          </w:tcPr>
          <w:p>
            <w:pPr>
              <w:pStyle w:val="TableContents"/>
              <w:bidi w:val="0"/>
              <w:spacing w:before="0" w:after="0"/>
              <w:ind w:left="0" w:right="0" w:hanging="0"/>
              <w:jc w:val="left"/>
            </w:pPr>
            <w:r>
              <w:t> </w:t>
            </w:r>
          </w:p>
        </w:tc>
        <w:tc>
          <w:tcPr>
            <w:tcW w:w="51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3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L. Keller</w:t>
            </w:r>
          </w:p>
        </w:tc>
        <w:tc>
          <w:tcPr>
            <w:tcW w:w="1095" w:type="dxa"/>
            <w:tcBorders/>
          </w:tcPr>
          <w:p>
            <w:pPr>
              <w:pStyle w:val="TableContents"/>
              <w:bidi w:val="0"/>
              <w:spacing w:before="0" w:after="0"/>
              <w:ind w:left="0" w:right="0" w:hanging="0"/>
              <w:jc w:val="left"/>
            </w:pPr>
            <w:r>
              <w:t> </w:t>
            </w:r>
          </w:p>
        </w:tc>
      </w:tr>
      <w:tr>
        <w:tc>
          <w:tcPr>
            <w:tcW w:w="4456" w:type="dxa"/>
            <w:tcBorders/>
          </w:tcPr>
          <w:p>
            <w:pPr>
              <w:pStyle w:val="TableContents"/>
              <w:bidi w:val="0"/>
              <w:spacing w:before="0" w:after="283"/>
              <w:jc w:val="left"/>
            </w:pPr>
            <w:r>
              <w:t> </w:t>
            </w:r>
          </w:p>
        </w:tc>
        <w:tc>
          <w:tcPr>
            <w:tcW w:w="517" w:type="dxa"/>
            <w:tcBorders/>
          </w:tcPr>
          <w:p>
            <w:pPr>
              <w:pStyle w:val="TableContents"/>
              <w:bidi w:val="0"/>
              <w:spacing w:before="0" w:after="283"/>
              <w:jc w:val="left"/>
            </w:pPr>
            <w:r>
              <w:t>Title:</w:t>
            </w:r>
          </w:p>
        </w:tc>
        <w:tc>
          <w:tcPr>
            <w:tcW w:w="4137" w:type="dxa"/>
            <w:tcBorders/>
          </w:tcPr>
          <w:p>
            <w:pPr>
              <w:pStyle w:val="TableContents"/>
              <w:bidi w:val="0"/>
              <w:spacing w:before="0" w:after="283"/>
              <w:jc w:val="left"/>
            </w:pPr>
            <w:r>
              <w:t>Chief Financial Officer and Treasurer</w:t>
            </w:r>
          </w:p>
        </w:tc>
        <w:tc>
          <w:tcPr>
            <w:tcW w:w="1095" w:type="dxa"/>
            <w:tcBorders/>
          </w:tcPr>
          <w:p>
            <w:pPr>
              <w:pStyle w:val="TableContents"/>
              <w:bidi w:val="0"/>
              <w:spacing w:before="0" w:after="283"/>
              <w:jc w:val="left"/>
            </w:pPr>
            <w:r>
              <w:t> </w:t>
            </w:r>
          </w:p>
        </w:tc>
      </w:tr>
      <w:tr>
        <w:tc>
          <w:tcPr>
            <w:tcW w:w="4456" w:type="dxa"/>
            <w:tcBorders/>
          </w:tcPr>
          <w:p>
            <w:pPr>
              <w:pStyle w:val="TableContents"/>
              <w:bidi w:val="0"/>
              <w:spacing w:before="0" w:after="283"/>
              <w:jc w:val="left"/>
            </w:pPr>
            <w:r>
              <w:t> </w:t>
            </w:r>
          </w:p>
        </w:tc>
        <w:tc>
          <w:tcPr>
            <w:tcW w:w="517" w:type="dxa"/>
            <w:tcBorders/>
          </w:tcPr>
          <w:p>
            <w:pPr>
              <w:pStyle w:val="TableContents"/>
              <w:bidi w:val="0"/>
              <w:spacing w:before="0" w:after="283"/>
              <w:jc w:val="left"/>
            </w:pPr>
            <w:r>
              <w:t>Date:</w:t>
            </w:r>
          </w:p>
        </w:tc>
        <w:tc>
          <w:tcPr>
            <w:tcW w:w="4137" w:type="dxa"/>
            <w:tcBorders/>
          </w:tcPr>
          <w:p>
            <w:pPr>
              <w:pStyle w:val="TableContents"/>
              <w:bidi w:val="0"/>
              <w:spacing w:before="0" w:after="283"/>
              <w:jc w:val="left"/>
            </w:pPr>
            <w:r>
              <w:t>November 6, 2026</w:t>
            </w:r>
          </w:p>
        </w:tc>
        <w:tc>
          <w:tcPr>
            <w:tcW w:w="1095" w:type="dxa"/>
            <w:tcBorders/>
          </w:tcPr>
          <w:p>
            <w:pPr>
              <w:pStyle w:val="TableContents"/>
              <w:bidi w:val="0"/>
              <w:spacing w:before="0" w:after="283"/>
              <w:jc w:val="left"/>
            </w:pPr>
            <w: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pPr>
      <w: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12019/000110465908051789/a08-18770_1ex3d1.htm" TargetMode="External"/><Relationship Id="rId3" Type="http://schemas.openxmlformats.org/officeDocument/2006/relationships/hyperlink" Target="http://www.sec.gov/Archives/edgar/data/1012019/000143774923022761/ex_553893.htm" TargetMode="External"/><Relationship Id="rId4" Type="http://schemas.openxmlformats.org/officeDocument/2006/relationships/hyperlink" Target="http://www.sec.gov/Archives/edgar/data/1012019/000143774925036807/ex_895175.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18329</Words>
  <Characters>99628</Characters>
  <CharactersWithSpaces>120984</CharactersWithSpaces>
  <Paragraphs>7600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