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4000" w:right="2540" w:hanging="3992"/>
        <w:spacing w:after="0" w:line="282"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2024</w:t>
      </w:r>
    </w:p>
    <w:p>
      <w:pPr>
        <w:spacing w:after="0" w:line="162" w:lineRule="exact"/>
        <w:rPr>
          <w:sz w:val="24"/>
          <w:szCs w:val="24"/>
          <w:color w:val="auto"/>
        </w:rPr>
      </w:pPr>
    </w:p>
    <w:p>
      <w:pPr>
        <w:ind w:left="4460" w:right="2340" w:hanging="4452"/>
        <w:spacing w:after="0" w:line="282" w:lineRule="auto"/>
        <w:tabs>
          <w:tab w:leader="none" w:pos="3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PURSANT TO SECTION 13 OR 15(d) OF THE SECURITIES EXCHANGE ACT OF 1934 For the transition period from to</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555 IH 35 South, New Braunfels, TX</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0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tcBorders>
              <w:top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760" w:type="dxa"/>
            <w:vAlign w:val="bottom"/>
            <w:tcBorders>
              <w:top w:val="single" w:sz="8" w:color="auto"/>
              <w:bottom w:val="single" w:sz="8" w:color="auto"/>
              <w:right w:val="single" w:sz="8" w:color="auto"/>
            </w:tcBorders>
          </w:tcPr>
          <w:p>
            <w:pPr>
              <w:spacing w:after="0"/>
              <w:rPr>
                <w:sz w:val="21"/>
                <w:szCs w:val="21"/>
                <w:color w:val="auto"/>
              </w:rPr>
            </w:pP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74"/>
        </w:trPr>
        <w:tc>
          <w:tcPr>
            <w:tcW w:w="4100" w:type="dxa"/>
            <w:vAlign w:val="bottom"/>
            <w:tcBorders>
              <w:left w:val="single" w:sz="8" w:color="auto"/>
              <w:right w:val="single" w:sz="8" w:color="auto"/>
            </w:tcBorders>
          </w:tcPr>
          <w:p>
            <w:pPr>
              <w:ind w:left="62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2460" w:type="dxa"/>
            <w:vAlign w:val="bottom"/>
          </w:tcPr>
          <w:p>
            <w:pPr>
              <w:jc w:val="center"/>
              <w:ind w:left="63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760" w:type="dxa"/>
            <w:vAlign w:val="bottom"/>
            <w:tcBorders>
              <w:right w:val="single" w:sz="8" w:color="auto"/>
            </w:tcBorders>
          </w:tcPr>
          <w:p>
            <w:pPr>
              <w:spacing w:after="0"/>
              <w:rPr>
                <w:sz w:val="15"/>
                <w:szCs w:val="15"/>
                <w:color w:val="auto"/>
              </w:rPr>
            </w:pPr>
          </w:p>
        </w:tc>
        <w:tc>
          <w:tcPr>
            <w:tcW w:w="39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410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24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RUSHB</w:t>
            </w:r>
          </w:p>
        </w:tc>
        <w:tc>
          <w:tcPr>
            <w:tcW w:w="760" w:type="dxa"/>
            <w:vAlign w:val="bottom"/>
            <w:tcBorders>
              <w:bottom w:val="single" w:sz="8" w:color="auto"/>
              <w:right w:val="single" w:sz="8" w:color="auto"/>
            </w:tcBorders>
          </w:tcPr>
          <w:p>
            <w:pPr>
              <w:spacing w:after="0"/>
              <w:rPr>
                <w:sz w:val="20"/>
                <w:szCs w:val="20"/>
                <w:color w:val="auto"/>
              </w:rPr>
            </w:pP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403"/>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r>
      <w:tr>
        <w:trPr>
          <w:trHeight w:val="238"/>
        </w:trPr>
        <w:tc>
          <w:tcPr>
            <w:tcW w:w="4100" w:type="dxa"/>
            <w:vAlign w:val="bottom"/>
          </w:tcPr>
          <w:p>
            <w:pPr>
              <w:spacing w:after="0"/>
              <w:rPr>
                <w:sz w:val="20"/>
                <w:szCs w:val="20"/>
                <w:color w:val="auto"/>
              </w:rPr>
            </w:pPr>
          </w:p>
        </w:tc>
        <w:tc>
          <w:tcPr>
            <w:tcW w:w="24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7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78"/>
        </w:trPr>
        <w:tc>
          <w:tcPr>
            <w:tcW w:w="11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r>
      <w:tr>
        <w:trPr>
          <w:trHeight w:val="303"/>
        </w:trPr>
        <w:tc>
          <w:tcPr>
            <w:tcW w:w="4100" w:type="dxa"/>
            <w:vAlign w:val="bottom"/>
          </w:tcPr>
          <w:p>
            <w:pPr>
              <w:spacing w:after="0"/>
              <w:rPr>
                <w:sz w:val="24"/>
                <w:szCs w:val="24"/>
                <w:color w:val="auto"/>
              </w:rPr>
            </w:pPr>
          </w:p>
        </w:tc>
        <w:tc>
          <w:tcPr>
            <w:tcW w:w="2460" w:type="dxa"/>
            <w:vAlign w:val="bottom"/>
          </w:tcPr>
          <w:p>
            <w:pPr>
              <w:ind w:left="15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468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45"/>
        </w:trPr>
        <w:tc>
          <w:tcPr>
            <w:tcW w:w="11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Exchange Act.</w:t>
            </w:r>
          </w:p>
        </w:tc>
      </w:tr>
      <w:tr>
        <w:trPr>
          <w:trHeight w:val="303"/>
        </w:trPr>
        <w:tc>
          <w:tcPr>
            <w:tcW w:w="4100" w:type="dxa"/>
            <w:vAlign w:val="bottom"/>
          </w:tcPr>
          <w:p>
            <w:pPr>
              <w:spacing w:after="0"/>
              <w:rPr>
                <w:sz w:val="24"/>
                <w:szCs w:val="24"/>
                <w:color w:val="auto"/>
              </w:rPr>
            </w:pPr>
          </w:p>
        </w:tc>
        <w:tc>
          <w:tcPr>
            <w:tcW w:w="2460" w:type="dxa"/>
            <w:vAlign w:val="bottom"/>
          </w:tcPr>
          <w:p>
            <w:pPr>
              <w:ind w:left="15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468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65"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64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564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2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541"/>
        </w:trPr>
        <w:tc>
          <w:tcPr>
            <w:tcW w:w="2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27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27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564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 xml:space="preserve">The aggregate market value of common stock held by non-affiliates of the registrant as of June 28, 2024, was approximately $2,888,794,148 based upon the last sales price on June 28, 2024, on The NASDAQ Global Select Market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of $41.87 for the registrant’s Class A common stock and $39.24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registrant had 62,683,594 shares Class A common stock and 16,562,977 shares of Class B common stock outstanding on February 17, 2025.</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Portions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definitive proxy statement for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2025 Annual Meeting of Shareholders, to be filed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Commission not later than 120 days after December 31, 2024,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gridSpan w:val="14"/>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RUSH ENTERPRISES, INC.</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gridSpan w:val="14"/>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Index to Form 10-K</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15"/>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386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040" w:type="dxa"/>
            <w:vAlign w:val="bottom"/>
            <w:gridSpan w:val="5"/>
          </w:tcPr>
          <w:p>
            <w:pPr>
              <w:jc w:val="center"/>
              <w:ind w:left="77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300" w:type="dxa"/>
            <w:vAlign w:val="bottom"/>
            <w:gridSpan w:val="6"/>
          </w:tcPr>
          <w:p>
            <w:pPr>
              <w:jc w:val="center"/>
              <w:ind w:left="510"/>
              <w:spacing w:after="0" w:line="196" w:lineRule="exact"/>
              <w:rPr>
                <w:sz w:val="20"/>
                <w:szCs w:val="20"/>
                <w:color w:val="auto"/>
              </w:rPr>
            </w:pPr>
            <w:r>
              <w:rPr>
                <w:rFonts w:ascii="Times New Roman" w:cs="Times New Roman" w:eastAsia="Times New Roman" w:hAnsi="Times New Roman"/>
                <w:sz w:val="18"/>
                <w:szCs w:val="18"/>
                <w:color w:val="0000EE"/>
                <w:w w:val="99"/>
              </w:rPr>
              <w:t>14</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300" w:type="dxa"/>
            <w:vAlign w:val="bottom"/>
            <w:gridSpan w:val="6"/>
          </w:tcPr>
          <w:p>
            <w:pPr>
              <w:jc w:val="center"/>
              <w:ind w:left="51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gridSpan w:val="5"/>
          </w:tcPr>
          <w:p>
            <w:pPr>
              <w:spacing w:after="0"/>
              <w:rPr>
                <w:sz w:val="17"/>
                <w:szCs w:val="17"/>
                <w:color w:val="auto"/>
              </w:rPr>
            </w:pPr>
          </w:p>
        </w:tc>
        <w:tc>
          <w:tcPr>
            <w:tcW w:w="6660" w:type="dxa"/>
            <w:vAlign w:val="bottom"/>
            <w:gridSpan w:val="17"/>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gridSpan w:val="3"/>
          </w:tcPr>
          <w:p>
            <w:pPr>
              <w:spacing w:after="0"/>
              <w:rPr>
                <w:sz w:val="17"/>
                <w:szCs w:val="17"/>
                <w:color w:val="auto"/>
              </w:rPr>
            </w:pPr>
          </w:p>
        </w:tc>
        <w:tc>
          <w:tcPr>
            <w:tcW w:w="7680" w:type="dxa"/>
            <w:vAlign w:val="bottom"/>
            <w:gridSpan w:val="22"/>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7380" w:type="dxa"/>
            <w:vAlign w:val="bottom"/>
            <w:gridSpan w:val="21"/>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29</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00" w:type="dxa"/>
            <w:vAlign w:val="bottom"/>
            <w:gridSpan w:val="6"/>
          </w:tcPr>
          <w:p>
            <w:pPr>
              <w:jc w:val="center"/>
              <w:ind w:left="510"/>
              <w:spacing w:after="0" w:line="196" w:lineRule="exact"/>
              <w:rPr>
                <w:sz w:val="20"/>
                <w:szCs w:val="20"/>
                <w:color w:val="auto"/>
              </w:rPr>
            </w:pPr>
            <w:r>
              <w:rPr>
                <w:rFonts w:ascii="Times New Roman" w:cs="Times New Roman" w:eastAsia="Times New Roman" w:hAnsi="Times New Roman"/>
                <w:sz w:val="18"/>
                <w:szCs w:val="18"/>
                <w:color w:val="0000EE"/>
                <w:w w:val="99"/>
              </w:rPr>
              <w:t>29</w:t>
            </w:r>
          </w:p>
        </w:tc>
        <w:tc>
          <w:tcPr>
            <w:tcW w:w="10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1"/>
          </w:tcPr>
          <w:p>
            <w:pPr>
              <w:jc w:val="center"/>
              <w:ind w:right="3840"/>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Shareholder Matters and Issuer Purchases of Equity Securities</w:t>
            </w:r>
          </w:p>
        </w:tc>
        <w:tc>
          <w:tcPr>
            <w:tcW w:w="62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0000EE"/>
                <w:w w:val="99"/>
              </w:rPr>
              <w:t>29</w:t>
            </w: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gridSpan w:val="23"/>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240" w:type="dxa"/>
            <w:vAlign w:val="bottom"/>
            <w:gridSpan w:val="4"/>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gridSpan w:val="8"/>
          </w:tcPr>
          <w:p>
            <w:pPr>
              <w:spacing w:after="0"/>
              <w:rPr>
                <w:sz w:val="17"/>
                <w:szCs w:val="17"/>
                <w:color w:val="auto"/>
              </w:rPr>
            </w:pPr>
          </w:p>
        </w:tc>
        <w:tc>
          <w:tcPr>
            <w:tcW w:w="2240" w:type="dxa"/>
            <w:vAlign w:val="bottom"/>
            <w:gridSpan w:val="4"/>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43</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380" w:type="dxa"/>
            <w:vAlign w:val="bottom"/>
            <w:gridSpan w:val="12"/>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45</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220" w:type="dxa"/>
            <w:vAlign w:val="bottom"/>
            <w:gridSpan w:val="3"/>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77</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00" w:type="dxa"/>
            <w:vAlign w:val="bottom"/>
            <w:gridSpan w:val="16"/>
          </w:tcPr>
          <w:p>
            <w:pPr>
              <w:spacing w:after="0"/>
              <w:rPr>
                <w:sz w:val="17"/>
                <w:szCs w:val="17"/>
                <w:color w:val="auto"/>
              </w:rPr>
            </w:pPr>
          </w:p>
        </w:tc>
        <w:tc>
          <w:tcPr>
            <w:tcW w:w="2220" w:type="dxa"/>
            <w:vAlign w:val="bottom"/>
            <w:gridSpan w:val="3"/>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77</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6920" w:type="dxa"/>
            <w:vAlign w:val="bottom"/>
            <w:gridSpan w:val="19"/>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79</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780" w:type="dxa"/>
            <w:vAlign w:val="bottom"/>
            <w:gridSpan w:val="6"/>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79</w:t>
            </w:r>
          </w:p>
        </w:tc>
        <w:tc>
          <w:tcPr>
            <w:tcW w:w="10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bottom w:val="single" w:sz="8" w:color="0000EE"/>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7"/>
              </w:rPr>
              <w:t>Part III</w:t>
            </w:r>
          </w:p>
        </w:tc>
        <w:tc>
          <w:tcPr>
            <w:tcW w:w="378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600" w:type="dxa"/>
            <w:vAlign w:val="bottom"/>
            <w:gridSpan w:val="13"/>
          </w:tcPr>
          <w:p>
            <w:pPr>
              <w:spacing w:after="0"/>
              <w:rPr>
                <w:sz w:val="24"/>
                <w:szCs w:val="24"/>
                <w:color w:val="auto"/>
              </w:rPr>
            </w:pPr>
          </w:p>
        </w:tc>
        <w:tc>
          <w:tcPr>
            <w:tcW w:w="860" w:type="dxa"/>
            <w:vAlign w:val="bottom"/>
            <w:gridSpan w:val="2"/>
          </w:tcPr>
          <w:p>
            <w:pPr>
              <w:spacing w:after="0"/>
              <w:rPr>
                <w:sz w:val="24"/>
                <w:szCs w:val="24"/>
                <w:color w:val="auto"/>
              </w:rPr>
            </w:pPr>
          </w:p>
        </w:tc>
        <w:tc>
          <w:tcPr>
            <w:tcW w:w="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0000EE"/>
                <w:w w:val="99"/>
              </w:rPr>
              <w:t>79</w:t>
            </w: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600" w:type="dxa"/>
            <w:vAlign w:val="bottom"/>
            <w:gridSpan w:val="13"/>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79</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Shareholder Matters</w:t>
            </w:r>
          </w:p>
        </w:tc>
        <w:tc>
          <w:tcPr>
            <w:tcW w:w="140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79</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17"/>
                <w:szCs w:val="17"/>
                <w:color w:val="auto"/>
              </w:rPr>
            </w:pPr>
          </w:p>
        </w:tc>
        <w:tc>
          <w:tcPr>
            <w:tcW w:w="140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80</w:t>
            </w: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240" w:type="dxa"/>
            <w:vAlign w:val="bottom"/>
            <w:gridSpan w:val="5"/>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80</w:t>
            </w:r>
          </w:p>
        </w:tc>
        <w:tc>
          <w:tcPr>
            <w:tcW w:w="10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IV</w:t>
            </w:r>
          </w:p>
        </w:tc>
        <w:tc>
          <w:tcPr>
            <w:tcW w:w="380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7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1300" w:type="dxa"/>
            <w:vAlign w:val="bottom"/>
            <w:gridSpan w:val="6"/>
          </w:tcPr>
          <w:p>
            <w:pPr>
              <w:jc w:val="center"/>
              <w:ind w:left="510"/>
              <w:spacing w:after="0"/>
              <w:rPr>
                <w:sz w:val="20"/>
                <w:szCs w:val="20"/>
                <w:color w:val="auto"/>
              </w:rPr>
            </w:pPr>
            <w:r>
              <w:rPr>
                <w:rFonts w:ascii="Times New Roman" w:cs="Times New Roman" w:eastAsia="Times New Roman" w:hAnsi="Times New Roman"/>
                <w:sz w:val="18"/>
                <w:szCs w:val="18"/>
                <w:color w:val="0000EE"/>
                <w:w w:val="99"/>
              </w:rPr>
              <w:t>81</w:t>
            </w:r>
          </w:p>
        </w:tc>
        <w:tc>
          <w:tcPr>
            <w:tcW w:w="1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800" w:type="dxa"/>
            <w:vAlign w:val="bottom"/>
            <w:gridSpan w:val="1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800" w:type="dxa"/>
            <w:vAlign w:val="bottom"/>
            <w:gridSpan w:val="15"/>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0000EE"/>
                <w:w w:val="99"/>
              </w:rPr>
              <w:t>85</w:t>
            </w:r>
          </w:p>
        </w:tc>
        <w:tc>
          <w:tcPr>
            <w:tcW w:w="100" w:type="dxa"/>
            <w:vAlign w:val="bottom"/>
          </w:tcPr>
          <w:p>
            <w:pPr>
              <w:spacing w:after="0"/>
              <w:rPr>
                <w:sz w:val="17"/>
                <w:szCs w:val="17"/>
                <w:color w:val="auto"/>
              </w:rPr>
            </w:pPr>
          </w:p>
        </w:tc>
      </w:tr>
      <w:tr>
        <w:trPr>
          <w:trHeight w:val="595"/>
        </w:trPr>
        <w:tc>
          <w:tcPr>
            <w:tcW w:w="11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10-K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words or phrases of similar import, as they relate to the Company or its subsidiaries or Company management, are intended to identify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International Motors, LLC (f/k/a Navistar, Inc.).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Dennis Eagle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Dennis Eagle Limited.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Blue Arc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The Shyft Group Inc. Battel Motors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Battel Motors, Inc. This report contains additional trade names or trademarks of other companies. Our use of such trade names or trademarks should not imply any endorsement or relationship with such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References herein to “the Company,” “Rush Enterprises,” “we,” “our” or “us” mean Rush Enterprises, Inc., a Texas corporation,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Blue Bird, Dennis Eagle, Blue Arc and Battle Motors.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143 franchised Rush Truck Centers locations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12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certain of our Rush Truck Centers and several stand-alone locations, we operate 54 franchised Rush Truck Leasing locations in 21 states and 5 locations in Ontario. We provide a broad line of product selections for lease or rent, including Class 4 through Class 8 commercial vehicles, heavy-duty cranes and refuse vehicles. Our lease and rental fleets are offered to customers on a daily, monthly or long-term basis. Substantially all of our long-term leases also contain a service provision, whereby we agree to service the vehicle through the life of the lease. In addition to the product selections for lease or rent, Rush Truck Leasing also provides full-service maintenance on customers’ vehicles at several of our customers’ facilities.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reflects the locations of our operations by state or province as of February 15, 2025:</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0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Franchises</w:t>
            </w:r>
          </w:p>
        </w:tc>
      </w:tr>
      <w:tr>
        <w:trPr>
          <w:trHeight w:val="238"/>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Locations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Locations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Locations (2)</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0"/>
                <w:szCs w:val="20"/>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179</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Ontario, CAN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25</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21</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17</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17</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121</w:t>
            </w:r>
          </w:p>
        </w:tc>
        <w:tc>
          <w:tcPr>
            <w:tcW w:w="12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78</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1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488</w:t>
            </w:r>
          </w:p>
        </w:tc>
        <w:tc>
          <w:tcPr>
            <w:tcW w:w="80" w:type="dxa"/>
            <w:vAlign w:val="bottom"/>
            <w:tcBorders>
              <w:bottom w:val="single" w:sz="8" w:color="CCEEFF"/>
            </w:tcBorders>
            <w:shd w:val="clear" w:color="auto" w:fill="CCEEFF"/>
          </w:tcPr>
          <w:p>
            <w:pPr>
              <w:spacing w:after="0"/>
              <w:rPr>
                <w:sz w:val="21"/>
                <w:szCs w:val="21"/>
                <w:color w:val="auto"/>
              </w:rPr>
            </w:pPr>
          </w:p>
        </w:tc>
      </w:tr>
    </w:tbl>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Rush Truck Centers and Rush Truck Leasing</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House of Trucks, Perfection Equipment, Chrome Country, Custom Vehicle Solutions, World Wide Tires and Rush Truck Insurance Services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Peterbilt, International, Ford, Hino, Isuzu, IC Bus, Blue Bird, Micro Bird, Collins Bus, Dennis Eagle, Blue Arc and Battle Motors</w:t>
      </w:r>
    </w:p>
    <w:p>
      <w:pPr>
        <w:spacing w:after="0" w:line="166"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Financial and Insurance Products. </w:t>
      </w:r>
      <w:r>
        <w:rPr>
          <w:rFonts w:ascii="Times New Roman" w:cs="Times New Roman" w:eastAsia="Times New Roman" w:hAnsi="Times New Roman"/>
          <w:sz w:val="18"/>
          <w:szCs w:val="18"/>
          <w:color w:val="auto"/>
        </w:rPr>
        <w:t>At our Rush Truck Centers, we offer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financing to assist customers in purchasing new and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9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Businesses. </w:t>
      </w:r>
      <w:r>
        <w:rPr>
          <w:rFonts w:ascii="Times New Roman" w:cs="Times New Roman" w:eastAsia="Times New Roman" w:hAnsi="Times New Roman"/>
          <w:sz w:val="18"/>
          <w:szCs w:val="18"/>
          <w:color w:val="auto"/>
        </w:rPr>
        <w:t>Perfection Equipment offers installation of equipment, equipment repair, parts installation, and paint and body repair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in Oklahoma City. Perfection Equipment specializes in up-fitting trucks used by oilfield service providers and other specialized service providers.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Custom Vehicle Solutions operates at its location in Denton, Texas. Custom Vehicle Solutions provides new vehicle pre-delivery inspections, truck modifications, natural gas fuel system installations, body and chassis upfitting and component installations.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House of Trucks operates at locations in Dallas, Texas and Chicago, Illinois. The House of Trucks sells used commercial vehicles, new and used trailers and offers third-party financing and insurance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World Wide Tires store operates in Houston, Texas. World Wide Tires primarily sells tires for use on commercial vehicles.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Effective January 2022, we sold 50% of our equity interest in Momentum Fuel Technologies to a subsidiary of Cummins, Inc. and we are now operating the business, Cummins Clean Fuel Technologies, as a joint venture with Cummins. The joint venture manufactures compressed natural gas fuel systems and related component parts for commercial vehicles at its facility in Roanoke, Texas.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 Industry” for a description of our industry and the markets in which we operate.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Strategy. </w:t>
      </w:r>
      <w:r>
        <w:rPr>
          <w:rFonts w:ascii="Times New Roman" w:cs="Times New Roman" w:eastAsia="Times New Roman" w:hAnsi="Times New Roman"/>
          <w:sz w:val="18"/>
          <w:szCs w:val="18"/>
          <w:color w:val="auto"/>
        </w:rPr>
        <w:t>Our strategy is to operate an integrated dealership network that provides service solutions to the commercial vehicle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and Ontario, Canada. Our strategy includes the following key elements: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by Dealership Units</w:t>
      </w:r>
      <w:r>
        <w:rPr>
          <w:rFonts w:ascii="Times New Roman" w:cs="Times New Roman" w:eastAsia="Times New Roman" w:hAnsi="Times New Roman"/>
          <w:sz w:val="18"/>
          <w:szCs w:val="18"/>
          <w:color w:val="auto"/>
        </w:rPr>
        <w:t>. At each of our dealerships, we operate one or more of the following departments: new commercial vehicle sales, used commercial vehicle sales, financial services, part sales, service, or a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One-Stop Centers</w:t>
      </w:r>
      <w:r>
        <w:rPr>
          <w:rFonts w:ascii="Times New Roman" w:cs="Times New Roman" w:eastAsia="Times New Roman" w:hAnsi="Times New Roman"/>
          <w:sz w:val="18"/>
          <w:szCs w:val="18"/>
          <w:color w:val="auto"/>
        </w:rPr>
        <w:t>. We have developed certain of our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helps to mitigate cyclical economic fluctuations because our parts, service and collision center operations (referred to herein collectively as “Aftermarket Products and Services”) at our dealerships generally tend to be less cyclical than our new and used commercial vehicle sales.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Aftermarket Products and Services</w:t>
      </w:r>
      <w:r>
        <w:rPr>
          <w:rFonts w:ascii="Times New Roman" w:cs="Times New Roman" w:eastAsia="Times New Roman" w:hAnsi="Times New Roman"/>
          <w:sz w:val="18"/>
          <w:szCs w:val="18"/>
          <w:color w:val="auto"/>
        </w:rPr>
        <w:t>. Our aftermarket capabilities include a wide range of services and products such as providing parts, service and collision repairs at certain of our Rush Truck Centers, a fleet of mobile service units, mobile technicians who work in our customers’ facilities, technology solutions, including vehicle telematics support, a proprietary line of parts and accessories, and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network to offer more products and services to our customers.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Branding Program</w:t>
      </w:r>
      <w:r>
        <w:rPr>
          <w:rFonts w:ascii="Times New Roman" w:cs="Times New Roman" w:eastAsia="Times New Roman" w:hAnsi="Times New Roman"/>
          <w:sz w:val="18"/>
          <w:szCs w:val="18"/>
          <w:color w:val="auto"/>
        </w:rPr>
        <w:t>. We employ a branding program at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Strategy. </w:t>
      </w:r>
      <w:r>
        <w:rPr>
          <w:rFonts w:ascii="Times New Roman" w:cs="Times New Roman" w:eastAsia="Times New Roman" w:hAnsi="Times New Roman"/>
          <w:sz w:val="18"/>
          <w:szCs w:val="18"/>
          <w:color w:val="auto"/>
        </w:rPr>
        <w:t>Through our strategic expansion and acquisition initiatives, we have grown to operate a large, multistate/international, full-service network of commercial vehicle dealerships. As described below, we intend to continue to grow our business by expanding our product and service offerings through acquisitions in new geographic areas and by opening new locations to enable us to better serve our customers.</w:t>
      </w:r>
    </w:p>
    <w:p>
      <w:pPr>
        <w:spacing w:after="0" w:line="175" w:lineRule="exact"/>
        <w:rPr>
          <w:sz w:val="20"/>
          <w:szCs w:val="20"/>
          <w:color w:val="auto"/>
        </w:rPr>
      </w:pPr>
    </w:p>
    <w:p>
      <w:pPr>
        <w:jc w:val="both"/>
        <w:ind w:left="9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Product and Service Offerings</w:t>
      </w:r>
      <w:r>
        <w:rPr>
          <w:rFonts w:ascii="Times New Roman" w:cs="Times New Roman" w:eastAsia="Times New Roman" w:hAnsi="Times New Roman"/>
          <w:sz w:val="18"/>
          <w:szCs w:val="18"/>
          <w:color w:val="auto"/>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Into New Geographic Areas</w:t>
      </w:r>
      <w:r>
        <w:rPr>
          <w:rFonts w:ascii="Times New Roman" w:cs="Times New Roman" w:eastAsia="Times New Roman" w:hAnsi="Times New Roman"/>
          <w:sz w:val="18"/>
          <w:szCs w:val="18"/>
          <w:color w:val="auto"/>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New Rush Truck Centers in Existing Areas of Operation</w:t>
      </w:r>
      <w:r>
        <w:rPr>
          <w:rFonts w:ascii="Times New Roman" w:cs="Times New Roman" w:eastAsia="Times New Roman" w:hAnsi="Times New Roman"/>
          <w:sz w:val="18"/>
          <w:szCs w:val="18"/>
          <w:color w:val="auto"/>
        </w:rPr>
        <w:t>. We continually evaluate opportunities to increase our market presence by adding new Rush Truck Centers within our current franchises’ areas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Our Dealerships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Rush Truck Centers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Rush Truck Centers are responsible for sales of new and used commercial vehicles, as well as related Aftermarket Products and Services.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Aftermarket Products and Services</w:t>
      </w:r>
      <w:r>
        <w:rPr>
          <w:rFonts w:ascii="Times New Roman" w:cs="Times New Roman" w:eastAsia="Times New Roman" w:hAnsi="Times New Roman"/>
          <w:sz w:val="18"/>
          <w:szCs w:val="18"/>
          <w:color w:val="auto"/>
        </w:rPr>
        <w:t>. Revenues from Aftermarket Products and Services accounted for approximately $2,516.0 million, or 32.2%, of our total revenues for 2024, and 60.4% of our gross profit.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service departments perform warranty and non-warranty repairs on commercial vehicles. The cost of warranty work is generally reimbursed by the applicable manufacturer at retail commercial rates. Warranty-related parts and service revenues accounted for approximately $186.6 million, or 2.4%, of our total revenues for 2024. Additionally, we provide a wide array of services, including assembly services for specialized commercial vehicle bodies and commercial vehicle mounted equipment. Our goal is to provide our customers with any service that they need related to their commercial vehicles.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enter into contracts to provide full-service maintenance on certain customers’ vehicles. We had 2,942 vehicles under contract maintenance as of December 31, 2024. The full-service maintenance revenues and retail service revenues are included as Aftermarket Products and Services revenues on our Consolidated Statements of Income.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New Commercial Vehicle Sales</w:t>
      </w:r>
      <w:r>
        <w:rPr>
          <w:rFonts w:ascii="Times New Roman" w:cs="Times New Roman" w:eastAsia="Times New Roman" w:hAnsi="Times New Roman"/>
          <w:sz w:val="18"/>
          <w:szCs w:val="18"/>
          <w:color w:val="auto"/>
        </w:rPr>
        <w:t>. New commercial vehicle sales represent the largest portion of our revenues, accounting for approximately $4,553.0 million, or 58.3%, of our total revenues in 2024. Of this total, new Class 8 heavy-duty truck sales accounted for approximately $2,906.8 million, or 37.2%, of our total revenues for 2024, and 63.8% of our new commercial vehicle revenues for 2024.</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Rush Truck Centers that sell new and used Class 8 heavy-duty trucks manufactured by Peterbilt, International, Hino, Dennis Eagle or Battle Motors may also sell medium-duty and light-duty commercial vehicles. Certain Rush Truck Centers sell medium-duty commercial vehicles manufactured by Peterbilt, Hino, Isuzu, Ford, International, Blue Arc, Dennis Eagle or Battle Motors, buses manufactured by Blue Bird, IC Bus or Micro Bird and light-duty commercial vehicles manufactured by Ford. New medium-duty commercial vehicle sales, excluding new bus sales, accounted for approximately $1,312.3 million, or 16.8%, of our total revenues for 2024, and 28.8% of our new commercial vehicle revenues for 2024. New bus sales accounted for approximately $172.9 million, or 2.2%, of our total revenues for 2024, and 3.8% of our new commercial vehicle revenues for 2024. New light-duty commercial vehicle sales accounted for approximately $126.0 million, or 1.6%, of our total revenues for 2024, and 2.8% of our new commercial vehicle revenues for 2024.</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Used Commercial Vehicle Sales</w:t>
      </w:r>
      <w:r>
        <w:rPr>
          <w:rFonts w:ascii="Times New Roman" w:cs="Times New Roman" w:eastAsia="Times New Roman" w:hAnsi="Times New Roman"/>
          <w:sz w:val="18"/>
          <w:szCs w:val="18"/>
          <w:color w:val="auto"/>
        </w:rPr>
        <w:t>. Used commercial vehicle sales accounted for approximately $335.8 million, or 4.3%, of our total revenues for 2024. We sell used commercial vehicles at most of our Rush Truck Centers and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Most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Vehicle Leasing and Rental</w:t>
      </w:r>
      <w:r>
        <w:rPr>
          <w:rFonts w:ascii="Times New Roman" w:cs="Times New Roman" w:eastAsia="Times New Roman" w:hAnsi="Times New Roman"/>
          <w:sz w:val="18"/>
          <w:szCs w:val="18"/>
          <w:color w:val="auto"/>
        </w:rPr>
        <w:t>. Vehicle leasing and rental revenues accounted for approximately $354.9 million, or 4.5%, of our total revenues for 2024. At our Rush Truck Leasing locations, we engage in full-service commercial vehicle leasing and rental through our PacLease and Idealease franchises. As of December 31, 2024, we had 10,148 commercial vehicles in our lease and rental fleet. Generally, we sell commercial vehicles that have been retired from our lease and rental fleet through our used commercial vehicles sales operations. Historically, we have realized gains on the sale of used lease and rental fleet inventory.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New and Used Commercial Vehicle Financing and Insurance</w:t>
      </w:r>
      <w:r>
        <w:rPr>
          <w:rFonts w:ascii="Times New Roman" w:cs="Times New Roman" w:eastAsia="Times New Roman" w:hAnsi="Times New Roman"/>
          <w:sz w:val="18"/>
          <w:szCs w:val="18"/>
          <w:color w:val="auto"/>
        </w:rPr>
        <w:t>. The sale of financial and insurance products accounted for approximately $22.0 million, or 0.3%, of our total revenues for 2024. Finance and insurance revenues have minimal direct costs and therefore, contribute a disproportionate share to our operating profits.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Rush Truck Centers have personnel responsible for arranging third-party financing for our product offerings. Generally, commercial vehicle finance contracts involve an installment contract, which is secured by the commercial vehicle financed and requires a down payment, with the remaining balance generally financed over a two-year to seven-year period. Most of these finance contracts are sold to third parties without recourse to us. We provide an allowance for repossession losses and early repayment penalties that we may incur under these finance contracts.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as an agent, a complete line of property and casualty insurance to commercial vehicle owners. Our agency, which operates at locations around the United States outside of our Rush Truck Centers, is licensed to sell commercial vehicle liability, collision and comprehensive, workers’ compensation, cargo, and credit life insurance coverage offered by several leading insurance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31, 2024, we employed 7,388 people in the U.S. and 550 people in Canada. Of these employees, less than 1.4% of our workforce was classified as part-time. We do not regularly use independent contractors in our business operations. We strive to provide our employees with the security of long-term employment, competitive compensation and benefits, a consistent work schedule and opportunities to improve their skills and advance within the Company.</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Core Values. </w:t>
      </w:r>
      <w:r>
        <w:rPr>
          <w:rFonts w:ascii="Times New Roman" w:cs="Times New Roman" w:eastAsia="Times New Roman" w:hAnsi="Times New Roman"/>
          <w:sz w:val="18"/>
          <w:szCs w:val="18"/>
          <w:color w:val="auto"/>
        </w:rPr>
        <w:t>Our core values define our culture and reflect who we are and the way we interact with our customers, suppliers, co-workers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Our core values are productivity, fairness, excellence and a positive attitude and are described below.</w:t>
      </w:r>
    </w:p>
    <w:p>
      <w:pPr>
        <w:spacing w:after="0" w:line="160"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means constantly striving toward efficiency and success in all interactions and activities while working with a common purpose and sense of urgency.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Fairness characterizes our honesty, integrity, truthfulness, dependability and reliability in everything we do.</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Excellence means doing it better than everyone else does. Our excellence is reflected in our first-class facilities, quality products and services, motivated and talented employees, superior results for the customer and consistency throughout our organization.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attitude means approaching every day with excitement and passion for our work and dedication to our customers with positive intensity.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these core values is embodied in our code of conduct, which we call our Rush Driving Principles. Employees are required to complete training on the Rush Driving Principles and certify that they have read and understand such principles on an annual basis. We believe that our core values are the foundation of a strong and ethical culture that is a strength for us, and we intend to continue building upon that culture to improve performance across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Recruitment. </w:t>
      </w:r>
      <w:r>
        <w:rPr>
          <w:rFonts w:ascii="Times New Roman" w:cs="Times New Roman" w:eastAsia="Times New Roman" w:hAnsi="Times New Roman"/>
          <w:sz w:val="18"/>
          <w:szCs w:val="18"/>
          <w:color w:val="auto"/>
        </w:rPr>
        <w:t>We strive to attract the best talent from a variety of sources to meet the current and future needs of our business.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relationships with multiple trade schools and universities across the country that we utilize as a source for entry-level talent. Additionally, we believe it is incumbent upon all our managers to continuously monitor their local markets for experienced individuals who might be successful additions to our organization.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Programs and Employee Benefits. </w:t>
      </w:r>
      <w:r>
        <w:rPr>
          <w:rFonts w:ascii="Times New Roman" w:cs="Times New Roman" w:eastAsia="Times New Roman" w:hAnsi="Times New Roman"/>
          <w:sz w:val="18"/>
          <w:szCs w:val="18"/>
          <w:color w:val="auto"/>
        </w:rPr>
        <w:t>Our compensation programs are designed to provide a compensation package that will attract,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 motivate and reward employees who must operate in a highly competitive, fast-paced environment. In general, our compensation programs consist of a base salary or hourly rate, commissions for employees in front-line customer facing roles, cash performance bonuses for certain employees, equity incentive awards for senior leaders, vacation leave, sick leave and other forms of paid time off.</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offer a defined contribution retirement savings plan (the “Rush 401k Plan”) to eligible employees. Under the Rush 401k Plan, participants may contribute a percentage of their eligible compensation on a pre-tax or post-tax (Roth) basis. We provide a matching contribution that is based on the participant’s contribution and years of service. Contributions to the plan are invested in various investment options selected by the participants, including mutual funds, target-date funds, and other investment vehicles.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fair pay and have established a minimum hourly wage of $15.00 per hour. Our employees receive a base level of monthly or hourly compensation that we believe is commensurate with their expertise, skills, knowledge, experience and location. We are an equal opportunity employer and employment and advancement within the Company is based solely upon individual merit and qualifications directly related to the job. To guard against unintentional discriminatory effects and to promote transparency and equality of opportunity, we regularly conduct analyses of pay to identify any adverse impacts to any legally protected group.</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our full-time employees with comprehensive benefit options that allow our employees and their families to live healthier and more secure lives. Some examples of the wide-ranging benefits we offer include medical insurance, prescription drug benefits, dental insurance, vision insurance, hospital indemnity insurance, accident insurance, critical illness insurance, smoking cessation assistance, life insurance, disability insurance, health savings accounts and flexible spending accounts.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provide our employees with an opportunity to participate in the ownership of the Company by offering an employee stock purchase plan that allows employees to contribute a portion of their base earnings every six months toward the semi-annual purchase of the Company’s Class A common stock. Employees participating in the stock purchase plan receive a 15% discount on the purchase price of the stock, with such discount based on lesser of the closing price of the Class A common stock on the first business day or the last business day of the semi-annual offering period. In addition, we provide our employees with an opportunity to save for retirement by participating in the Rush 401k plan, which has a Company-matching component that is based on years of service.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Talent Development</w:t>
      </w:r>
      <w:r>
        <w:rPr>
          <w:rFonts w:ascii="Times New Roman" w:cs="Times New Roman" w:eastAsia="Times New Roman" w:hAnsi="Times New Roman"/>
          <w:sz w:val="18"/>
          <w:szCs w:val="18"/>
          <w:color w:val="auto"/>
        </w:rPr>
        <w:t>. Our talent development programs supply our employees and leaders with tools and experiences to foster learning,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leadership development, talent management, and employee development. Career development is fostered through education, training, learning opportunities, succession planning and performance management. Programs are designed to facilitate the development and advancement of talent from within our organization to enable us to continuously fill our ranks with qualified employees for critical positions in the organization.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Rush Foundational Leader Program is focused on developing key management and leadership skills. The Rush Foundational Leader Program consists of a series of courses ranging from basic management skills, including promoting a culture of inclusion, to more advanced leadership concepts and skills that are designed for managers throughout our organization. As a continuation of our leadership development initiatives, we have implemented our High Impact Leadership series, which focuses on building more advanced leadership skills such as motivating employees through meaningful feedback and inclusive leadership and communication.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support career growth and organizational succession planning, we utilize Fuel50, a performance management and career pathing tool designed to help leaders facilitate performance and development conversations while giving employees a tool to discover and communicate their career aspirations. In addition, we have established a program called Growing Resilient Outstanding Women (“GROW”), which is open to all employees and focuses on enabling women to continue their professional development through educational opportunities, mentoring and networking. We also have a New Graduate Program that identifies and recruits new talent from universities across the country and provides on-the-job training for them to fill various roles within our dealership network.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enhance and develop the technical skills of entry-level service and body shop technicians, we established a formal mentorship program led by experienced service and body shop technicians who serve as mentors to newly hired, entry level service and body shop technicians. We believe that this program increases the technicians’ likelihood of career success. This formal mentorship program also helps us identify top performers and we believe it improves employee performance and retention for participants in the program.</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Employee Experience. </w:t>
      </w:r>
      <w:r>
        <w:rPr>
          <w:rFonts w:ascii="Times New Roman" w:cs="Times New Roman" w:eastAsia="Times New Roman" w:hAnsi="Times New Roman"/>
          <w:sz w:val="18"/>
          <w:szCs w:val="18"/>
          <w:color w:val="auto"/>
        </w:rPr>
        <w:t>We conduct an annual comprehensive employee engagement survey designed to measure organizational culture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The purpose of the survey is to monitor overall employee engagement with the goal of identifying actions that can be taken to continuously improve our employee engagement, which we believe leads to increased employee retention. Data collected in each annual employee engagement survey is maintained and used to track our progress against our internal goals. Additionally, we use onboarding and exit survey feedback to monitor and improve engagement and retention. We have formal listening groups that provide additional engagement channels for feedback from our dealerships to senior management throughout the year. One of these groups is the Field Leadership Advisory Group (“FLAG”). FLAG consists of field employees nominated and selected for their valuable experience. They provide regular feedback to executives to ensure that issues they are facing are handled in an efficient and consistent manner and with the customer in mind.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Another aspect of the employee experience is our reward and recognition program, called STAR. Managers and employees may nominate a colleague for superior work, outstanding effort, and demonstration of our company’s core values.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continually monitors employee turnover data, which is supplemented with additional data from exit surveys to assist in determining the reasons for voluntary employee terminations. In 2024, our overall turnover rate for U.S. and Canada was 30.5%, as compared to 25.1% in 2023, due in large part to expense reduction efforts completed in the first half of 2024. The turnover rate of our technicians is monitored closely by management, as the retention of skilled technicians is critical to the success of the Company. Demand for technicians across the country is very high, and turnover in this role is also traditionally high for commercial vehicle dealers. In 2024, our turnover rate for U.S. and Canada technicians was 38.1%, compared to 33.6% in 2023.</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Recognizing the industry-wide challenge of technician turnover, we are implementing a comprehensive strategy to retain and engage this critical segment of our workforce. Our strategy includes identifying key predictors of turnover, conducting technician “stay” interviews to proactively address concerns and improve job satisfaction, employing pay calculator tools to ensure our employees have a clear understanding of their total compensation package and opportunities and that managers are actively advancing technician careers.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Ethics and Compliance. </w:t>
      </w:r>
      <w:r>
        <w:rPr>
          <w:rFonts w:ascii="Times New Roman" w:cs="Times New Roman" w:eastAsia="Times New Roman" w:hAnsi="Times New Roman"/>
          <w:sz w:val="18"/>
          <w:szCs w:val="18"/>
          <w:color w:val="auto"/>
        </w:rPr>
        <w:t>We are committed to maintaining the highest standards of corporate conduct and fostering a culture of integrity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accountability throughout our organization. Our ethics and compliance program is structured to ensure adherence to applicable laws, regulations and industry standards, as well as to uphold our core values and the principles outlined in the Rush Driving Principles.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cornerstone of our program is the ongoing training and education of our employees on key ethics and compliance topics, equipping them to make informed decisions and uphold the standards expected of our organization. We further reinforce this commitment through regular communications that emphasize the importance of ethics and integrity in all aspects of our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ensure that concerns can be raised and questions addressed without fear of retaliation, we provide an anonymous ethics helpline. This helpline enables employees and stakeholders to confidentially report potential ethics violations or misconduct and seek guidance on ethics and compliance-related matters.</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Promoting a safe and healthy workplace is our highest priority and is embodied in our core values. We utilize a mixture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and lagging indicators to assess the health and safety performance of our operations. Lagging indicators include the OSHA Total Recordable Incident Rate ("TRIR") and the Lost Time (or Lost Workday) Incident Rate ("LTIR") based upon the number of incidents per 100 employees (or per 200,000 work hours). Leading indicators include training completion rates, tracking of local safety committee meeting minutes, and recording of near misses, as well as other proactive actions taken to ensure employee safety. In 2024, we had a TRIR of 4.10, compared to 3.68 in 2023 and a LTIR of 0.62 in 2024, compared to 0.57 in 2023.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Labor Relations. </w:t>
      </w:r>
      <w:r>
        <w:rPr>
          <w:rFonts w:ascii="Times New Roman" w:cs="Times New Roman" w:eastAsia="Times New Roman" w:hAnsi="Times New Roman"/>
          <w:sz w:val="18"/>
          <w:szCs w:val="18"/>
          <w:color w:val="auto"/>
        </w:rPr>
        <w:t>We have entered into collective bargaining agreements covering certain employees at our Rush Truck Center, Chicago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expire on May 10, 2025, Joliet, Illinois, which will expire on May 3, 2026, Carol Stream, Illinois, which will expire on May 2, 2027 and at our Chicago Light and Medium Duty location, which will expire on May 6, 2028. There have been no strikes, work stoppages or slowdowns during the negotiations of the foregoing collective bargaining agreements or at any time in the Company’s history, although no assurances can be given that such actions will not occur. We believe that our relations with the labor unions that represent these employees are generally good.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established history of operations in the commercial vehicle business has resulted in a strong customer base that is diverse in terms of geography, industry and scale of operations. Our customers include national and regional truck fleets, corporations, local and state governments and owner-operators. During 2024, no single customer accounted for more than 10% of our sales by dollar volume. We generally promote our products and related services through direct customer contact by our sales personnel and advertising.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Management</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Personnel. </w:t>
      </w:r>
      <w:r>
        <w:rPr>
          <w:rFonts w:ascii="Times New Roman" w:cs="Times New Roman" w:eastAsia="Times New Roman" w:hAnsi="Times New Roman"/>
          <w:sz w:val="18"/>
          <w:szCs w:val="18"/>
          <w:color w:val="auto"/>
        </w:rPr>
        <w:t>Each of our facilities is typically managed by a general manager who oversees the operations, personnel and the financial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Compliance with Policies and Procedures. </w:t>
      </w:r>
      <w:r>
        <w:rPr>
          <w:rFonts w:ascii="Times New Roman" w:cs="Times New Roman" w:eastAsia="Times New Roman" w:hAnsi="Times New Roman"/>
          <w:sz w:val="18"/>
          <w:szCs w:val="18"/>
          <w:color w:val="auto"/>
        </w:rPr>
        <w:t>Each Rush Truck Center is audited regularly for compliance with corporate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Purchasing and Suppliers. </w:t>
      </w:r>
      <w:r>
        <w:rPr>
          <w:rFonts w:ascii="Times New Roman" w:cs="Times New Roman" w:eastAsia="Times New Roman" w:hAnsi="Times New Roman"/>
          <w:sz w:val="18"/>
          <w:szCs w:val="18"/>
          <w:color w:val="auto"/>
        </w:rPr>
        <w:t>Because of our size and the corresponding cost savings we provide, we benefit from volume purchases at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Vehicle Inventory Management. </w:t>
      </w:r>
      <w:r>
        <w:rPr>
          <w:rFonts w:ascii="Times New Roman" w:cs="Times New Roman" w:eastAsia="Times New Roman" w:hAnsi="Times New Roman"/>
          <w:sz w:val="18"/>
          <w:szCs w:val="18"/>
          <w:color w:val="auto"/>
        </w:rPr>
        <w:t>We utilize our management information systems to monitor the inventory level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at each of our dealerships and transfer new and used commercial vehicle inventory among Rush Truck Centers as needed.</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Parts Distribution and Inventory Management. </w:t>
      </w:r>
      <w:r>
        <w:rPr>
          <w:rFonts w:ascii="Times New Roman" w:cs="Times New Roman" w:eastAsia="Times New Roman" w:hAnsi="Times New Roman"/>
          <w:sz w:val="18"/>
          <w:szCs w:val="18"/>
          <w:color w:val="auto"/>
        </w:rPr>
        <w:t>We utilize a parts inventory distribution and management system that allows for the prompt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parts inventory among various Rush Truck Centers. The transfer of inventory reduces delays in delivery, helps maximize inventory turns and assists in reducing overstock and understock.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15, 2024, we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4, 2023, we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7, 2022, the Company acquired certain assets of Scheppers International Truck Center, Inc., which included real estate and an International truck franchise in Jefferson City, Missouri, along with commercial vehicle and parts inventory. The transaction was valued at approximately $6.8 million, with the purchase price paid in cash.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 2022, we acquired an additional 30% equity interest in RTC Canada for approximately $20.0 million, bringing our equity interest to 80%. Prior to acquiring our additional equity interest, we accounted for the equity interest in RTC Canada using the equity method of accounting. After we acquired the additional 30% equity interest, the operating results of RTC Canada were consolidated in the Consolidated Statements of Income, the Consolidated Statements of Comprehensive Income and the Consolidated Balance Sheets.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15 – Acquisitions in the Notes to the Financial Statements for further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keep customers’ vehicles operational, which is dependent on the accessibility of dealership locations and the ability to attract and retain service technicians;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value, quality and design of the products sold;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attention to customer service (including technical service).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dealerships compete with dealerships representing other manufacturers, including commercial vehicles manufactured by Mack, Freightliner, Kenworth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Dealership Franchise Agreements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Peterbilt. </w:t>
      </w:r>
      <w:r>
        <w:rPr>
          <w:rFonts w:ascii="Times New Roman" w:cs="Times New Roman" w:eastAsia="Times New Roman" w:hAnsi="Times New Roman"/>
          <w:sz w:val="18"/>
          <w:szCs w:val="18"/>
          <w:color w:val="auto"/>
        </w:rPr>
        <w:t>We have entered into nonexclusive dealership franchise agreements with Peterbilt that authorize us to act as a dealer of Peterbilt heavy-and medium-duty trucks. Our Peterbilt areas of responsibility currently encompass areas in the states of Alabama, Arizona, California, Colorado, Florida, Kentucky, Nebraska, Nevada, New Mexico, Oklahoma, Tennessee and Texas. These agreements currently have terms expiring in July 2025. Our agreements with Peterbilt may be terminated by Peterbilt in the event that the aggregate voting power of W.M. “Rusty” Rush, and certain current and former executives of the Company decreases below 22%. Sales of new Peterbilt commercial vehicles accounted for approximately 34.3% of our total revenues for 2024.</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We have entered into nonexclusive dealership franchise agreements with International that authorize us to act as a dealer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heavy- and medium-duty trucks and, in certain markets, IC buses. Our International areas of responsibility currently encompass areas in the states of Arkansas, Georgia, Idaho, Illinois, Indiana, Kansas, Missouri, North Carolina, Ohio, Tennessee, Utah, Virginia and Ontario, Canada. These agreements currently have terms expiring between May 2025 and January 2029. Sales of new International commercial vehicles accounted for approximately 17.4% of our total revenues for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Other Commercial Vehicle Suppliers</w:t>
      </w:r>
      <w:r>
        <w:rPr>
          <w:rFonts w:ascii="Times New Roman" w:cs="Times New Roman" w:eastAsia="Times New Roman" w:hAnsi="Times New Roman"/>
          <w:sz w:val="18"/>
          <w:szCs w:val="18"/>
          <w:color w:val="auto"/>
        </w:rPr>
        <w:t>. In addition to our dealership franchise agreements with Peterbilt and International, various Rush Truck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have entered into dealership franchise agreements with other commercial vehicle manufacturers, including Ford, Hino, Isuzu and Battle Motors that have perpetual terms and Blue Bird, Micro Bird, Dennis Eagle and Blue Arc that have variable terms. Sales of new non Peterbilt and non-International commercial vehicles accounted for approximately 6.6% of our total revenues for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dealership franchise agreements impose certain operational obligations and financial requirements upon us and the relevant dealerships. In addition, each of our dealership franchise agreements requires the consent of the relevant manufacturer for the sale or transfer of a franchise.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Floor Plan Financing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finance the commercial vehicle under one of our floor plan credit agreements.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2024, we entered into a new Inventory Financing and Purchase Money Security Agreement (the “PFC Floor Plan Credit Agreement”) with Paccar Financial Corp.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Rush and PFC in each instance of borrowing at a fixed rate. The PFC Floor Plan Credit Agreement expires December 16, 2029, although either party has the right to terminate the PFC Floor Plan Credit Agreement at any time upon 360 days written notice. On December 31, 2024, we had approximately $492.7 million outstanding under the PFC Floor Plan Credit Agreement. We utilize our excess cash on hand to pay down our outstanding borrowings under the PFC Floor Plan Credit Agreement, and the resulting interest earned is recognized as an offset to our gross interest expense under the PFC Floor Plan Credit Agreement.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14, 2021, we entered into the Fifth Amended and Restated Credit Agreement with BMO Bank N.A. (f/ka/ BMO Harris Bank N.A.) and the lenders signatory thereto. This agreement had an aggregate loan commitment of $1.0 billion, which we utilized to finance all of our new and used commercial vehicle inventory in the United States until we entered into the Peterbilt Floor Plan Agreement. On December 12, 2024, we entered into the Second Amendment to Fifth Amended and Restated Credit Agreement with BMO Bank N.A. and the lenders signatory thereto. The Fifth Amended and Restated Credit Agreement and all amendments thereto are referred to herein as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December 31, 2029, although BMO Bank N.A. has the right to terminate at any time upon 360 days written notice and we may terminate at any time, subject to specified limited exceptions. On December 31, 2024, we had approximately $389.3 million outstanding under the BMO Floor Plan Credit Agreement. The average daily outstanding borrowin.gs under the BMO Floor Plan Credit Agreement were $956.4 million during the twelve months ended December 31, 2024. We utilize our excess cash on hand to pay down our outstanding borrowings under the BMO Floor Plan Credit Agreement, and the resulting interest earned is recognized as an offset to our gross interest expense under the BMO Floor Plan Credit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2022, RTC Canada entered into that certain Amended and Restated BMO Wholesale Financing and Security Agreement (the “RTC Canada Floor Plan Credit Agreement”) with Bank of Montreal (“BMO”), as amended. Pursuant to the terms of the RTC Canada Floor Plan Credit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made in CAD bear interest per annum, payable monthly, at the Canadian Overnight Repo Rate Average (“CORRA”), plus 1.27%. Advances made in USD bear interest per annum, payable monthly, at the Secured Overnight Financing Rate (“SOFR”), plus 1.20%. The RTC Canada Floor Plan Credit Agreement expires September 14, 2026. On December 31, 2024, we had approximately $78.2 million CAD outstanding under the RTC Canada Floor Plan Credit Agreement. The average daily outstanding borrowings under the RTC Canada Floor Plan Credit Agreement were $80.7 million during the twelve months ended December 31, 2024. We utilize our excess cash on hand to pay down our outstanding borrowings under the RTC Canada Floor Plan Credit Agreement, and the resulting interest earned is recognized as an offset to our gross interest expense under the RTC Canada Floor Plan Credit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and Rental Fleet Financing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Credit Agreement (the “WF Credit Agreement”) with the lenders signatory thereto (the “WF Lenders”) and Wells Fargo Bank, National Association (“WF”), as Administrative Agent (in such capacity, the “WF Agent”).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at (A) the daily SOFR plus (i) 1.25% or (ii) 1.5%, depending on our consolidated leverage ratio or (B) on or after the SOFR transition date, SOFR plus (i) 1.25% or (ii) 1.5%, depending on our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2024, we had approximately $153.4 million outstanding under the WF Credit Agreement.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the Company entered into that certain Second Amended and Restated Inventory Financing and Purchase Money Security Agreement with PACCAR Leasing Company (“PLC”), a division of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December 31, 2024, we had approximately $220.0 million outstanding under the PLC Agreement.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Credit Agreement”) with BMO (as amended).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Advances under the RTC Canada Revolving Credit Agreement bear interest per annum payable monthly at CORRA (as defined in the agreement), plus 1.72%. The RTC Canada Revolving Credit Agreement expires September 14, 2026. On December 31, 2024, we had approximately $50.4 million CAD outstanding under the RTC Canada Revolving Credit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limited warranty on our proprietary line of parts and related service. Our joint venture entity, Cummins Clean Fuel Technologies, provides a limited warranty with respect to the fuel systems it manufactures. We also provide an extended warranty beyond the manufacturer’s warranty on new Blue Bird school buses that we sell in Texas, as required by state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our customers may purchase third-party warranties from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and “Rush Truck Center.”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2024, our backlog of commercial vehicle orders was approximately $1,512.7 million, compared to a backlog of commercial vehicle orders of approximately $3,733.4 million on December 31, 2023. The decrease in our backlog primarily reflects the decreased demand for new Class 8 trucks resulting from production having caught up to pent-up demand and the ongoing freight recession. Our backlog is determined quarterly by multiplying the number of new commercial vehicles for each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2024, and we expect to fill all our backlog orders during 2025. Given the current uncertainty in connection with recently announced tariffs against Canada, Mexico and China, we believe that certain commercial vehicle orders currently reflected in our backlog could be cancelled in the event that such tariffs are enacted and significantly increase the aggregate price that our customers will have to pay for such vehicles.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47" w:lineRule="exact"/>
        <w:rPr>
          <w:sz w:val="20"/>
          <w:szCs w:val="20"/>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are also subject to federal and state laws and regulations governing the commercial vehicle engine emissions. The Environmental Protection Agency (“EPA”) and the National Highway Traffic Safety Administration on behalf of the U.S. Department of Transportation, have issued rules associated with reducing greenhouse gas (“GHG”) and Nitrogen Oxide (“NOx”) emissions and improving the fuel efficiency of medium and heavy-duty trucks and buses. One of these rules, referred to herein as the “EPA 2027 Low NOx” rule, will require commercial vehicle engines to emit significantly less NOx than such engines do today, beginning in model year 2027. The EPA 2027 Low NOx rule also would increase the useful life of each vehicle and would require that manufacturers extend the warranty term of each vehicle to ensure that commercial vehicles remain compliant with the EPA’s emission standards as such vehicles age. In March 2024, the EPA issued an additional rule associated with reducing GHG emissions from heavy-duty trucks and buses for model years 2027 through 2032 (the “GHG-3” rule). While the GHG-3 rule claims to be technology neutral, in order to comply with the rule, commercial vehicle engine manufacturers would be required to manufacture an increasing percentage of “zero-emission” vehicles over time, which would likely reduce the number of diesel internal combustion engines (“ICE”) vehicles that could be manufactured over that time period. Similarly, the California Air Resources Board (“CARB”) has adopted rules and regulations that are intended to reduce NOx emissions (the “HD Omnibus” rule), phase out the sale of ICE commercial vehicles over time by requiring a certain percentage of each manufacturer’s commercial vehicles sold within the state to be “zero-emission vehicles” (the “Advanced Clean Trucks” rule) and require fleets to purchase a certain number of “zero-emission vehicles” (the “Advanced Clean Fleet” rule). The EPA granted waivers to CARB with respect to the HD Omnibus and Advanced Clean Truck rules, each of which became effective in January 2024. Recently, CARB revoked its request for a waiver from the EPA with respect to the Advanced Clean Fleet rule, and thus, it is unlikely that this rule will become effective in the near future. In addition, the EPA recently announced that it has asked Congress to review the previously granted waivers that CARB received with respect to the HD Omnibus and Advanced Clean Truck rules. The current head of the EPA believes that these waivers should have been approved by Congress prior to becoming effective. With respect to the EPA’s engine emission rules, while it is widely expected that that the current GHG-3 rule will be revoked or modified by a branch of the federal government, it is less clear whether a branch of the federal government may attempt to revoke or modify the EPA 2027 Low NOx rule. It is also worth noting that there are currently multiple lawsuits pending where plaintiffs are challenging CARB’s rules on the basis that, amongst other things, such rules are preempted by other federal laws and that the EPA exceeded its authority in granting the waivers with respect to the HD Omnibus and Advanced Clean Truck rules. There are also multiple lawsuits pending where plaintiffs are challenging the GHG-3 rule on multiple grounds, including that the EPA exceeded its statutory authority in creating the rule.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HD Omnibus rule with the EPA 2027 Low NOx rule, which goes into effect starting in model year 2027, and modify certain provisions of its HD Omnibus rule currently in effect. A group of seventeen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although multiple of these states have recently announced plans to delay various aspects of CARB’s regulations. Attaining these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upon PACCAR for the supply of Peterbilt trucks and parts, as well as the financing of Peterbilt trucks, the sale of which generates the majority of our revenues.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2024,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Peterbilt;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 priced, technologically current, emissions-compliant, high-quality Peterbilt trucks in quantities sufficient to meet our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PACCAR and Peterbilt;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PACCAR’s continuation of its Peterbilt division;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Peterbilt brand, which can be adversely affected by decisions made by PACCAR, Peterbilt and the owners of other Peterbilt dealerships.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PACCAR, could have a material adverse effect on our operations, revenues and profitability. In addition to the factors listed above, we also finance our Peterbilt commercial vehicle inventory through the PFC Floor Plan Agreement with PFC, and thus, the financial health of PACCAR is also important to our business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upon International Motors for the supply of International trucks and parts and IC buses and parts, the sale of which generate a significant portion of our revenues.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certain Rush Truck Centers, we operate as a dealer of International trucks and parts and IC buses and parts pursuant to dealership agreements with International and IC Bus, each of which are divisions of International Motors. We have no control over the management or operation of International, IC Bus or International Motors. During 2024, a significant portion of our revenues resulted from sales of trucks purchased from International, buses purchased from IC Bus and parts purchased from International Motors. Due to our dependence on International Motors, International and IC Bus, we believe that our long-term success depends, in large part, on the following:</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International and IC Bus;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 priced, technologically current, emissions-compliant, high-quality International trucks and IC buses in quantities sufficient to meet our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International Motors;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International and IC Bus brands, which can be adversely affected by decisions made by International Motors and the owners of other International and IC Bus dealerships.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International Motors, could have a material adverse effect on our operations, revenues and profitability.</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W.M. “Rusty” Rush, Steven Keller, Corey Lowe, Jody Pollard, Jason Wilder, Michael Goldstone, Mike Eppes and Michael McRoberts, along with certain other persons who no longer work for the Company (collectively, the “Dealer Principals”) decreases below 22% (the Dealer Principals, excluding those who no longer work for the Company, controlled approximately 41.2% of the aggregate voting power with respect to the election of directors as of December 31, 2024);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Mr. Rush or any person who has been approved in writing by PACCAR, holds the office of Chairman of the Board and the President or Chief Executive Officer of the Company. We have no control over the transfer or disposition of Mr. Rush’s, or his estate’s, common stock. If Mr. Rush were to sell his Class B common stock or bequest his Class B common stock to a person or entity other than the Dealer Principals, or if his estate is required to liquidate its Class B common stock that it owns,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are non-exclusive and have relatively short terms, which could result in nonrenewal or imposition of less favorable terms upon renewal.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dealership agreements with Peterbilt and International have current terms expiring between May 2025 and May 2029. Our dealerships agreements with the other manufacturers we represent generally have terms expiring between 2025 and 2028 or have indefinite terms.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International dealership agreements, would have an adverse impact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strategies may be unsuccessful if we are unable to successfully execute our strategic initiatives or identify and complete future acquisitions.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the long-term, technological advances in the commercial vehicle industry, including drivetrain electrification or other alternative fuel technologies, could have a material adverse effect on our business.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commercial vehicle industry is predicted to experience change over the long-term. We see these changes beginning to occur, as certain of the manufacturers we represent now have vehicles with electric drivetrains available for purchase.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still uncertain, as there are many factors that are unknowable at this time, including when the infrastructure to support widespread adoption of such vehicles will be in place and when such vehicles may be commercially available at price points that would lead to their widespread adoption. Regardless of where the industry goes with respect to alternative fuel vehicles, we believe that, due to the geographic reach of our dealership network, relationships with both the manufacturers we represent and our customers and our access to capital, we are well-positioned to serve our customers’ evolving needs.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Similarly, although we are aware of ongoing efforts to facilitate the development of autonomous commercial vehicles, the eventual timing of the availability of autonomous commercial vehicles is uncertain due to regulatory requirements and additional technological requirements. The effect of autonomous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 concerns may impact our business in the future; natural disasters and adverse weather events can disrupt our business.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concerns over climate change may impact our business in the future. Our current business model depends on our ability to sell, and provide services to, commercial vehicles primarily powered by diesel and gasoline internal combustion engines, which produce nitrogen oxide and greenhouse gas emissions. While the manufacturers we represent have made substantial progress in reducing the amount of nitrogen oxide and greenhouse gas emissions that result from internal combustion engines, it is widely accepted that alternative fuel vehicles are necessary to address climate change. Reductions in the sale and use of commercial vehicles powered by internal combustion engines creates risks to our historical business operations and we cannot predict the future costs to our business resulting from these developments. However, we also believe that an industry transition away from internal combustion engines presents significant opportunities for us. Due in large part to the geographic reach of our dealership network, relationships with both the manufacturers we represent and our customers and our access to capital, we believe we are well-positioned to serve our customers’ evolving needs and help them reduce their nitrogen oxide and greenhouse gas emissions by helping them integrate more alternative fuel vehicles into their fleets and providing various services related thereto.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our dealerships are located in regions of the United States where natural disasters and severe weather events (such as hurricanes, earthquakes, fires, floods, tornadoes and hailstorms) have disrupted our operations in the past. Although we have not experienced any material losses from natural disasters or severe weather events, it is possible that future natural disasters and severe weather events may adversely impact our business, results of operations, financial condition and cash flows. In addition to business interruption, our business is subject to substantial risk of property loss due to the significant concentration of property at dealership locations. Although our vehicle inventory is insured, we self-insure our real property and personal property (other than our vehicle inventory) that we own. Thus, we may be exposed to property losses that could have a material adverse effect on our business, financial condition, results of operations or cash flows, although we believe that such a material adverse effect would be unlikely.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Economic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required to obtain additional financing to maintain adequate inventory levels.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agreements include the PFC Floor Plan Credit Agreement and the BMO Floor Plan Credit Agreement. Both of these floor plan credit agreements expire in December 2029 and may be terminated without cause upon 360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interest rates could have a negative adverse effect on our profitability.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PFC Floor Plan Credit Agreement, BMO Floor Plan Credit Agreement, RTC Canada Floor Plan Credit Agreement, WF Credit Agreement, PLC Agreement and RTC Canada Revolving Credit Agreement are each subject to variable interest rates. Therefore, our interest expense rises when interest rates increase. In addition, any rise in interest rates generally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negatively affect our business, financial condition and results of operations. See “Quantitative and Qualitative Disclosures about Market Risk” for a discussion regarding our interest rate sensitivity.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dollar amount of our backlog, as stated at any given time, is not necessarily indicative of our future earnings.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our backlog of new commercial vehicle orders was approximately $1,512.7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current uncertainty in connection with recently proposed tariffs against Canada, Mexico and China, we believe that certain commercial vehicle orders currently reflected in our backlog could be cancelled in the event that such tariffs are enacted and significantly increase the aggregate price that our customers will have to pay for such vehicles.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in the carrying value of goodwill and other indefinite-lived intangible assets could negatively affect our operating results.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Estimates — Goodwill” for more information regarding the potential impact of changes in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is subject to a number of economic risks.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Economic conditions and the other factors described above also may materially adversely impact our sales of parts and repair services, and finance and insurance products.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manufacturers we represent may be adversely impacted by economic downturns, significant declines in the sales of their new vehicles, the ability to manufacture or supply vehicles that comply with applicable emissions requirements,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state dealer laws are repealed or weakened, our dealerships will be more susceptible to termination, nonrenewal or renegotiation of their dealership agreements.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commercial vehicles that we sell are subject to federal and state regulations focused on reducing engine emissions, and we are dependent on the manufacturers that we represent to produce or supply engines that comply with such regulations.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Laws and regulations intended to achieve the goal of significantly reducing engine emissions associated with the operation of commercial vehicles are complex and subject to change. Currently, the commercial vehicle industry is subject to the EPA 2027 Low NOx and the EPA’s GHG-3 rule, each of which are scheduled to become effective starting in model year 2027. In addition, owners and commercial fleets that register or operate commercial vehicles in the State of California are also subject to CARB’s HD Omnibus and Advanced Clean Truck rules, both of which became effective in January 2024. It is widely expected that the current GHG-3 rule will be revoked or modified by a branch of the federal government, but it is less clear whether a branch of the federal government may attempt to revoke or modify the EPA 2027 Low NOx rule. Recently, CARB revoked its request for a waiver from the EPA with respect to the Advanced Clean Fleet rule. In addition, the EPA recently announced that it has asked Congress to review the previously granted waivers that CARB received with respect to the HD Omnibus and Advanced Clean Truck rules. The current head of the EPA believes that these waivers should have been approved by Congress prior to becoming effective. It is also worth noting that there are currently multiple lawsuits pending where plaintiffs are challenging CARB’s rules on the basis that, amongst other things, such rules are preempted by other federal laws and that the EPA exceeded its authority in granting the waivers with respect to the HD Omnibus and Advanced Clean Truck rules. There are also multiple lawsuits pending where plaintiffs are challenging the GHG-3 rule on multiple grounds, including that the EPA exceeded its statutory authority in creating the rule. In July 2023, CARB and various manufacturers of heavy-duty commercial vehicles and engines, including PACCAR, International Motors,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It is unclear what effect, if any, the outcome of the multiple lawsuits challenging the HD Omnibus and Advanced Clean Truck rules, or Congress’ decisions with respect to the EPA’s previously granted waivers, might have on the Clean Truck Partnership.</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group of seventeen U.S. states and the District of Columbia entered into a joint memorandum of understanding that adopts at least a portion of CARB’s emissions regulations and commits each of them to work together to advance and accelerate the market for electric Class 3 through 8 commercial vehicles. Six of the states that signed are states where we sell new commercial vehicles: California, Colorado, New Mexico, North Carolina and Virginia. The signatories to the memorandum all agreed on a goal of ensuring that 100% of new Class 3 through 8 commercial vehicles are zero emission by 2050, with an interim target of 30% zero emission vehicles by 2030, although multiple of these states have recently announced plans to delay various aspects of CARB’s regulations. Attaining these goals would likely require the adoption of new laws and regulations and we cannot predict at this time whether such laws and regulations would have an adverse impact on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Engine emissions rules and regulations could affect demand for the products that we sell in certain markets. For example, we believe that the HD Omnibus and Advanced Clean Truck rules, and the uncertainty regarding CARB’s enforcement of the same, resulted in our California dealerships selling less new commercial vehicles in 2024 than they would have absent such rules. While the reduction in the number of new commercial vehicles that we were able to sell in 2024 due to CARB’s rules was not material to our financial results, our success going forward depends on the ability of our manufacturers to successfully supply new commercial vehicles that comply with existing and future emissions rules and regulations in each of the markets in which we operate.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to our information technology systems and breaches in data or system security could adversely affect our business.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upon our information technology systems to manage all aspects of our business, including processing and recording sales to, and payments from, customers, managing inventory, communicating with manufacturers and vendors, processing employee payroll and benefits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and customers.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take an enterprise-wide approach to cybersecurity, using established processes for assessing, identifying, and managing risks from cybersecurity threats. We have implemented various measures across our organization to manage our cybersecurity risks, including implementing systems to identify, prevent, detect, investigate, resolve, and recover from cyber security attacks. All employees participate in our security awareness training program, and additional training is required for various roles within the organization. Employees are trained and encouraged to identify and report security concerns, and cybersecurity is engrained in our culture. Our cybersecurity risk management program leverages the Center for Internet Security Critical Security Framework to provide a structured methodology to help ensure the confidentiality, integrity, and availability of our systems and data. We regularly assess cybersecurity risks and monitor our systems for vulnerabilities. We conduct regular reviews and tests of our systems and our cybersecurity program, both internally and using consultants and external auditors. These tests include, but are not limited to, vulnerability testing, penetration testing, tabletop exercises, systems recovery tests, assessments, and other activities to assess the readiness and effectiveness of our cybersecurity controls and protections. However, despite the security measures we have in place, our facilities and systems, and those of our third-party service providers, could be vulnerable to cyberattacks and other security breaches, computer viruses, lost or misplaced data, programming errors, human errors or other events, and such incidents can remain undetected for a period of time despite our best efforts to detect and respond to them in a timely manner.</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from time to time, experienced threats to our data and systems, including malware, ransomware, phishing and computer virus attacks. As discussed above, we are continuously developing and enhancing our controls, processes, and practices designed to protect our systems, computers, software, data, and networks from attack, damage, or unauthorized access. This continued development and enhancement requires us to expend significant additional resources. However, we may not anticipate or combat all types of future attacks until after they have been launched. If any of these breaches of security occur, we will be required to expend additional capital and other resources, including costs to deploy additional personnel and protection technologies, train employees and engage third-party experts and consultants.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cyberattack, security breach or other event resulting in the misappropriation, loss, or other unauthorized disclosure of confidential information or personal identifiable information of employees or customers, whether by us directly or our third-party service providers, could adversely affect our business operations, sales, reputation with current and potential customers, associates or vendors and employees and result in litigation or regulatory actions, all of which could have a material adverse effect on our business and reputation.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a variety of claims relating to our business and the liability associated with such claims may exceed the level of our insurance coverage.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course of our business, we are exposed to claims for personal injury, death or property damage resulting from: (i) our customers’ use of commercial vehicles that we sell, service, lease or rent; (ii) our customers’ purchase of other products that we design, manufacture, sell or install, such as commercial vehicle parts, custom vehicle modifications and CNG fuel systems through our joint venture with Cummins; and (iii) injuries caused by motor vehicle accidents that our service or delivery personnel are involved in. In addition, we have employees who work remotely from time to time at certain customers’ locations that are considered inherently dangerous, such as oil or gas well drilling sites, commercial construction sites and manufacturing facilities. We could also be subject to potential litigation associated with compliance with various laws and governmental regulations at the federal, state or local levels, such as those relating to vehicle and highway safety, health and workplace safety, security and employment-related claims.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utilize a captive insurance company to provide our auto and general commercial liability insurance, which we supplement with excess insurance coverage. We self-insure the real property that we own and our personal property (excluding our vehicle inventory, which is insured). We also maintain various insurance policies with third-party insurers, each of which are subject to deductibles with high dollar amounts. We may be exposed to claims for which coverage is not afforded or the damages exceed the limits of our insurance coverage or multiple claims causing us to incur significant out-of-pocket costs before reaching the deductible amount, all of which could adversely affect our financial condition and results of operations. In addition, the cost of third-party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 In fact, due to the rising costs of premiums over the last couple of years, we have been generally increasing our use of self-insurance programs and increasing the amounts of our deductibles.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risks associated with commercial vehicles and parts manufactured outside of the United States.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involves the sale of commercial vehicles, parts and commercial vehicles composed of parts that are manufactured outside of the United States, including Canada, Mexico and China. As a result, our operations are subject to certain risks of doing business outside of the United States, including import duties, exchange rates, trade restrictions and general political and socio-economic conditions in other countries. The United States or the countries where certain of the commercial vehicles and parts that we sell are manufactured may, from time to time, impose new quotas, duties, tariffs or other restrictions or limitations, or adjust presently prevailing quotas, duties or tariffs. The imposition of new, or adjustments to prevailing, quotas, duties, tariffs or other restrictions or limitations could have a material adverse effect on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dealerships are subject to federal, state and local environmental regulations that may result in claims and liabilities, which could be material.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 In addition,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operations in Canada. As a result, we may incur losses from the impact of foreign currency fluctuations and have higher costs than we otherwise would have due to the need to comply with foreign laws.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 Canada are subject to the risks normally associated with international operations. These include: (i) the need to convert currencies, which could result in a gain or loss depending on fluctuations in exchange rates; and (ii) the need to comply with Canadian laws and regulations, as well as U.S. laws and regulations, applicable to our operations in Canada. Changes in such laws or regulations, or any material failure to comply with any applicable laws or regulations, could increase our costs, affect our reputation, limit our business and otherwise impact our operations in adverse ways. In addition, laws or regulations or the interpretations thereof can conflict among jurisdictions, and compliance in one jurisdiction could result in legal or reputational risks in another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controlled by one shareholder and his affiliate.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Collectively, Mr. Rush and his affiliate own approximately 0.3% of our issued and outstanding shares of Class A common stock and 44.3% of our issued and outstanding Class B common stock. Mr. Rush collectively controls approximately 35.6% of the aggregate voting power of our outstanding shares, which is substantially more than any other person or group. The interests of Mr. Rush may not be consistent with the interests of all shareholders. As a result of such ownership, Mr. Rush has the ability to exercise substantial control over the Company, including with respect to the election of directors, the determination of matters requiring shareholder approval and other matters pertaining to corporate 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 agreements could discourage another company from acquiring us.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the number of shares owned by Mr. Rush and his affiliate, the requirement in our dealership agreements that the Dealer Principals retain a controlling interest in us, the restrictions on who may serve as Chairman of the Board and President or Chief Executive Officer of the Company,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Class A common stock has limited voting power.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ranks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volume of trading in our Class B common stock varies greatly and may often be light. As of December 31, 2024, the three-month average daily trading volume of our Class B common stock was approximately 17,000 shares, with twenty-three days having a trading volume below 10,000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take an enterprise-wide approach to cybersecurity, using established processes for assessing, identifying, and managing risks from cybersecurity threats. We have implemented various measures across our organization to manage our cybersecurity risks, including implementing systems to identify, prevent, detect, investigate, resolve and recover from cyber security attacks. All employees participate in our security awareness training program, and additional training is required for various roles within the organization. Employees are trained and encouraged to identify and report security concerns, and cybersecurity is engrained in our culture.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leverages the Center for Internet Security Critical Security Framework to provide a structured methodology to help ensure the confidentiality, integrity and availability of our systems and data. We regularly assess cybersecurity risks and monitor our systems for vulnerabilities. We conduct regular reviews and tests of our systems and our cybersecurity program, both internally and using consultants and external auditors. These tests include, but are not limited to, vulnerability testing, penetration testing, tabletop exercises, systems recovery tests, assessments and other activities to assess the readiness and effectiveness of our cybersecurity controls and protections.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Information Security program is led by our Chief Information Officer (“CIO”), who reports to our Chief Operating Officer (“COO”). Our CIO works with our Chief Privacy Officer (“CPO”) to address cybersecurity and data privacy risks and concerns. The Information Security Governance Committee (“ISGC”), composed of executives from various corporate functions oversees our cybersecurity policy and strategy. Members of the ISGC, including the CIO and CPO, meet with the COO on a regular basis to review and monitor our cybersecurity risks and mitigation efforts. Our Board of Directors (the “Board”) oversees our enterprise risk management activities in general, including cybersecurity risks. The Audit Committee of the Board has been designated with specific oversight responsibility with respect to cybersecurity and data privacy risk management. The Board receives a comprehensive update on the status of risks related to cybersecurity annually and periodic updates on particular matters. We engage external assessors, consultants, and auditors to assist us in evaluating and enhancing our cybersecurity risk management processes. We also have processes to oversee and identify such risks from cybersecurity threats associated with our use of third-party service providers.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have not experienced a material breach, our systems are frequently the target of cyber security attacks intending to steal, misuse, or destroy data, to impact our ability to do business, or otherwise negatively impact us. If we did experience a significant disruption in service, theft of data, or other significant attack, it could result in legal claims or proceedings, liability under federal and state laws that protect the privacy of personal information, regulatory penalties, remediation costs, increased cybersecurity costs, loss of revenue or customers, damage to our reputation or competitive position, or other harm to our business. For more information regarding the risks we face from cybersecurity threats, please see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are owned by us and located in New Braunfels, Texas. As of December 2024, we also own or lease numerous facilities used in our operations in the following locations: Alabama, Arizona, Arkansas, California, Colorado, Florida, Georgia, Idaho, Illinois, Indiana, Kansas, Kentucky, Missouri, Nebraska, Nevada, New Mexico, North Carolina, Ohio, Oklahoma, Tennessee, Texas, Utah, Virginia and Ontario, Canada. For information regarding the number of locations that we have in each state, the number of locations that we own or lease and the number of franchises that we represent in each state, please see “Business” in “Item 1. Business.”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lease a hangar in New Braunfels, Texas for our corporate aircraft. We also own and operate a guest ranch of approximately 10,950 acres near Cotulla, Texas, which is used for client development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December 31, 2024,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Shareholder Matters, and Issuer Purchases of Equity Securities</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Our common stock trades on The NASDAQ Global Select Market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under the symbols RUSHA and RUSHB. During 2024, our Board approved four quarterly cash dividends on all outstanding shares of common stock totaling $0.70 per share. We expect to continue paying cash dividends on a quarterly basis. However, there is no assurance as to the payment of future dividends because the declaration and payment of such dividends is subject to the business judgment of our Board and will depend on historic and projected earnings, capital requirements, covenant compliance, financial conditions and such other factors as the Board deems relevant.</w:t>
      </w:r>
    </w:p>
    <w:p>
      <w:pPr>
        <w:spacing w:after="0" w:line="202"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for our Class A common stock and Class B common stock for the fiscal periods indicated and as quoted on The NASDAQ Global Select Market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dividends declared.</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Dividends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Low</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Declared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0"/>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33.44</w:t>
            </w: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53.78</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41.51</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33.37</w:t>
            </w: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38.85</w:t>
            </w: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65.15</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w:t>
            </w:r>
          </w:p>
        </w:tc>
      </w:tr>
      <w:tr>
        <w:trPr>
          <w:trHeight w:val="216"/>
        </w:trPr>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36.57</w:t>
            </w: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42.54</w:t>
            </w: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39.81</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17, 2025, there were seventeen record holders of Class A common stock and nineteen record holders of Class B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28, 2023, we effected a three-for-two stock split with respect to both our Class A and Class B common stock in the form of a stock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stock prices and the following share amounts have been adjusted to give retroactive effect to the stock split for all periods presented.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have not sold any securities in the last three years that were not registered under the Securities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76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A summary of our stock repurchase activity for the fourth quarter of 2024 is as follows: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Yet be</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6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Under</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0" w:type="dxa"/>
            <w:vAlign w:val="bottom"/>
          </w:tcPr>
          <w:p>
            <w:pPr>
              <w:spacing w:after="0"/>
              <w:rPr>
                <w:sz w:val="18"/>
                <w:szCs w:val="18"/>
                <w:color w:val="auto"/>
              </w:rPr>
            </w:pP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580" w:type="dxa"/>
            <w:vAlign w:val="bottom"/>
          </w:tcPr>
          <w:p>
            <w:pPr>
              <w:spacing w:after="0"/>
              <w:rPr>
                <w:sz w:val="20"/>
                <w:szCs w:val="20"/>
                <w:color w:val="auto"/>
              </w:rPr>
            </w:pP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4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Programs (3)</w:t>
            </w:r>
          </w:p>
        </w:tc>
        <w:tc>
          <w:tcPr>
            <w:tcW w:w="1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 2024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44.99</w:t>
            </w:r>
            <w:r>
              <w:rPr>
                <w:rFonts w:ascii="Times New Roman" w:cs="Times New Roman" w:eastAsia="Times New Roman" w:hAnsi="Times New Roman"/>
                <w:sz w:val="18"/>
                <w:szCs w:val="18"/>
                <w:b w:val="1"/>
                <w:bCs w:val="1"/>
                <w:color w:val="auto"/>
              </w:rPr>
              <w:t>(4)</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72,550,513</w:t>
            </w:r>
          </w:p>
        </w:tc>
      </w:tr>
      <w:tr>
        <w:trPr>
          <w:trHeight w:val="216"/>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November 30, 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53.92</w:t>
            </w:r>
            <w:r>
              <w:rPr>
                <w:rFonts w:ascii="Times New Roman" w:cs="Times New Roman" w:eastAsia="Times New Roman" w:hAnsi="Times New Roman"/>
                <w:sz w:val="18"/>
                <w:szCs w:val="18"/>
                <w:b w:val="1"/>
                <w:bCs w:val="1"/>
                <w:color w:val="auto"/>
              </w:rPr>
              <w:t>(5)</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72,485,771</w:t>
            </w:r>
          </w:p>
        </w:tc>
      </w:tr>
      <w:tr>
        <w:trPr>
          <w:trHeight w:val="216"/>
        </w:trPr>
        <w:tc>
          <w:tcPr>
            <w:tcW w:w="58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 2024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54.71</w:t>
            </w:r>
            <w:r>
              <w:rPr>
                <w:rFonts w:ascii="Times New Roman" w:cs="Times New Roman" w:eastAsia="Times New Roman" w:hAnsi="Times New Roman"/>
                <w:sz w:val="18"/>
                <w:szCs w:val="18"/>
                <w:b w:val="1"/>
                <w:bCs w:val="1"/>
                <w:color w:val="auto"/>
              </w:rPr>
              <w:t>(6)</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118,138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143,533,592</w:t>
            </w: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120,664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and Class B common stock repurchased by us.</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shares in 2024 under a stock repurchase program announced on December 2, 2023, which authorized the repurchase of up to $150.0 million of our shares of Class A common stock and/or Class B common stock. This plan was terminated effective December 2, 2024; we repurchased $77.5 million shares of our Class A and Class B common stock under the plan prior to its termination. On December 3, 2024, we announced the approval of a new stock repurchase program, effective December 3, 2024, authorizing management to repurchase, from time to time, up to an aggregate of $150.0 million of our shares of Class A common stock and/or Class B common stock.</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1,326 shares of Class B common stock at an average price paid per share of $44.99.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1,200 shares of Class B common stock at an average price paid per share of $53.92.</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87,424 shares of Class A common stock at an average price paid per share of $54.74 and 30,714 shares of Class B common stock at an average price paid per share of $54.62.</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matches the cumulative 5-Year total return of holders of Rush Enterprises, Inc.'s common stock with the cumulative total returns of the S&amp;P 500 index and a customized peer group of four companies that includes: Lithia Motors Inc, Paccar Inc, Penske Automotive Group Inc and Werner Enterprises Inc. The graph assumes that the value of the investment in our common stock, in each index, and in the peer group (including reinvestment of dividends) was $100 on 12/31/2019 and tracks it through 12/31/2024.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142875</wp:posOffset>
            </wp:positionV>
            <wp:extent cx="5494655" cy="4568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94655"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12/19</w:t>
            </w: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12/21</w:t>
            </w: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12/22</w:t>
            </w: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12/23</w:t>
            </w: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12/24</w:t>
            </w:r>
          </w:p>
        </w:tc>
        <w:tc>
          <w:tcPr>
            <w:tcW w:w="100" w:type="dxa"/>
            <w:vAlign w:val="bottom"/>
          </w:tcPr>
          <w:p>
            <w:pPr>
              <w:spacing w:after="0"/>
              <w:rPr>
                <w:sz w:val="19"/>
                <w:szCs w:val="19"/>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2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130.85</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183.74</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184.90</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268.10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287.61</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118.40</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152.39</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124.79</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157.59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197.02</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2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121.33</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138.72</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146.30</w:t>
            </w: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221.32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The stock price performance included in this graph is not necessarily indicative of future stock price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Dennis Eagle, Blue Arc, Battle Motors, IC Bus or Blue Bird. Through our strategically located network of Rush Truck Centers, we provide one-stop service for the needs of our commercial vehicle customers. We offer an integrated approach to meeting customer needs by providing service, parts and collision repair (collectively, “Aftermarket Products and Services”) in addition to new and used commercial vehicle sales, leasing, insurance and financial services, vehicle upfitting, CNG fuel systems through our joint venture with Cummins and vehicle telematics products.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60.4% of our total gross profits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25, 2023, the Board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10-K have been adjusted and restated to reflect the stock split as if it occurred on the first day of the earliest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for the year ended December 31, 2024, are summarized below as follows:</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revenues totaled $7,804.7 million, a 1.5% decrease from gross revenues of $7,925.0 million in 2023.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$61.7 million, or 3.9%, compared to 2023. Gross profit as a percentage of sales decreased to 19.6% in 2024, from 20.1% in 2023.</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Class 8 heavy-duty unit sales decreased 11.4%, compared to 2023, which accounted for 6.1% of the total U.S. market and 1.7% of the total Canadian market.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Class 4 through 7 medium-duty unit sales increased 5.1%, compared to 2023, including buses, which accounted for 5.3% of the total U.S. market and 3.1% of the total Canadian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light-duty truck unit sales increased 13.9% in 2024, compared to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truck unit sales decreased 0.1% in 2024, compared to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Aftermarket Products and Services revenues decreased $46.1 million, or 1.8% to $2,516.0 million, compared to $2,562.1 million in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and rental revenues increased $1.2 million, or 0.3%, to $354.9 million, compared to 2023.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decreased $26.1 million, or 2.6%, to $995.6 million, compared to $1,021.7 million in 2023.</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expense increased $17.9 million, or 33.9%, in 2024, compared to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A.C.T. Research Co., LLC (“A.C.T. Research”), a commercial vehicle industry data and forecasting service provider, new U. S. Class 8 truck retail sales are estimated to total 252,000 truck units in 2025, a 1.9% increase compared to 247,337 units sold in 2024. We expect our U.S. market share of new Class 8 truck sales to range between 5.8% and 6.3% in 2025. This market share percentage would result in the sale of 14,500 to 16,000 new Class 8 trucks in 2025. We expect to sell approximately 500 additional new Class 8 trucks in Canada in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A.C.T. Research, new U. S. Class 4 through 7 commercial vehicle retail sales are estimated to total 266,300 units in 2025, a 5.7% increase compared to 251,895 units sold in 2024. We expect our U.S. market share of new Class 4 through 7 commercial vehicle sales to range between 5.4% and 5.8% in 2025. This market share percentage would result in the sale of 14,500 to 15,500 new Class 4 through 7 commercial vehicles in 2025. We expect to sell approximately 550 additional new Class 5 through 7 commercial vehicles in Canada in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sell approximately 2,200 to 2,700 light-duty vehicles and 7,000 to 8,000 used commercial vehicles in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lease and rental revenue to increase approximately 6.0% during 2025, compared to 2024.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we expect demand for Aftermarket Products and Services to remain relatively weak through the first few months of 2025 due to the slower than expected freight recovery and continued low fleet utilization from our over-the-road customers. However, we are optimistic that demand will pick up as the year progresses, and we believe that our continued focus on growing our national account customer base and our focus on other aftermarket strategic initiatives will result in aftermarket revenue growth this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Absorption Ratio. </w:t>
      </w:r>
      <w:r>
        <w:rPr>
          <w:rFonts w:ascii="Times New Roman" w:cs="Times New Roman" w:eastAsia="Times New Roman" w:hAnsi="Times New Roman"/>
          <w:sz w:val="18"/>
          <w:szCs w:val="18"/>
          <w:color w:val="auto"/>
        </w:rPr>
        <w:t>Management uses several performance metrics to evaluate the performance of our commercial vehicle dealerships and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132.2% absorption ratio for the year ended December 31, 2024, and 135.3% absorption ratio for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Note 2 of the Notes to Consolidated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 allowance is provided when it is anticipated that cost will exceed net realizable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 Intangible Assets and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so, the single asset or group of assets, as applicable, is not a business. If not, we determine whether the single asset or group of assets, as applicable, meets the definition of a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combinations, we record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excess purchase price over the fair value of assets acquired is recorded as goodwill. We assess goodwill for impairment annually in the fourth quarter, or whenever events or changes in circumstances indicate an impairment may have occurred. If impaired, the carrying values of the assets are written down to fair value using Level 3 inputs. See Note 2 – Significant Accounting Policies for further discussion of Level 3 fair value.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authorities periodically audit our income tax returns.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require use of our cash and result in an increase in our effective income tax rate in the period of resolution. A favorable tax settlement would generally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2024, 2023 and 2022. The following table sets forth for the years indicated certain financial data as a percentage of total revenues:</w:t>
      </w:r>
    </w:p>
    <w:p>
      <w:pPr>
        <w:spacing w:after="0" w:line="15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55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09"/>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79.9</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5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5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vs</w:t>
            </w:r>
          </w:p>
        </w:tc>
        <w:tc>
          <w:tcPr>
            <w:tcW w:w="320" w:type="dxa"/>
            <w:vAlign w:val="bottom"/>
          </w:tcPr>
          <w:p>
            <w:pPr>
              <w:spacing w:after="0"/>
              <w:rPr>
                <w:sz w:val="18"/>
                <w:szCs w:val="18"/>
                <w:color w:val="auto"/>
              </w:rPr>
            </w:pPr>
          </w:p>
        </w:tc>
        <w:tc>
          <w:tcPr>
            <w:tcW w:w="10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vs</w:t>
            </w:r>
          </w:p>
        </w:tc>
      </w:t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17,457</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16,778</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11,025</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1,848</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w:t>
            </w:r>
          </w:p>
        </w:tc>
        <w:tc>
          <w:tcPr>
            <w:tcW w:w="3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4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32,569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29,842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 sales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7,117</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2,906.8</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3,083.1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2,715.3</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1,312.0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108.8</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4,518.0</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4,503.9</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3,778.4</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335.8</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414.7</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552.9</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 vehicle revenue:</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132.2</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135.3</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5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1"/>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09"/>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9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Heavy-Duty Truck Market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 retail heavy-duty truck market is affected by a number of factors, including general economic conditions, fuel prices, other methods of transportation, environmental and other government regulations, interest rate fluctuations and customer business cycles. According to data published by A.C.T. Research, total U.S. retail sales of new Class 8 trucks in the last ten years have ranged from a low of approximately 195,687 in 2020 to a high of approximately 281,440 in 2019. Class 8 trucks are defined by the American Automobile Association as trucks with a minimum gross vehicle weight rating above 33,000 pounds.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Department of Transportation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and other aftermarket products and services;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A.C.T. Research currently estimates 252,000 new Class 8 trucks will be sold in the United States in 2025, compared to approximately 247,337 new Class 8 trucks sold in 2024. A.C.T. Research currently forecasts sales of new Class 8 trucks in the U.S. to be approximately 291,100 in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Medium-Duty Truck Market</w:t>
      </w:r>
    </w:p>
    <w:p>
      <w:pPr>
        <w:spacing w:after="0" w:line="22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Many of our Rush Truck Centers sell medium-duty commercial vehicles manufactured by Peterbilt, International, Hino, Ford or Isuzu, and provide parts and service for medium-duty commercial vehicles. Medium-duty commercial vehicles are principally used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haul markets as delivery vehicles; they typically operate locally and generally do not leave their service areas overnight. We also sell light-duty vehicles (Class 3 and under) at several of our Ford dealerships.</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A.C.T. Research currently forecasts sales of new Class 4 through 7 commercial vehicles in the U.S. to be approximately 266,300 units in 2025, compared to 251,895 units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decreased $120.3 million, or 1.5%, in 2024, compared to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Aftermarket Products and Services revenues decreased $46.1 million, or 1.8%, in 2024, compared to 2023. The decrease in Aftermarket Parts and Services revenues was primarily related to the ongoing freight recession.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revenues from sales of new and used commercial vehicles decreased $69.1 million, or 1.4%, in 2024, compared to 2023. The decrease in new and used commercial vehicle revenues was primarily a result of weak demand for Class 8 trucks caused by the ongoing freight recession and high interest rates, which was partially offset by strong demand for Class 4 through 7 medium-duty commercial vehicles.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15,465 new Class 8 trucks in 2024, a 11.4% decrease compared to 17,457 new heavy-duty trucks in 2023. Our share of the new U.S. Class 8 commercial vehicle sales market decreased to approximately 6.1% in 2024, from 6.2% in 2023. Our share of the new Canada Class 8 truck market was approximately 1.7% in 2024. The decrease in new commercial vehicle revenues was primarily a result of the ongoing freight recession and high interest rates.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13,935 new medium-duty commercial vehicles, including 1,230 buses, in 2024, a 5.1% increase compared to 13,264 new medium-duty commercial vehicles, including 1,564 buses, in 2023. In 2024, we achieved a 5.3% share of the Class 4 through 7 commercial vehicle market in the U.S., compared to 5.1% in 2023. Our share of the Canada medium-duty commercial vehicles market was approximately 3.1% in 2024. The increase in our Class 4 through 7 commercial vehicle sales in 2024 was primarily a result of strong demand and increased production of commercial vehicles from the manufacturers we represent.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2,105 new light-duty vehicles in 2024, a 13.9% increase compared to 1,848 new light-duty vehicles in 2023.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7,110 used commercial vehicles in 2024, a 0.1% decrease compared to 7,117 used commercial vehicles in 2023. We expect used commercial vehicle demand to remain at current levels. We also expect that the rate at which used commercial vehicles are depreciating will continue to decrease and that valuations will continue to stabilize during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 vehicle lease and rental revenues increased $1.2 million, or 0.3%, in 2024, compared to 2023. This increase in commercial vehicle lease and rental revenues was primarily a result of steady demand for lease commercial vehicles, which was partially offset by decreased rental utilization.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and insurance revenues decreased $2.3 million, or 9.4%, in 2024, compared to 2023. This decrease is primarily due to the mix of purchasers of commercial vehicles. We are more likely provide financing to owner-operators and smaller fleets, which comprised a smaller percentage of commercial vehicle sales during 2024. Finance and insurance revenues have limited direct costs and, therefore, contribute a disproportionate share of our operating profits.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revenues decreased $3.9 million, or 14.5% in 2024, compared to 2023. Other revenues consist primarily of the gains related to the disposition of our lease and rental fleet and document fees related to commercial vehicle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decreased $61.7 million, or 3.9%, compared to 2023. Gross profit as a percentage of sales decreased to 19.6% in 2024, from 20.1% in 2023. This decrease in gross profit as a percentage of sales was a result of a change in our customer sales mix and pricing pressure due to the ongoing freight recession. Commercial vehicle sales, a lower margin revenue item, was 62.6% of total revenues in both 2024 and 2023. Aftermarket Products and Services revenues, a higher margin revenue item, decreased slightly as a percentage of total revenues to 32.2% in 2024, from 32.3% in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36.7% in 2024, from 37.2% in 2023. Gross profit for Aftermarket Products and Services decreased to $924.5 million in 2024, from $952.8 million in 2023. This decrease is primarily related to the ongoing freight recession. Historically, parts operations’ gross margins range from 28% to 30% and service and collision center operations range from 66% to 68%. Gross profits from parts sales represented 58.0% of total gross profit for Aftermarket Products and Services operations in 2024 and 59.5% in 2023. Service and collision center operations represented 42.0% of total gross profit for Aftermarket Products and Services operations in 2024 and 40.5% 2023. We expect blended gross margins on Aftermarket Products and Services operations to range from 35.0% to 38.0% in 2025.</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8 truck sales decreased to 8.9% in 2024, from 9.7% in 2023. In 2025, we expect overall gross margins from new heavy-duty truck sales of approximately 8.5% to 9.5%.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increased to 9.2% in 2024, from 9.0% in 2023. This increase was primarily due to the mix of purchasers during 2024. For 2025, we expect overall gross margins from new medium-duty commercial vehicle sales of approximately 8.0% to 10.0%, but this will largely depend upon the mix of purchasers and types of vehicles sold.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18.9% in 2024, from 12.4% in 2023. This increase was primarily due to the successful execution of our used commercial vehicle sales strategy. We expect margins on used commercial vehicles to range between 13.0% and 18.0% in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commercial vehicle lease and rental sales decreased to 28.0% in 2024, from 29.9% in 2023. This decrease is primarily related to a decrease in rental utilization rates. We expect gross margins from lease and rental sales of approximately 27.0% to 29.0% during 2025.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revenues,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SG&amp;A expenses decreased $26.1 million, or 2.6%, in 2024, compared to 2023. This decrease primarily resulted from company initiatives to reduce operating expenses. SG&amp;A expenses as a percentage of total revenues decreased to 12.8% in 2024, from 12.9% in 2023. Annual SG&amp;A expenses as a percentage of total revenues have ranged from 12.4% to 14.4% over the last five years. In general, when new and used commercial vehicle revenues increase as a percentage of total revenues, SG&amp;A expenses as a percentage of total revenues will be at the lower end of this range. For 2025, we expect SG&amp;A expenses as a percentage of total revenues to range from 11.5% to 13.5%. For 2025, we expect the selling portion of SG&amp;A expenses to be 25.0% to 30.0% of new and used commercial vehicle 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$8.7 million, or 14.6%, in 2024, compared to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interest expense increased $17.9 million, or 33.9%, in 2024, compared to 2023. This increase in interest expense is a result of the increase in inventory levels and rising interest rates on our variable rate debt compared to 2023. We expect net interest expense in 2025 to decrease compared to 2024 due to decreased commercial vehicle inventory levels and lower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Income before income taxes decreased $64.2 million, or 13.9%, in 2024, compared to 2023, as a result of the factors described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decreased $21.2 million, or 18.6%, in 2024, compared to 2023, as a result of the factors described above. We provided for taxes at a 23.3% effective rate in 2024 and 24.7% in 2023. We expect our effective tax rate to be approximately 23.0% to 25.0% of pretax income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 discussion of information on the year ended December 31, 2023, refer to Part II Item 7 in the 2023 Annual Report on Form 10-K. </w:t>
      </w:r>
      <w:r>
        <w:rPr>
          <w:rFonts w:ascii="Times New Roman" w:cs="Times New Roman" w:eastAsia="Times New Roman" w:hAnsi="Times New Roman"/>
          <w:sz w:val="18"/>
          <w:szCs w:val="18"/>
          <w:u w:val="single" w:color="auto"/>
          <w:color w:val="auto"/>
        </w:rPr>
        <w:t>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XBRL Viewer (sec.gov)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and borrowings under our floor plan arrangements and other credit agreements. As of December 31, 2024, we had working capital of approximately $736.1 million, including $228.1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various credit agreements. The resulting interest earned is recognized as an offset to our interest expense.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both our Peterbilt and BMO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line of credit that provides for a maximum borrowing of $25.0 million. There were no advances outstanding under this secured line of credit as of December 31, 2024, however, $18.8 million was pledged to secure various letters of credit related to self-insurance products, leaving $6.2 million available for future borrowings as of December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BMO Floor Plan Credit Agreement and the WF Credit Agreement require us to satisfy various financial ratios such as the leverage ratio, the asset coverage ratio and the fixed charge coverage ratio. As of December 31, 2024, we were in compliance with all debt covenants related to debt secured by lease and rental units, the BMO Floor Plan Credit Agreement and the WF Credit Agreement. We do not anticipate any breach of the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$200.0 million to $250.0 million for our leasing operations during 2025, depending on customer demand. We also expect to make capital expenditures for the purchase of recurring items such as computers, shop tools and equipment and company vehicles of approximately $35.0 million to $40.0 million during 2025.</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we paid a cash dividend of $14.3 million. Additionally, on February 17, 2025, our Board of Directors declared a cash dividend of $0.18 per share of Class A and Class B common stock, to be paid on March 18, 2025, to all shareholders of record as of March 3, 2025. The total dividend disbursement is estimated to be approximately $14.3 million. We expect to continue paying cash dividends on a quarterly basis. However, there is no assurance as to future dividends because the declaration and payment of such dividends is subject to the business judgment of our Board and will depend on historic and projected earnings, capital requirements, covenant compliance and financial conditions and such other factors as our Board deems relevant.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 2024, we announced that our Board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2024.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2024, we had repurchased $6.5 million of our shares of common stock under the current stock repurchase program. The current stock repurchase program expires on December 31, 2025,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December 31, 2024.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619,550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295,713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294,400</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(445,578)</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(387,030)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(240,930)</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(129,321)</w:t>
            </w:r>
          </w:p>
        </w:tc>
        <w:tc>
          <w:tcPr>
            <w:tcW w:w="40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73,962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44,651</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(17,319)</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52,898</w:t>
            </w:r>
          </w:p>
        </w:tc>
        <w:tc>
          <w:tcPr>
            <w:tcW w:w="8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2024, operating activities resulted in net cash provided by operations of $619.6 million. Net cash provided by operating activities primarily consisted of $305.0 million in net income, as well as non-cash adjustments related to depreciation and amortization of $236.1 million, provision for deferred income tax of $19.8 million and stock-based compensation of $30.4 million. Cash used in operating activities included an aggregate of $23.5 million net change in operating assets and liabilities. Net change in operating assets and liabilities were primarily the result of $34.8 million from the decrease in customer deposits and $12.2 million from the decrease in accrued liabilities, which were offset primarily by cash outflows of $91.7 million from an increase in accounts receivable, $81.9 million from the decrease in accounts payable and $85.1 million from an increase in inventory. The majority of our commercial vehicle inventory is financed through our floor plan credit agreements.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2023, operating activities resulted in net cash provided by operating activities primarily consisted of $348.1 million in net income, as well as non-cash adjustments related to depreciation and amortization of $221.1 million, provision for deferred income tax of $7.6 million and stock-based compensation of $30.4 million. Cash used in operating activities included an aggregate of $310.6 million net change in operating assets and liabilities. Net change in operating assets and liabilities were primarily the result of $28.8 million from the decrease in customer deposits and $7.2 million from the decrease in accrued liabilities, which were offset primarily by cash outflows of $38.3 million from an increase in accounts receivable, $10.6 million from the decrease in accounts payable and $297.7 million from an increase in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2024, cash used in investing activities totaled $445.6 million. Cash flows used in investing activities consist primarily of cash used for capital expenditures, business acquisitions and notes receivable from an affiliate. Cash used for business acquisitions was $16.4 million and cash used for a notes receivable from an affiliate was $9.5 million during the year ended December 31, 2024. See Note 15 of the Notes to Consolidated Financial Statements for a detailed discussion of the business acquisitions. Capital expenditures totaled $433.0 million during 2024 and consisted primarily of purchases of property and equipment, improvements to our existing dealership facilities and $368.5 million for purchases of rental and lease vehicles for the rental and leasing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2023, cash used in investing activities totaled $387.0 million. Cash flows used in investing activities consist primarily of cash used for capital expenditures and business acquisitions. Cash used for business acquisitions was $16.1 million during the year ended December 31,2024. See Note 15 of the Notes to Consolidated Financial Statements for a detailed discussion of the business acquisitions. Capital expenditures totaled $368.9 million during 2024 and consisted primarily of purchases of property and equipment, improvements to our existing dealership facilities and $263.9 million for purchases of rental and lease vehicles for the rental and leasing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used in financing activities include borrowings and repayments of long-term debt and net payments of floor plan notes payable. During 2024, our financing activities resulted in net cash used in financing of $129.3 million. The cash outflows consisted primarily of $1,846.8 million used for principal repayments of long-term debt and finance lease obligations and $10.1 million for taxes paid related to net share settlement of equity awards. Additionally, during 2024, we paid cash dividends of $55.5 million and used $15.7 million to repurchase shares of Rush Class A common stock and Rush Class B common stock. These cash outflows were partially offset by $54.3 million from net draws on floor plan notes payable (non-trade), borrowings of $1,844.5 million of long-term debt and $25.4 million from the issuance of shares related to equity compensation plans.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our financing activities resulted in net cash received in financing of $74.0 million. The cash outflows consisted primarily of $1,309.3 million used for principal repayments of long-term debt and finance lease obligations and $7.0 million for taxes paid related to net share settlement of equity awards. Additionally, during 2024, we paid cash dividends of $50.6 million and used $211.8 million to repurchase shares of Rush Class A common stock and Rush Class B common stock. These cash outflows were partially offset by $205.5 million from net draws on floor plan notes payable (non-trade), borrowings of $1,429.1 million of long-term debt and $18.1 million from the issuance of shares related to equity compensation plans.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WF Credit Agreement with the WF lenders and the WF Agent.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plus (i) 1.25% or (ii) 1.5%, depending on our consolidated leverage ratio or (B) on or after the term SOFR transition date, the term SOFR plus (i) 1.25% or (ii) 1.5%, depending on our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2024, we had approximately $153.4 million outstanding under the WF Credit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we entered into the PLC Agreement with PACCAR Leasing Company, a division of PFC. Pursuant to the terms of the PLC Agreement, as amended by that certain amendment entered into on December 16, 2024,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December 31, 2024, we had approximately $220.0 million outstanding under the PLC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finance the commercial vehicle under the PFC Floor Plan Credit Agreement or the BMO Floor Plan Credit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2024, we entered into the new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December 16, 2029, although either party has the right to terminate the PFC Floor Plan Credit Agreement at any time upon 360 days written notice. On December 31, 2024, we had approximately $492.7 million outstanding under the PFC Floor Plan Credit Agreement. We utilize our excess cash on hand to pay down our outstanding borrowings under the PFC Floor Plan Credit Agreement, and the resulting interest earned is recognized as an offset to our gross interest expense under the PFC Floor Plan Credit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BMO Floor Plan Credit Agreement (as amended) with BMO and the lenders signatory thereto. This agreement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w:t>
      </w:r>
    </w:p>
    <w:p>
      <w:pPr>
        <w:spacing w:after="0" w:line="3" w:lineRule="exact"/>
        <w:rPr>
          <w:sz w:val="20"/>
          <w:szCs w:val="20"/>
          <w:color w:val="auto"/>
        </w:rPr>
      </w:pPr>
    </w:p>
    <w:p>
      <w:pPr>
        <w:jc w:val="both"/>
        <w:ind w:firstLine="8"/>
        <w:spacing w:after="0" w:line="252" w:lineRule="auto"/>
        <w:tabs>
          <w:tab w:leader="none" w:pos="2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December 31, 2029, although BMO Bank N.A. has the right to terminate at any time upon 360 days written notice and we may terminate at any time, subject to specified limited exceptions. On December 31, 2024, we had approximately $389.3 million outstanding under the BMO Floor Plan Credit Agreement. The average daily outstanding borrowings under the BMO Floor Plan Credit Agreement were $956.4 million during the twelve months ended December 31, 2024. We utilize our excess cash on hand to pay down our outstanding borrowings under the BMO Floor Plan Credit Agreement, and the resulting interest earned is recognized as an offset to our gross interest expense under the BMO Floor Plan Credit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31, 2022, RTC Canada entered into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Canada Revolving Credit Agreement bear interest per annum payable monthly at CORRA, plus 1.72%. The RTC Canada Revolving Credit Agreement expires September 14, 2026. On December 31, 2024, we had approximately $50.4 million CAD outstanding under the RTC Canada Revolving Credit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2022, RTC Canada entered into the RTC Canada Floor Plan Credit Agreement (as amended) with BMO. Pursuant to the terms of the RTC Canada Floor Plan Credit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(as defined in the agreement), plus 1.20%. The RTC Canada Floor Plan Credit Agreement expires September 14, 2026. On December 31, 2024, we had approximately $78.2 million CAD outstanding under the RTC Canada Floor Plan Credit Agreement. The average daily outstanding borrowings under the RTC Canada Floor Plan Credit Agreement were $80.7 million during the twelve months ended December 31, 2024. We utilize our excess cash on hand to pay down our outstanding borrowings under the RTC Canada Floor Plan Credit Agreement, and the resulting interest earned is recognized as an offset to our gross interest expense under the RTC Canada Floor Plan Credit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freight rates,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195,687 in 2020,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the PFC Floor Plan Credit Agreement, the BMO Floor Plan Credit Agreement, the WF Credit Agreement, the PLC Agreement, the RTC Canada Revolving Credit Agreement, the RTC Canada Floor Plan Credit Agreement and discount rates related to finance sales. The PFC Floor Plan Credit Agreement and the PLC Agreement are both based on the prime rate. The BMO Floor Plan Credit Agreement and the WF Credit Agreement are both based on SOFR. The RTC Canada Revolving Credit Agreement and RTC Canada Floor Plan Credit Agreement are both based on CORRA. As of December 31, 2024, we had outstanding floor plan borrowings and lease and rental fleet borrowings in the aggregate amount of $1,344.8 million. Assuming an increase or decrease in the prime rate, SOFR or CORRA of 100 basis points, annual interest expense could correspondingly increase or decrease by approximately $13.4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96"/>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5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42)</w:t>
            </w:r>
          </w:p>
        </w:tc>
        <w:tc>
          <w:tcPr>
            <w:tcW w:w="3940" w:type="dxa"/>
            <w:vAlign w:val="bottom"/>
            <w:gridSpan w:val="5"/>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r>
      <w:tr>
        <w:trPr>
          <w:trHeight w:val="412"/>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4780" w:type="dxa"/>
            <w:vAlign w:val="bottom"/>
            <w:gridSpan w:val="6"/>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47</w:t>
            </w:r>
          </w:p>
        </w:tc>
      </w:tr>
      <w:tr>
        <w:trPr>
          <w:trHeight w:val="412"/>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Income for the Years Ended December 31, 2024, 2023 and 2022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78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2024, 2023 and 2022</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49</w:t>
            </w:r>
          </w:p>
        </w:tc>
      </w:tr>
      <w:tr>
        <w:trPr>
          <w:trHeight w:val="412"/>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2024, 2023 and 2022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50</w:t>
            </w:r>
          </w:p>
        </w:tc>
      </w:tr>
      <w:tr>
        <w:trPr>
          <w:trHeight w:val="412"/>
        </w:trPr>
        <w:tc>
          <w:tcPr>
            <w:tcW w:w="76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180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51</w:t>
            </w:r>
          </w:p>
        </w:tc>
      </w:tr>
      <w:tr>
        <w:trPr>
          <w:trHeight w:val="412"/>
        </w:trPr>
        <w:tc>
          <w:tcPr>
            <w:tcW w:w="3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00" w:type="dxa"/>
            <w:vAlign w:val="bottom"/>
            <w:tcBorders>
              <w:top w:val="single" w:sz="8" w:color="0000EE"/>
            </w:tcBorders>
            <w:gridSpan w:val="4"/>
          </w:tcPr>
          <w:p>
            <w:pPr>
              <w:spacing w:after="0"/>
              <w:rPr>
                <w:sz w:val="24"/>
                <w:szCs w:val="24"/>
                <w:color w:val="auto"/>
              </w:rPr>
            </w:pPr>
          </w:p>
        </w:tc>
        <w:tc>
          <w:tcPr>
            <w:tcW w:w="248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52</w:t>
            </w:r>
          </w:p>
        </w:tc>
      </w:tr>
      <w:tr>
        <w:trPr>
          <w:trHeight w:val="453"/>
        </w:trPr>
        <w:tc>
          <w:tcPr>
            <w:tcW w:w="6660" w:type="dxa"/>
            <w:vAlign w:val="bottom"/>
            <w:gridSpan w:val="5"/>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Rush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Rush Enterprises, Inc. and subsidiaries (the Company) as of December 31, 2024 and 2023, the related consolidated statements of income, comprehensive income,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w:t>
            </w: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Commercial Vehicle Inventory Reserves</w:t>
            </w:r>
          </w:p>
        </w:tc>
        <w:tc>
          <w:tcPr>
            <w:tcW w:w="0" w:type="dxa"/>
            <w:vAlign w:val="bottom"/>
          </w:tcPr>
          <w:p>
            <w:pPr>
              <w:spacing w:after="0"/>
              <w:rPr>
                <w:sz w:val="1"/>
                <w:szCs w:val="1"/>
                <w:color w:val="auto"/>
              </w:rPr>
            </w:pPr>
          </w:p>
        </w:tc>
      </w:tr>
      <w:tr>
        <w:trPr>
          <w:trHeight w:val="214"/>
        </w:trPr>
        <w:tc>
          <w:tcPr>
            <w:tcW w:w="1260" w:type="dxa"/>
            <w:vAlign w:val="bottom"/>
            <w:vMerge w:val="continue"/>
          </w:tcPr>
          <w:p>
            <w:pPr>
              <w:spacing w:after="0"/>
              <w:rPr>
                <w:sz w:val="18"/>
                <w:szCs w:val="18"/>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December 31, 2024, the Company’s commercial vehicle inventory balance is approximately $1.4 billion, which is net of</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Matter</w:t>
            </w: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management’s estimate of commercial vehicle inventory reserves in the amount of approximately $9.8 million. As described in Note 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the consolidated financial statements, management adjusts the value of its inventory to net realizable value to the extent it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determines inventory cost cannot be recovered. Management estimates future demand and sales prices to calculate the commercial</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inventory reserves and to make corresponding adjustments to the carrying value of these inventories to reflect the lower of cost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net realizable value.</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Auditing management’s estimate of the commercial vehicle inventory reserves involved auditor subjective judgment because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estimate is sensitive to changes in management’s assumptions for forecasted product demand and future sales prices.</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99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15"/>
        </w:trPr>
        <w:tc>
          <w:tcPr>
            <w:tcW w:w="126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60" w:type="dxa"/>
            <w:vAlign w:val="bottom"/>
          </w:tcPr>
          <w:p>
            <w:pPr>
              <w:spacing w:after="0"/>
              <w:rPr>
                <w:sz w:val="17"/>
                <w:szCs w:val="17"/>
                <w:color w:val="auto"/>
              </w:rPr>
            </w:pPr>
          </w:p>
        </w:tc>
      </w:tr>
      <w:tr>
        <w:trPr>
          <w:trHeight w:val="432"/>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100" w:type="dxa"/>
            <w:vAlign w:val="bottom"/>
          </w:tcPr>
          <w:p>
            <w:pPr>
              <w:spacing w:after="0"/>
              <w:rPr>
                <w:sz w:val="24"/>
                <w:szCs w:val="24"/>
                <w:color w:val="auto"/>
              </w:rPr>
            </w:pP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evaluated and tested the design and operating effectiveness of controls over the Company’s processes to estimate the commercial</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vehicle inventory reserve, which included management’s review of the underlying significant assumptions.</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9860" w:type="dxa"/>
            <w:vAlign w:val="bottom"/>
          </w:tcPr>
          <w:p>
            <w:pPr>
              <w:spacing w:after="0"/>
              <w:rPr>
                <w:sz w:val="18"/>
                <w:szCs w:val="18"/>
                <w:color w:val="auto"/>
              </w:rPr>
            </w:pPr>
          </w:p>
        </w:tc>
      </w:t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substantive audit procedures included, among others, evaluating the significant assumptions described above, and we tested the</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completeness and accuracy of underlying data used in the estimation calculations. We also compared the cost of on-hand commercial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vehicle inventories to customer demand forecasts and historical sales. We assessed the historical accuracy of management’s estimates</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and performed sensitivity analyses of significant assumptions to evaluate the changes in the commercial vehicle inventory reserves that</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would result from changes in the assumptions.</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served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 Antonio,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21, 2025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6720" w:type="dxa"/>
            <w:vAlign w:val="bottom"/>
            <w:gridSpan w:val="6"/>
          </w:tcPr>
          <w:p>
            <w:pPr>
              <w:jc w:val="center"/>
              <w:ind w:left="1870"/>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228,131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183,725</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345,346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259,353</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 from affiliate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1,787,744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1,801,447</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2,389,715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2,260,304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1,615,635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1,488,086</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111,408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120,162</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427,493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420,708</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74,981</w:t>
            </w:r>
          </w:p>
        </w:tc>
        <w:tc>
          <w:tcPr>
            <w:tcW w:w="100" w:type="dxa"/>
            <w:vAlign w:val="bottom"/>
          </w:tcPr>
          <w:p>
            <w:pPr>
              <w:spacing w:after="0"/>
              <w:rPr>
                <w:sz w:val="18"/>
                <w:szCs w:val="18"/>
                <w:color w:val="auto"/>
              </w:rPr>
            </w:pPr>
          </w:p>
        </w:tc>
      </w:tr>
      <w:tr>
        <w:trPr>
          <w:trHeight w:val="24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4,617,547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4,364,241</w:t>
            </w: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1,081,199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1,139,744</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36,119</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17,438</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162,134</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145,326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172,549</w:t>
            </w:r>
          </w:p>
        </w:tc>
        <w:tc>
          <w:tcPr>
            <w:tcW w:w="100" w:type="dxa"/>
            <w:vAlign w:val="bottom"/>
          </w:tcPr>
          <w:p>
            <w:pPr>
              <w:spacing w:after="0"/>
              <w:rPr>
                <w:sz w:val="18"/>
                <w:szCs w:val="18"/>
                <w:color w:val="auto"/>
              </w:rPr>
            </w:pPr>
          </w:p>
        </w:tc>
      </w:tr>
      <w:tr>
        <w:trPr>
          <w:trHeight w:val="210"/>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1,650,119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1,673,310</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414,002</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92,235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97,617</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104,514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24,811</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178,916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159,571</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2024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105,000,000 Class A shares and 35,000,000 Class B shares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62,604,986 Class A shares and 16,662,633 Class B shares outstanding in 2024; and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61,461,281 Class A shares and 16,364,158 Class B shares outstanding in 2023</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587,639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542,046</w:t>
            </w: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1,387,013 Class A shares and 1,783,806 Class B shares in 2024; and 1,092,142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shares and 1,731,157 Class B shares in 2023</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(136,235)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(119,835)</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1,698,614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1,450,025</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(2,163)</w:t>
            </w:r>
          </w:p>
        </w:tc>
      </w:tr>
      <w:tr>
        <w:trPr>
          <w:trHeight w:val="210"/>
        </w:trPr>
        <w:tc>
          <w:tcPr>
            <w:tcW w:w="800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2,141,549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1,870,879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1,890,416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4,617,547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4,364,241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4,888,823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4,957,969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4,351,370</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2,516,020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2,562,141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2,372,439</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354,939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322,257</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29,741</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22,973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25,863</w:t>
            </w: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7,804,746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7,925,024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7,101,670</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4,426,292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4,474,616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3,937,091</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1,591,510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1,609,383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1,455,616</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255,528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247,935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221,804</w:t>
            </w:r>
          </w:p>
        </w:tc>
      </w:tr>
      <w:tr>
        <w:trPr>
          <w:trHeight w:val="20"/>
        </w:trPr>
        <w:tc>
          <w:tcPr>
            <w:tcW w:w="6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6,273,330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6,331,934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5,614,511</w:t>
            </w: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1,531,416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1,593,090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1,487,159</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995,586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1,021,722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927,836</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68,549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55,665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468,090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512,381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506,113</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22,338</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(72,024)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(19,763)</w:t>
            </w:r>
          </w:p>
        </w:tc>
      </w:tr>
      <w:tr>
        <w:trPr>
          <w:trHeight w:val="20"/>
        </w:trPr>
        <w:tc>
          <w:tcPr>
            <w:tcW w:w="6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(70,858)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(19,124)</w:t>
            </w: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397,815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462,061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509,327</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92,845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117,242</w:t>
            </w: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304,970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348,061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392,085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304,153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347,055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391,382</w:t>
            </w:r>
          </w:p>
        </w:tc>
      </w:tr>
      <w:tr>
        <w:trPr>
          <w:trHeight w:val="196"/>
        </w:trPr>
        <w:tc>
          <w:tcPr>
            <w:tcW w:w="6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 stock: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r>
      <w:tr>
        <w:trPr>
          <w:trHeight w:val="432"/>
        </w:trPr>
        <w:tc>
          <w:tcPr>
            <w:tcW w:w="9600" w:type="dxa"/>
            <w:vAlign w:val="bottom"/>
            <w:gridSpan w:val="8"/>
          </w:tcPr>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1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r>
      <w:tr>
        <w:trPr>
          <w:trHeight w:val="209"/>
        </w:trPr>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348,061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392,085</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currency translation related to equity method accounting</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6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Rush Enterprises, Inc.</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0"/>
        </w:trPr>
        <w:tc>
          <w:tcPr>
            <w:tcW w:w="6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387,168</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w:t>
            </w:r>
          </w:p>
        </w:tc>
      </w:tr>
      <w:tr>
        <w:trPr>
          <w:trHeight w:val="20"/>
        </w:trPr>
        <w:tc>
          <w:tcPr>
            <w:tcW w:w="6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Rush Enterprises, Inc.</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297,023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349,022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386,465</w:t>
            </w:r>
          </w:p>
        </w:tc>
      </w:tr>
      <w:tr>
        <w:trPr>
          <w:trHeight w:val="20"/>
        </w:trPr>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4"/>
              </w:rPr>
              <w:t>Total</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6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Accumulated</w:t>
            </w: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97"/>
              </w:rPr>
              <w:t>Rush</w:t>
            </w: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$0.01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Enterprises,</w:t>
            </w:r>
          </w:p>
        </w:tc>
        <w:tc>
          <w:tcPr>
            <w:tcW w:w="108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0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Outstanding</w:t>
            </w: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Par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Paid -In</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Treasury</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Retained</w:t>
            </w:r>
          </w:p>
        </w:tc>
        <w:tc>
          <w:tcPr>
            <w:tcW w:w="11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Comprehensive</w:t>
            </w: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Shareholders’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Noncontrolling</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00" w:type="dxa"/>
            <w:vAlign w:val="bottom"/>
            <w:tcBorders>
              <w:top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52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97"/>
              </w:rPr>
              <w:t>Class B</w:t>
            </w:r>
          </w:p>
        </w:tc>
        <w:tc>
          <w:tcPr>
            <w:tcW w:w="180" w:type="dxa"/>
            <w:vAlign w:val="bottom"/>
          </w:tcPr>
          <w:p>
            <w:pPr>
              <w:spacing w:after="0"/>
              <w:rPr>
                <w:sz w:val="12"/>
                <w:szCs w:val="12"/>
                <w:color w:val="auto"/>
              </w:rPr>
            </w:pPr>
          </w:p>
        </w:tc>
        <w:tc>
          <w:tcPr>
            <w:tcW w:w="70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Value</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7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80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6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118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0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10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9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64,662</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18,598</w:t>
            </w: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470,750</w:t>
            </w: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(36,933</w:t>
            </w: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1,031,582</w:t>
            </w:r>
          </w:p>
        </w:tc>
        <w:tc>
          <w:tcPr>
            <w:tcW w:w="11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11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1,466,749</w:t>
            </w: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1,466,749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585</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8,029</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8,033</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8,033</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25,315</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25,315</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25,315</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457</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(8,669)</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(8,666)</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(8,666)</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201</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5,217</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5,219</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5,219</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(93,997)</w:t>
            </w: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(93,997)</w:t>
            </w: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(93,997)</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(34,207)</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(34,207)</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(34,207)</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(10,420)</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(10,420)</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(10,420)</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foreign</w:t>
            </w: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currency translation related to</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(601)</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(601)</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method</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(4,316)</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(4,316)</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 equity</w:t>
            </w:r>
          </w:p>
        </w:tc>
        <w:tc>
          <w:tcPr>
            <w:tcW w:w="9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17,828</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17,828</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391,382</w:t>
            </w:r>
          </w:p>
        </w:tc>
        <w:tc>
          <w:tcPr>
            <w:tcW w:w="11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391,382</w:t>
            </w: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392,085</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0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63,518</w:t>
            </w:r>
          </w:p>
        </w:tc>
        <w:tc>
          <w:tcPr>
            <w:tcW w:w="70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18,125</w:t>
            </w:r>
          </w:p>
        </w:tc>
        <w:tc>
          <w:tcPr>
            <w:tcW w:w="7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572</w:t>
            </w:r>
          </w:p>
        </w:tc>
        <w:tc>
          <w:tcPr>
            <w:tcW w:w="90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500,642</w:t>
            </w:r>
          </w:p>
        </w:tc>
        <w:tc>
          <w:tcPr>
            <w:tcW w:w="7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(130,930</w:t>
            </w: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1,378,337</w:t>
            </w:r>
          </w:p>
        </w:tc>
        <w:tc>
          <w:tcPr>
            <w:tcW w:w="11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(4,130</w:t>
            </w: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1,744,491</w:t>
            </w:r>
          </w:p>
        </w:tc>
        <w:tc>
          <w:tcPr>
            <w:tcW w:w="10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18,531</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1,763,022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822</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12,120</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12,126</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12,126</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30,354</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30,354</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30,354</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421</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(7,018)</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(7,015)</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(7,015)</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209</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5,951</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5,952</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5,952</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(3,088)</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(2,182)</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(213,425)</w:t>
            </w: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(213,425)</w:t>
            </w: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(213,425)</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Retirement of treasury shares</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224,520</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(224,744)</w:t>
            </w:r>
          </w:p>
        </w:tc>
        <w:tc>
          <w:tcPr>
            <w:tcW w:w="11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and par value adjustment</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(38,727)</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(38,727)</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(38,727)</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(11,896)</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(11,896)</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(11,896)</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1,967</w:t>
            </w: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1,967</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1,967</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347,055</w:t>
            </w:r>
          </w:p>
        </w:tc>
        <w:tc>
          <w:tcPr>
            <w:tcW w:w="11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347,055</w:t>
            </w: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348,061</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0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61,461</w:t>
            </w:r>
          </w:p>
        </w:tc>
        <w:tc>
          <w:tcPr>
            <w:tcW w:w="700" w:type="dxa"/>
            <w:vAlign w:val="bottom"/>
            <w:tcBorders>
              <w:bottom w:val="single" w:sz="8" w:color="auto"/>
            </w:tcBorders>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16,364</w:t>
            </w: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9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542,046</w:t>
            </w:r>
          </w:p>
        </w:tc>
        <w:tc>
          <w:tcPr>
            <w:tcW w:w="7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(119,835</w:t>
            </w: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1,450,025</w:t>
            </w:r>
          </w:p>
        </w:tc>
        <w:tc>
          <w:tcPr>
            <w:tcW w:w="11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(2,163</w:t>
            </w: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1,870,879</w:t>
            </w:r>
          </w:p>
        </w:tc>
        <w:tc>
          <w:tcPr>
            <w:tcW w:w="10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19,537</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Stock options exercised and</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1,243</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18,494</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18,506</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18,506</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30,350</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30,350</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30,350</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351</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(10,116)</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(10,112)</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(10,112)</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196</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6,865</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6,867</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6,867</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(16,400)</w:t>
            </w: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(16,400)</w:t>
            </w: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(16,400)</w:t>
            </w: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(43,449)</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(43,449)</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(43,449)</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(12,115)</w:t>
            </w:r>
          </w:p>
        </w:tc>
        <w:tc>
          <w:tcPr>
            <w:tcW w:w="11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(12,115)</w:t>
            </w: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(12,115)</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9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(7,130)</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(7,130)</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(7,130)</w:t>
            </w:r>
          </w:p>
        </w:tc>
        <w:tc>
          <w:tcPr>
            <w:tcW w:w="0" w:type="dxa"/>
            <w:vAlign w:val="bottom"/>
          </w:tcPr>
          <w:p>
            <w:pPr>
              <w:spacing w:after="0"/>
              <w:rPr>
                <w:sz w:val="1"/>
                <w:szCs w:val="1"/>
                <w:color w:val="auto"/>
              </w:rPr>
            </w:pPr>
          </w:p>
        </w:tc>
      </w:tr>
      <w:tr>
        <w:trPr>
          <w:trHeight w:val="171"/>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304,153</w:t>
            </w:r>
          </w:p>
        </w:tc>
        <w:tc>
          <w:tcPr>
            <w:tcW w:w="11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304,153</w:t>
            </w:r>
          </w:p>
        </w:tc>
        <w:tc>
          <w:tcPr>
            <w:tcW w:w="10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304,970</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900" w:type="dxa"/>
            <w:vAlign w:val="bottom"/>
            <w:tcBorders>
              <w:top w:val="single" w:sz="8" w:color="auto"/>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rPr>
              <w:t>62,605</w:t>
            </w:r>
          </w:p>
        </w:tc>
        <w:tc>
          <w:tcPr>
            <w:tcW w:w="700" w:type="dxa"/>
            <w:vAlign w:val="bottom"/>
            <w:tcBorders>
              <w:top w:val="single" w:sz="8" w:color="auto"/>
              <w:bottom w:val="single" w:sz="8" w:color="auto"/>
            </w:tcBorders>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16,663</w:t>
            </w:r>
          </w:p>
        </w:tc>
        <w:tc>
          <w:tcPr>
            <w:tcW w:w="7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824</w:t>
            </w:r>
          </w:p>
        </w:tc>
        <w:tc>
          <w:tcPr>
            <w:tcW w:w="90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587,639</w:t>
            </w:r>
          </w:p>
        </w:tc>
        <w:tc>
          <w:tcPr>
            <w:tcW w:w="7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(136,235</w:t>
            </w: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1,698,614</w:t>
            </w:r>
          </w:p>
        </w:tc>
        <w:tc>
          <w:tcPr>
            <w:tcW w:w="116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(9,293</w:t>
            </w: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2,141,549</w:t>
            </w:r>
          </w:p>
        </w:tc>
        <w:tc>
          <w:tcPr>
            <w:tcW w:w="108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20,354</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2,161,903</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0" w:type="dxa"/>
            <w:vAlign w:val="bottom"/>
            <w:gridSpan w:val="8"/>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304,970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348,061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392,085</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236,101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221,141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199,149</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(2,467)</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Gain on joint venture transaction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business acquisition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(6,958)</w:t>
            </w:r>
          </w:p>
        </w:tc>
      </w:tr>
      <w:tr>
        <w:trPr>
          <w:trHeight w:val="198"/>
        </w:trPr>
        <w:tc>
          <w:tcPr>
            <w:tcW w:w="624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related to employee stock options and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employee stock purchases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30,350</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25,315</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19,810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4,261</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(87,098)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(74,607)</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inventories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(324,508)</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(3,259)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81,862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31,438</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(34,808)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34,121</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(12,199)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32,789</w:t>
            </w: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(5,058)</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619,550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295,713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294,400</w:t>
            </w:r>
          </w:p>
        </w:tc>
      </w:tr>
      <w:tr>
        <w:trPr>
          <w:trHeight w:val="210"/>
        </w:trPr>
        <w:tc>
          <w:tcPr>
            <w:tcW w:w="62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(433,047)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(368,881)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(243,060)</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9,437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7,124</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notes receivable from affiliate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Business disposition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(20,762)</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3,933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(11,732)</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(445,577)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(387,030)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(240,930)</w:t>
            </w:r>
          </w:p>
        </w:tc>
      </w:tr>
      <w:tr>
        <w:trPr>
          <w:trHeight w:val="210"/>
        </w:trPr>
        <w:tc>
          <w:tcPr>
            <w:tcW w:w="62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Draws (payments) on floor plan notes payable – non-trade,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(54,265)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205,487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273,906</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1,844,528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1,429,083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958,328</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(1,846,752)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(1,291,615)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(1,084,465)</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(16,839)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(14,780)</w:t>
            </w:r>
          </w:p>
        </w:tc>
      </w:tr>
      <w:tr>
        <w:trPr>
          <w:trHeight w:val="198"/>
        </w:trPr>
        <w:tc>
          <w:tcPr>
            <w:tcW w:w="624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purchases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25,377</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18,077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13,255</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(10,116)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(8,669)</w:t>
            </w: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(55,508)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(44,556)</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(15,746)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(211,778)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(93,709)</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(129,321)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73,962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44,652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52,780</w:t>
            </w:r>
          </w:p>
        </w:tc>
      </w:tr>
      <w:tr>
        <w:trPr>
          <w:trHeight w:val="216"/>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183,725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201,044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148,146</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228,131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183,725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201,044</w:t>
            </w:r>
          </w:p>
        </w:tc>
      </w:tr>
      <w:tr>
        <w:trPr>
          <w:trHeight w:val="197"/>
        </w:trPr>
        <w:tc>
          <w:tcPr>
            <w:tcW w:w="6240" w:type="dxa"/>
            <w:vAlign w:val="bottom"/>
            <w:tcBorders>
              <w:top w:val="single" w:sz="8" w:color="CCEE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78,292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56,427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21,694</w:t>
            </w: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 net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76,028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106,872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102,038</w:t>
            </w:r>
          </w:p>
        </w:tc>
      </w:tr>
      <w:tr>
        <w:trPr>
          <w:trHeight w:val="216"/>
        </w:trPr>
        <w:tc>
          <w:tcPr>
            <w:tcW w:w="6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31,412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43,330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33,654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820" w:hanging="812"/>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IC Bus, Blue Bird, Dennis Eagle, Blue Arc or Battle Motors.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deposits for the statutory restriction on cash related to the Company’s captive insurance company of $5.1 million as of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25, 2023, the Board of Directors of the Company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10-K have been adjusted and restated to reflect the stock split as if it occurred on the first day of the earliest period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2023, the Company’s shareholders approved the Certificate of Amendment to the Restated Articles of Incorporation of the Company to increase the number of authorized shares of Class A Common Stock from 60,000,000 to 105,000,000 and Class B Common Stock from 20,000,000 to 35,000,000.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 Retirement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retired 3,052,899 shares of Class A common stock and 1,445,515 shares of Class B common stock. The Company recorded the retirement directly against retained earnings based on the Company’s policy election. The Company accounts for treasury stock using the cost method. There was no effect on the Company’s overall equity position due to the retirement of the treasury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monthly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3" w:lineRule="exact"/>
        <w:rPr>
          <w:sz w:val="20"/>
          <w:szCs w:val="20"/>
          <w:color w:val="auto"/>
        </w:rPr>
      </w:pPr>
    </w:p>
    <w:p>
      <w:pPr>
        <w:ind w:right="7180" w:firstLine="8"/>
        <w:spacing w:after="0" w:line="500" w:lineRule="auto"/>
        <w:tabs>
          <w:tab w:leader="none" w:pos="8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Principles of Consolidation</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Estimates in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U.S. generally accepted accounting principles (“GAAP”) requires management to make certain estimates and assumptions. These estimates and assumptions affect the reported amounts of assets and liabilities, the disclosures of contingent assets and liabilities at the balance sheet date and the amounts of revenues and expenses recognized during the reporting period. Management analyzes the Company’s estimates based on historical experience and other assumptions that are believed to be reasonable under the circumstances, however, actual results could differ materially from such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Cash Equivalents and Restricted Cash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generally consist of cash and other money market instruments. The Company considers all highly liquid investments with an original maturity of ninety days or less to be cash equivalents. Restricted cash consists of deposits for the statutory restriction on cash related to the Company’s captive insurance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and Repossession Losses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an allowance for credit losses based on the probability of default, its historical rate of losses, aging and current economic conditions. Accounts receivables consist primarily of commercial vehicle sales receivables, manufacturers’ receivables, leasing and parts and service receivables and other trade receivables.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an allowance for repossession losses after considering historical loss experience and other factors that might affect the ability of customers to meet their obligations on finance contracts sold by the Company when the Company has a potential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As the market value of the Company’s inventory typically declines over time, reserves are established based on historical loss experience and market trends. These reserves are charged to cost of sales and reduce the carrying value of the Company’s inventory on hand. An allowance is provided when it is anticipated that cost will exceed net realizable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the underlying assets and is amortized over the estimated useful life of such assets. The cost, accumulated depreciation and amortization and estimated useful lives of the Company’s property and equipment are summarized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Estimated Life</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174,962</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591,992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shop equipment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computers</w:t>
            </w:r>
          </w:p>
        </w:tc>
        <w:tc>
          <w:tcPr>
            <w:tcW w:w="9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 vehicles</w:t>
            </w:r>
          </w:p>
        </w:tc>
        <w:tc>
          <w:tcPr>
            <w:tcW w:w="9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1,155,767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31,037</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(902,031)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(858,405)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6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1,615,635</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1,488,086</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$207.3 million and amortization expense of $28.8 million for the year ended December 31, 2024, depreciation expense of $194.1 million and amortization expense of $27.0 million for the year ended December 31, 2023, and depreciation expense of $177.1 million and amortization expense of $22.1 million for the year ended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$122.4 million in lease and rental vehicles under various finance leases included in property and equipment, net of accumulated amortization of $66.9 million. The Company recorded depreciation and amortization expense of $167.6 million related to lease and rental vehicles in lease and rental cost of products sold for the year ended December 31, 2024, $161.3 million for the year ended December 31, 2023, and $143.5 million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Price Allocation, Intangible Assets and Goodwill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for the recognition of assets acquired and liabilities assumed through acquisitions at their estimated fair values as of the date of acquisition. The 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in the Consolidated Statements of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whether substantially all the fair value of the gross assets acquired are concentrated in a single identifiable asset or a group of similar identifiable assets. If so, the single asset or group of assets, as applicable, is not a business. If not, the Company determines whether the single asset or group of assets, as applicable, meets the definition of a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business combinations, it records certain intangible assets, including franchise rights. The Company periodically reviews the estimated useful lives and fair values of its identifiable intangible assets, taking into consideration any events or circumstances that might result in a diminished fair value or revised useful life. See Note 15 – Acquisitions in the Notes to the Financial Statements for further discussion.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at the date of acquisition, of the purchase price of an acquired business over the fair value of the net tangible and intangible assets acquired. In addition to goodwill, the Company recognizes separately identifiable intangible assets for rights under franchise agreements with manufacturers.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intangible franchise right is determined at the acquisition date by discounting the projected cash flows specific to each acquisition. The carrying value of the Company’s manufacturer franchise rights was $12.0 million as of December 31, 2024 and December 31, 2023,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a geographic region, the Company has determined that evaluating and including all locations acquired in the geographic region is the appropriate level for purposes of testing franchise rights for impairment. The Company is subject to financial statement risk to the extent that manufacturer franchise rights become impaired due to decreases in the fair market value of its individual franchises.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goodwill and intangible franchise rights for impairment annually in the fourth quarter, or whenever events or changes in circumstances indicate an impairment may have occurred. If impaired, the carrying values of the assets are written down to fair value using Level 3 inputs. See Fair Value Measurements below for further discussion of Level 3 fair value inputs.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annual goodwill and intangible franchise rights impairment assessment conducted in the fourth quarter of 2024, the Company elected to perform a qualitative assessment and determined that it was not more-likely-than-not that the fair values of the Company’s reporting units were less than their carrying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impairments of goodwill or intangible franchise rights were recorded during the years ended December 31, 2024,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 in the carrying amount of goodwill for the Company for the year ended December 31, 2024 (in thousands):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during 2024</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(3,445)</w:t>
            </w:r>
          </w:p>
        </w:tc>
      </w:tr>
      <w:tr>
        <w:trPr>
          <w:trHeight w:val="209"/>
        </w:trPr>
        <w:tc>
          <w:tcPr>
            <w:tcW w:w="20" w:type="dxa"/>
            <w:vAlign w:val="bottom"/>
          </w:tcPr>
          <w:p>
            <w:pPr>
              <w:spacing w:after="0"/>
              <w:rPr>
                <w:sz w:val="18"/>
                <w:szCs w:val="18"/>
                <w:color w:val="auto"/>
              </w:rPr>
            </w:pPr>
          </w:p>
        </w:tc>
        <w:tc>
          <w:tcPr>
            <w:tcW w:w="8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427,493</w:t>
            </w:r>
          </w:p>
        </w:tc>
        <w:tc>
          <w:tcPr>
            <w:tcW w:w="10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2019, the Company acquired 50% of the equity interest in RTC Canada, which acquired the operating assets of Tallman Group, the largest International Truck dealer in Canada. Prior to acquiring an additional 30% equity interest on May 2, 2022, for approximately $20.0 million, the Company accounted for the equity interest in RTC Canada using the equity method of accounting. After the Company’s acquisition of the additional 30% equity interest on May 2, 2022, operations of RTC Canada were included in the accompanying consolidated financial statements. Income (loss) related to the 20% equity owner of RTC Canada is reflected in the accompanying consolidated financial statements as a noncontrolling interest. See Note 15 – Acquisitions in the Notes to the Financial Statements for further discussion.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2022, a subsidiary of Cummins, Inc. acquired a 50% equity interest in Natural Gas Fuel Systems, LLC (“NGFS”) from the Company for $27.5 million. NGFS previously conducted business as Momentum Fuel Technologies. The $12.5 million gain realized on the transaction is included in Other income on the Consolidated Statements of Income for the year ended December 31, 2022. The Company is accounting for the business as a joint venture and recognizes the investment using the equity method. The Company’s equity income in NGFS is included in the line-item Other income on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income tax returns are periodically audited by tax authorities. These audits include questions regarding the Company’s tax filing positions, including the timing and amount of deductions. In evaluating the exposures associated with its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Policies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ASU 2014-09,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assesses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17 – Revenue of the Notes to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Rental and Lease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commercial vehicles that the Company owns to customers. Lease and rental revenues are recognized over the period of the related lease or rental agreement. Variable rental revenue is recognized when it is earned.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on finance leases. There are no costs of sales associated with the Company’s finance and insurance revenue or other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a lease asset and liability at the present value of lease payments over the term. Many of the Company’s leases include renewal options and termination options that are factored into its determination of lease payments when appropriate.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Assessed by a Governmental Authority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sales taxes assessed by a governmental authority that are directly imposed on a revenue-producing transaction on a net (excluded from revenues)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incentive-based compensation for sales, finance and general management personnel, salaries for administrative personnel and expenses for rent, marketing, insurance, utilities and other general operating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applies the provisions of ASC topic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expected to vest is recognized as an expense over the requisite service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all share-based payment awards is recognized using the straight-line single-option method. Stock-based compensation expense is recognized based on awards expected to vest. Accordingly, stock-based compensation expense has been reduced for estimated forfeitures. Forfeitures are estimated at the time of grant and revised, if necessary, in subsequent periods if actual forfeitures differ from those estimates.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share-based payment awards on the date of grant using an option-pricing model that is affected by the Company’s stock price, as well as assumptions regarding a number of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fair value and it may not be indicative of the fair value observed in a market transaction between a willing buyer and a willing seller.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stock volatility</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33.66%</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34.97%</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stock options granted</w:t>
            </w:r>
          </w:p>
        </w:tc>
        <w:tc>
          <w:tcPr>
            <w:tcW w:w="15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and marketing expense was $11.3 million for 2024, $10.0 million for 2023 and $8.7 million for 2022. Advertising and marketing expense is included in selling, general and administrative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Internal Use Software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accounting policy with respect to accounting for computer software developed or obtained for internal use is consistent with ASC topic 350-40 </w:t>
      </w:r>
      <w:r>
        <w:rPr>
          <w:rFonts w:ascii="Times New Roman" w:cs="Times New Roman" w:eastAsia="Times New Roman" w:hAnsi="Times New Roman"/>
          <w:sz w:val="18"/>
          <w:szCs w:val="18"/>
          <w:i w:val="1"/>
          <w:iCs w:val="1"/>
          <w:color w:val="auto"/>
        </w:rPr>
        <w:t>(Internal Use Software)</w:t>
      </w:r>
      <w:r>
        <w:rPr>
          <w:rFonts w:ascii="Times New Roman" w:cs="Times New Roman" w:eastAsia="Times New Roman" w:hAnsi="Times New Roman"/>
          <w:sz w:val="18"/>
          <w:szCs w:val="18"/>
          <w:color w:val="auto"/>
        </w:rPr>
        <w:t>, which provides guidance on accounting for the costs of computer software developed or obtained for internal use and identifies characteristics of internal-use software. The Company has capitalized software costs, including capitalized interest, of approximately $1.8 million as of December 31, 2024, net of accumulated amortization of $17.2 million, and had $3.0 million as of December 31, 2023, net of accumulated amortization of $16.0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captive insurance company to manage its auto and general commercial liability insurance, which the Company supplements with excess insurance coverage at a level management believes is sufficient. The Company is partially self-insured for a portion of the claims related to its worker’s compensation and medical insurance. The Company uses actuarial information provided from third-party administrators to calculate an accrual for claims incurred, but not reported, and for the remaining portion of claims that have been reported. The Company is fully self-insured for claims related to its real and personal property, except for its vehicle inventory, which is fully insured.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updated accounting guidance related to annual and interim segment disclosures (ASU 2023-07). The updated accounting guidance, among other things, intends to improve reportable segment disclosure requirements, primarily through enhanced disclosures about significant segment expenses. We adopted ASU 2023-07 in the fourth quarter of 2024, by identifying the Chief Operating Decision Maker (“CODM”), identifying and aggregating operating segments, determining reportable segments and including significant segment expenses reviewed by the Company’s CODM. Refer to Note 16, Segment Reporting, for our updated presentation.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 Not Yet Adopted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which requires disclosure of disaggregated income taxes paid, prescribes standard categories for the components of the effective tax rate reconciliation, and modifies other income tax-related disclosures. ASU 2023-09 is effective for fiscal years beginning after December 15, 2024, may be applied prospectively or retrospectively, and allows for early adoption. These requirements are not expected to have an impact on our financial statements but will impact our income tax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requiring more detailed disclosure about specified categories of expenses such as inventory purchases, employee compensation, depreciation and amortization in their financial statements. ASU 2024-03 is effective for fiscal years beginning after December 15, 2026, and interim periods within fiscal years beginning after December 15, 2027, may be applied prospectively or retrospectively, and allows for early adoption. The Company is currently evaluating the impact, if any, adoption will have on its financial statements.</w:t>
      </w:r>
    </w:p>
    <w:p>
      <w:pPr>
        <w:spacing w:after="0" w:line="200" w:lineRule="exact"/>
        <w:rPr>
          <w:sz w:val="20"/>
          <w:szCs w:val="20"/>
          <w:color w:val="auto"/>
        </w:rPr>
      </w:pPr>
    </w:p>
    <w:p>
      <w:pPr>
        <w:spacing w:after="0" w:line="228" w:lineRule="exact"/>
        <w:rPr>
          <w:sz w:val="20"/>
          <w:szCs w:val="20"/>
          <w:color w:val="auto"/>
        </w:rPr>
      </w:pPr>
    </w:p>
    <w:p>
      <w:pPr>
        <w:jc w:val="both"/>
        <w:ind w:right="7980" w:firstLine="8"/>
        <w:spacing w:after="0" w:line="530" w:lineRule="auto"/>
        <w:tabs>
          <w:tab w:leader="none" w:pos="81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SUPPLIER CONCENTRATION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Major Suppliers and Dealership Agreements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area of responsibility. The agreements allow the Company to use the Manufacturers’ names, trade symbols and intellectual property and expire as follows: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4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Manufacturer</w:t>
            </w:r>
          </w:p>
        </w:tc>
        <w:tc>
          <w:tcPr>
            <w:tcW w:w="2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Expiration Dates</w:t>
            </w:r>
          </w:p>
        </w:tc>
      </w:tr>
      <w:tr>
        <w:trPr>
          <w:trHeight w:val="209"/>
        </w:trPr>
        <w:tc>
          <w:tcPr>
            <w:tcW w:w="4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Peterbilt</w:t>
            </w:r>
          </w:p>
        </w:tc>
        <w:tc>
          <w:tcPr>
            <w:tcW w:w="2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r>
      <w:tr>
        <w:trPr>
          <w:trHeight w:val="216"/>
        </w:trPr>
        <w:tc>
          <w:tcPr>
            <w:tcW w:w="4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International</w:t>
            </w:r>
          </w:p>
        </w:tc>
        <w:tc>
          <w:tcPr>
            <w:tcW w:w="2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2025 through January 2029</w:t>
            </w:r>
          </w:p>
        </w:tc>
      </w:tr>
      <w:tr>
        <w:trPr>
          <w:trHeight w:val="216"/>
        </w:trPr>
        <w:tc>
          <w:tcPr>
            <w:tcW w:w="4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Isuzu</w:t>
            </w:r>
          </w:p>
        </w:tc>
        <w:tc>
          <w:tcPr>
            <w:tcW w:w="2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4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Hino</w:t>
            </w:r>
          </w:p>
        </w:tc>
        <w:tc>
          <w:tcPr>
            <w:tcW w:w="2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44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Ford</w:t>
            </w:r>
          </w:p>
        </w:tc>
        <w:tc>
          <w:tcPr>
            <w:tcW w:w="2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44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Blue Bird</w:t>
            </w:r>
          </w:p>
        </w:tc>
        <w:tc>
          <w:tcPr>
            <w:tcW w:w="2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Currently Negotiating</w:t>
            </w:r>
          </w:p>
        </w:tc>
      </w:tr>
      <w:tr>
        <w:trPr>
          <w:trHeight w:val="216"/>
        </w:trPr>
        <w:tc>
          <w:tcPr>
            <w:tcW w:w="44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IC Bus</w:t>
            </w:r>
          </w:p>
        </w:tc>
        <w:tc>
          <w:tcPr>
            <w:tcW w:w="2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2025 through December 2027</w:t>
            </w:r>
          </w:p>
        </w:tc>
      </w:tr>
      <w:tr>
        <w:trPr>
          <w:trHeight w:val="216"/>
        </w:trPr>
        <w:tc>
          <w:tcPr>
            <w:tcW w:w="4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Dennis Eagle</w:t>
            </w:r>
          </w:p>
        </w:tc>
        <w:tc>
          <w:tcPr>
            <w:tcW w:w="2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2029</w:t>
            </w:r>
          </w:p>
        </w:tc>
      </w:tr>
      <w:tr>
        <w:trPr>
          <w:trHeight w:val="216"/>
        </w:trPr>
        <w:tc>
          <w:tcPr>
            <w:tcW w:w="44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Blue Arc</w:t>
            </w:r>
          </w:p>
        </w:tc>
        <w:tc>
          <w:tcPr>
            <w:tcW w:w="2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 2026</w:t>
            </w:r>
          </w:p>
        </w:tc>
      </w:tr>
      <w:tr>
        <w:trPr>
          <w:trHeight w:val="234"/>
        </w:trPr>
        <w:tc>
          <w:tcPr>
            <w:tcW w:w="44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Battle Motors</w:t>
            </w:r>
          </w:p>
        </w:tc>
        <w:tc>
          <w:tcPr>
            <w:tcW w:w="2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its new Peterbilt vehicles from Peterbilt and most of the parts sold at its Peterbilt dealerships from PACCAR, Inc, the parent company of Peterbilt, at prevailing prices charged to all franchised dealers. Sales of new Peterbilt commercial vehicles accounted for approximately 58.8% of the Company’s new vehicle sales revenue for the year ended December 31, 2024, 50.7% of the Company’s new vehicle sales revenue for the year ended December 31, 2023, and 59.6% of the Company’s new vehicle sales revenue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Primary Lenders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purchases its new and used commercial vehicle inventories with the assistance of floor plan financing programs as described in Note 7 to these Notes to Consolidated Financial Statements. The Company finances its Peterbilt new vehicle inventory under the PFC Floor Plan Credit Agreement with PFC, which has an aggregate loan commitment of $800.0 million. The remainder of the Company’s new vehicle inventory, and all of its used vehicle inventory, is financed under the BMO Floor Plan Credit Agreement with BMO Bank, N.A., which has an aggregate loan commitment of $675.0 million.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uses the WF Credit Agreement to finance its Idealease lease and rental fleet vehicles and for other working capital needs. Pursuant to the terms of the WF Credit Agreement, the WF Lenders have agreed to make up to $175.0 million of revolving credit loans for certain of the Company’s capital expenditures, including commercial vehicle purchases for the Company’s Idealease lease and rental fleet, and general working capital needs. The Company expects to use the revolving credit loans available under the WF Credit Agreement primarily for the purpose of purchasing commercial vehicles for the Company’s Idealease lease, rental fleet and other working capital needs.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PLC Agreement to finance its PacLease lease and rental fleet vehicles. Pursuant to the terms of the PLC Agreement, PLC agreed to make up to $500.0 million of revolving credit loans to finance commercial vehicle purchases and other equipment to be leased or rented through the Company’s PacLease franchises.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RTC Canada uses the RTC Canada Revolving Credit Agreement to finance its Idealease lease and rental fleet vehicles.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RTC Canada uses the RTC Canada Floor Plan Credit Agreement to finance its new and used vehicle inventory. Pursuant to the terms of the RTC Canada Floor Plan Agreement, BMO agreed to make up to $116.7 million CAD of revolving credit loans to finance RTC Canada’s purchase of new and used vehicle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cash equivalents, restricted cash, and accounts receivable. The Company places its cash, cash equivalents and restricted cash with what it considers to be quality financial institutions based on periodic assessments of such institutions. The Company’s cash, cash equivalents and restricted cash may be uninsured or in deposit accounts that exceed the Federal Deposit Insurance Corporation insurance limit.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controls credit risk through credit approvals and by selling most of its trade receivables, other than vehicle accounts receivable, without recourse. Concentrations of credit risk with respect to trade receivables are reduced because of the geographical diversity of the Company’s customer base; however, all the Company’s business is concentrated in the United States and Ontario, Canada commercial vehicle markets and related aftermarkets.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finance contracts it enters into with customers to finance the purchase of commercial vehicles to third parties. These finance contracts are sold by the Company both with and without recourse. Most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accounts receivable, net, consisted of the following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from sale of vehicles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119,575</w:t>
            </w: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receivables other than vehicles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99,108</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98,555</w:t>
            </w: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claims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18,675</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21,395</w:t>
            </w: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18,088</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23,633</w:t>
            </w: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(2,741)</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(3,805)</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345,346</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259,353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as of January 1, 2023, was $220.7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the Cummins Clean Fuel Technologies (“CCFT”) joint venture include a $15.0 million promissory note bearing interest at the monthly SOFR, plus 1.5% and maturing on December 31, 2026. The note arose from a loan provided to the joint venture to fund its working capital needs. The Company's share of profits from the joint venture is subject to the terms of the partnership agreement and may be impacted by the performance of the joint venture.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net, consisted of the following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r>
      <w:tr>
        <w:trPr>
          <w:trHeight w:val="209"/>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commercial vehicles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1,381,684</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1,388,687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Used commercial vehicles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47,036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accessories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341,458</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353,992</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33,100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(17,523)</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(21,368)</w:t>
            </w:r>
          </w:p>
        </w:tc>
      </w:tr>
      <w:tr>
        <w:trPr>
          <w:trHeight w:val="20"/>
        </w:trPr>
        <w:tc>
          <w:tcPr>
            <w:tcW w:w="6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1,787,744</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1,801,447</w:t>
            </w:r>
          </w:p>
        </w:tc>
      </w:tr>
      <w:tr>
        <w:trPr>
          <w:trHeight w:val="20"/>
        </w:trPr>
        <w:tc>
          <w:tcPr>
            <w:tcW w:w="6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VALUATION ACCOUNTS:</w:t>
            </w: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Valuation and allowance accounts include the following (in thousands):</w:t>
            </w:r>
          </w:p>
        </w:tc>
        <w:tc>
          <w:tcPr>
            <w:tcW w:w="340" w:type="dxa"/>
            <w:vAlign w:val="bottom"/>
          </w:tcPr>
          <w:p>
            <w:pPr>
              <w:spacing w:after="0"/>
              <w:rPr>
                <w:sz w:val="24"/>
                <w:szCs w:val="24"/>
                <w:color w:val="auto"/>
              </w:rPr>
            </w:pPr>
          </w:p>
        </w:tc>
        <w:tc>
          <w:tcPr>
            <w:tcW w:w="11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Balance</w:t>
            </w:r>
          </w:p>
        </w:tc>
        <w:tc>
          <w:tcPr>
            <w:tcW w:w="220" w:type="dxa"/>
            <w:vAlign w:val="bottom"/>
          </w:tcPr>
          <w:p>
            <w:pPr>
              <w:spacing w:after="0"/>
              <w:rPr>
                <w:sz w:val="24"/>
                <w:szCs w:val="24"/>
                <w:color w:val="auto"/>
              </w:rPr>
            </w:pPr>
          </w:p>
        </w:tc>
        <w:tc>
          <w:tcPr>
            <w:tcW w:w="11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Net Charged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Beginning</w:t>
            </w: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to Costs and</w:t>
            </w:r>
          </w:p>
        </w:tc>
        <w:tc>
          <w:tcPr>
            <w:tcW w:w="26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Net Write-</w:t>
            </w: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End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of Year</w:t>
            </w: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Expenses</w:t>
            </w:r>
          </w:p>
        </w:tc>
        <w:tc>
          <w:tcPr>
            <w:tcW w:w="26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Offs</w:t>
            </w:r>
          </w:p>
        </w:tc>
        <w:tc>
          <w:tcPr>
            <w:tcW w:w="2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of Year</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12,203</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18,242</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7,065</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11,191</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13,653</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a reserve for obsolete and slow-moving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Topic 326,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Provision for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Write offs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Against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Year 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net of</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Recoveries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(7,535)</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5960" w:firstLine="8"/>
        <w:spacing w:after="0" w:line="500" w:lineRule="auto"/>
        <w:tabs>
          <w:tab w:leader="none" w:pos="8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PLAN NOTES PAYABLE AND LINE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 Notes Payable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Floor plan notes are financing agreements to facilitate the Company’s purchase of new and used commercial vehicle inventory. These notes are collateralized by the inventory purchased, and accounts receivable arising from the sale thereof. The Company’s BMO Floor Plan Credit Agreement with BMO Bank, N.A. provides for a loan commitment of up to $675.0million. The interest rate under the BMO Floor Plan Credit Agreement is the one-month SOFR, plus 1.20%. The effective interest rate applicable to the BMO Floor Plan Credit Agreement was approximately 5.69% as of December 31, 2024. The Company utilizes its excess cash on hand to pay down its outstanding borrowings under its BMO Floor Plan Credit Agreement, and the resulting interest earned is recognized as an offset to the Company’s gross interest expense under the BMO Floor Plan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PFC Floor Plan Credit Agreement with PFC provides for a loan commitment of up to $800.0 million. The interest rate under the PFC Floor Plan Credit Agreement is the prime rate, minus 2.10%. The effective interest rate applicable to the PFC Floor Plan Credit Agreement was approximately 5.4% as of December 31, 2024. The Company utilizes its excess cash on hand to pay down its outstanding borrowings under the PFC Floor Plan Credit Agreement, and the resulting interest earned is recognized as an offset to the Company’s gross interest expense under the PFC Floor Plan Credit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RTC Canada Floor Plan Credit Agreement provides for a loan commitment of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Credit Agreement bear interest per annum, payable on the first business day of each calendar month, payable monthly, at CORRA, plus 1.27%.</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finances all of the purchase price of its new commercial vehicle inventory and the loan value of its used commercial vehicle inventory under the PFC Floor Plan Credit Agreement, the BMO Floor Plan Credit Agreement and the RTC Canada Floor Plan Agreement, under which BMO Bank, N.A., PFC and BMO pay the manufacturer directly with respect to new commercial vehicles. Amounts borrowed under the agreements are due when the related commercial vehicle inventory (collateral) is sold. The BMO Floor Plan Credit Agreement expires December 31, 2029, although BMO Bank, N.A. has the right to terminate the BMO Floor Plan Credit Agreement at any time upon 360 days written notice and the Company may terminate at any time, subject to specified limited exceptions. The PFC Floor Plan Credit Agreement expires December 16, 2029, although either party has the right to terminate the PFC Floor Plan Credit Agreement at any time upon 360 days written notice. On December 31, 2024, we had approximately $492.7 million outstanding under the PFC Floor Plan Credit Agreement. On December 31, 2024, the Company had approximately $389.3 million outstanding under its BMO Floor Plan Credit Agreement. The Company’s RTC Canada Floor Plan Credit Agreement expires September 14, 2026. On December 31, 2024, the Company had approximately $78.2 million CAD outstanding under the RTC Canada Floor Plan Agreement.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weighted average interest rate for floor plan notes payable was 4.4% for the year ended December 31, 2024, and 3.3% for the year ended December 31, 2023, which is net of interest related to prepayments of new and used inventory loans.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pledged as collateral were as follows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r>
      <w:tr>
        <w:trPr>
          <w:trHeight w:val="191"/>
        </w:trPr>
        <w:tc>
          <w:tcPr>
            <w:tcW w:w="840" w:type="dxa"/>
            <w:vAlign w:val="bottom"/>
          </w:tcPr>
          <w:p>
            <w:pPr>
              <w:spacing w:after="0"/>
              <w:rPr>
                <w:sz w:val="16"/>
                <w:szCs w:val="16"/>
                <w:color w:val="auto"/>
              </w:rPr>
            </w:pPr>
          </w:p>
        </w:tc>
        <w:tc>
          <w:tcPr>
            <w:tcW w:w="622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Inventories, new and used vehicles at cost based on specific identification, net of</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840" w:type="dxa"/>
            <w:vAlign w:val="bottom"/>
          </w:tcPr>
          <w:p>
            <w:pPr>
              <w:spacing w:after="0"/>
              <w:rPr>
                <w:sz w:val="20"/>
                <w:szCs w:val="20"/>
                <w:color w:val="auto"/>
              </w:rPr>
            </w:pPr>
          </w:p>
        </w:tc>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1,427,196</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1,423,521</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 sale-related accounts receivable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197,186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119,575</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1,624,382</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1,543,096</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40" w:type="dxa"/>
            <w:vAlign w:val="bottom"/>
          </w:tcPr>
          <w:p>
            <w:pPr>
              <w:spacing w:after="0"/>
              <w:rPr>
                <w:sz w:val="17"/>
                <w:szCs w:val="17"/>
                <w:color w:val="auto"/>
              </w:rPr>
            </w:pPr>
          </w:p>
        </w:tc>
        <w:tc>
          <w:tcPr>
            <w:tcW w:w="6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Floor plan notes payable related to vehicles</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1,081,199</w:t>
            </w:r>
          </w:p>
        </w:tc>
        <w:tc>
          <w:tcPr>
            <w:tcW w:w="18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1,139,744</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 of Credit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line of credit that provides for a maximum borrowing of $25.0 million. There were no advances outstanding under this secured line of credit as of December 31, 2024, however, $18.8 million was pledged to secure various letters of credit related to self-insurance products, leaving $6.2 million available for future borrowings as of December 31, 2024.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was comprised of the following variable interest rate term notes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408,440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December 31, 2024, long-term debt maturities were as follows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188,440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408,440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14, 2021, the Company entered the WF Credit Agreement with the WF Lenders and the WF Agent. Pursuant to the terms of the WF Credit Agreement (as amended), the WF Lenders have agreed to make up to $175.0 million of revolving credit loans for certain of the Company’s capital expenditures, including commercial vehicle purchases for the Company’s Idealease lease and rental fleet, and general working capital needs. Borrowings under the WF Credit Agreement bear interest per annum, payable on each interest payment date, at (A) SOFR plus (i) 1.25% or (ii) 1.5%, depending on the Company’s consolidated leverage ratio or (B) on or after the term SOFR transition date, the term SOFR plus (i) 1.25% or (ii) 1.5%, depending on the Company’s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The Company may terminate the commitments at any time. The Company expects to use the revolving credit loans available under the WF Credit Agreement primarily for the purpose of purchasing commercial vehicles for the Company’s Idealease lease and rental fleet.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 2023, the Company entered into the PLC Agreement with PFC. Pursuant to the terms of the PLC Agreement (as amended), PLC agreed to make up to $500.0 million of revolving credit loans to finance certain of the Company’s capital expenditures, including commercial vehicle purchases and other equipment to be leased or rented through its PacLease franchises. The Company may borrow, repay and reborrow amounts pursuant to the PLC Agreement from time to time until the maturity date, provided, however, that the outstanding principal amount on any date shall not exceed the borrowing base. In addition, the Company must maintain a minimum balance of $220.0 million. Advances under the PLC Agreement bear interest per annum, payable on the fifth day of the following month, at the Company’s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31, 2022, RTC Canada entered into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Revolving Credit Agreement bear interest per annum payable monthly at CORRA, plus 1.72%. The RTC Canada Revolving Credit Agreement expires September 14,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associated with the WF Credit Agreement, PLC Agreement and RTC Canada Revolving Credit Agreement is recorded in interest expense on the Consolidated Statement of Income. The WF Credit Agreement, PLC Agreement and RTC Canada Revolving Credit Agreement are general borrowing facilities, whereas prior to these credit agreements, interest expense associated with the Company’s lease and rental fleet was recorded in cost of sales as the borrowings were directly related to each lease and rental vehicle.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BMO Floor Plan Credit Agreement and the WF Credit Agreement require the Company to satisfy various financial ratios such as the leverage ratio, the asset coverage ratio and the fixed charge coverage ratio. As of December 31, 2024, the Company was in compliance with all debt covenants related to the BMO Floor Plan Credit Agreement and the WF Credit Agreement. The Company does not anticipate any breach of the covenants in the foreseeable future.</w:t>
      </w:r>
    </w:p>
    <w:p>
      <w:pPr>
        <w:spacing w:after="0" w:line="200" w:lineRule="exact"/>
        <w:rPr>
          <w:sz w:val="20"/>
          <w:szCs w:val="20"/>
          <w:color w:val="auto"/>
        </w:rPr>
      </w:pPr>
    </w:p>
    <w:p>
      <w:pPr>
        <w:spacing w:after="0" w:line="219"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INSTRUMENTS AND FAIR VALUE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December 31, 2024, and 2023. The carrying value of current assets and current liabilities approximates the fair value due to the short maturity of these items.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200" w:lineRule="exact"/>
        <w:rPr>
          <w:sz w:val="20"/>
          <w:szCs w:val="20"/>
          <w:color w:val="auto"/>
        </w:rPr>
      </w:pPr>
    </w:p>
    <w:p>
      <w:pPr>
        <w:spacing w:after="0" w:line="226" w:lineRule="exact"/>
        <w:rPr>
          <w:sz w:val="20"/>
          <w:szCs w:val="20"/>
          <w:color w:val="auto"/>
        </w:rPr>
      </w:pPr>
    </w:p>
    <w:p>
      <w:pPr>
        <w:ind w:left="820" w:hanging="812"/>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accounting policy with respect to leases complies with ASU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lease is classified as a finance lease if any of the following conditions exist on the date of lease commencement:</w:t>
      </w:r>
    </w:p>
    <w:p>
      <w:pPr>
        <w:spacing w:after="0" w:line="225"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by the end of the lease term.</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provides the lessee an option to purchase the underlying asset, and that option is reasonably certain to be exercised.</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of the remaining economic life of the underlying asset.</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lease payments equals or exceeds the fair value of the underlying asset.</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asset is of such a specialized nature that only the lessee can use it without major modifications.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lessor expects to have no alternative use for the leased asset at the end of the lease.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applied the practical expedients permitted under Topic 842, which among other things, allowed it to retain its existing assessment of whether an arrangement is, or contains, a lease and whether such lease is classified as an operating or finance lease. The Company made an accounting policy election that keeps leases with an initial term of twelve months or less off the balance sheet and results in recognizing those lease payments in the Consolidated Statements of Income and Comprehensive Income on a straight-line basis over the lease term.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certain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 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commercial vehicles as the lessee under finance leases and operating leases. The lease terms vary from one year to ten years. These vehicles are then subleased or rented by the Company to customers under various agreements. The Company received sublease income under non-cancelable subleases of $54.3 million for the year ended December 31, 2024, and $50.0 million for the year ended December 31, 2023.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usually guarantees the residual value of vehicles under operating lease and finance lease arrangements. As of December 31, 2024, the Company guaranteed commercial vehicle residual values of approximately $69.8 million under operating lease and finance lease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Facilities as Lessee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facility leases are classified as operating and finance leases and primarily reflect its use of dealership facilities and office space. The lease terms vary from one year to 83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facilities in Ontario, Canada from entities owned by the noncontrolling interest holder of RTC Canada. In 2024, the Company recorded approximately $2.0 million in operating lease expense related to these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Costs and Supplemental Information</w:t>
            </w: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lease cost are as follows (in thousands):</w:t>
            </w: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8"/>
                <w:szCs w:val="18"/>
                <w:color w:val="auto"/>
              </w:rPr>
              <w:t>Year Ended</w:t>
            </w:r>
          </w:p>
        </w:tc>
      </w:tr>
      <w:tr>
        <w:trPr>
          <w:trHeight w:val="191"/>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r>
      <w:tr>
        <w:trPr>
          <w:trHeight w:val="23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Component</w:t>
            </w:r>
          </w:p>
        </w:tc>
        <w:tc>
          <w:tcPr>
            <w:tcW w:w="120" w:type="dxa"/>
            <w:vAlign w:val="bottom"/>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cost of products sold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 – amortization of right-of-use assets</w:t>
            </w:r>
          </w:p>
        </w:tc>
        <w:tc>
          <w:tcPr>
            <w:tcW w:w="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 cost of products sold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 interest on lease liabilities</w:t>
            </w:r>
          </w:p>
        </w:tc>
        <w:tc>
          <w:tcPr>
            <w:tcW w:w="1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cost of products sold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432"/>
        </w:trPr>
        <w:tc>
          <w:tcPr>
            <w:tcW w:w="4400" w:type="dxa"/>
            <w:vAlign w:val="bottom"/>
          </w:tcPr>
          <w:p>
            <w:pPr>
              <w:spacing w:after="0"/>
              <w:rPr>
                <w:sz w:val="24"/>
                <w:szCs w:val="24"/>
                <w:color w:val="auto"/>
              </w:rPr>
            </w:pPr>
          </w:p>
        </w:tc>
        <w:tc>
          <w:tcPr>
            <w:tcW w:w="35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Year Ended</w:t>
            </w:r>
          </w:p>
        </w:tc>
      </w:tr>
      <w:tr>
        <w:trPr>
          <w:trHeight w:val="191"/>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 information: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30,187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 information: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activity:</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operating and finance leases as of December 31, 2024, are as follows:</w: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Finance Leases</w:t>
            </w: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months)</w:t>
            </w:r>
          </w:p>
        </w:tc>
        <w:tc>
          <w:tcPr>
            <w:tcW w:w="1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finance leases and operating leases as of December 31, 2024, are as follows (in thousands):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34"/>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Leases</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21,082</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32,510</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20,345</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24,226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19,536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19,998</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17,399</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13,978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49,538</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142,974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(15,251)</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(29,234)</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130,711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113,740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commercial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Sales-type leases are recognized by the Company as lease receivables. The lessee obtains control of the underlying asset and the Company recognizes sales revenue upon lease commencement. The receivable for sales-type leases as of December 31, 2024, in the amount of $4.7 million is reflected in Other Assets on the Consolidated Balance Sheet.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rental revenue to be received for non-cancelable leases and subleases in effect as of December 31, 2024,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202,852</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168,183</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136,892</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101,339</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64,276</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36,119</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709,661</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Rental income during the year ended December 31, 2024, and 2023, consisted of the following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310,052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306,897</w:t>
            </w: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Nonlease payments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44,887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46,883</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354,939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353,780</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BASED COMPENSATION AND EMPLOYEE BENEFIT PLANS: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On May 16, 2023, the Company’s shareholders approved the amendment and restatement of the Employee Stock Purchase Plan to increase the number of shares of Class A common stock authorized for issuance thereunder by 600,000 shares. Under the Employee Stock Purchase Plan, there are approximately 886,509 shares remaining of the 4,650,000 shares of the Company’s Class A common stock that were reserved for issuance. The Company issued 195,540 shares under the Employee Stock Purchase Plan during the year ended December 31, 2024, and 208,854 shares during the year ended December 31, 2023. Of the 7,391 employees eligible to participate, approximately 2,262 elected to participate in the plan as of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Stock Option Plan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Rush Enterprises, Inc. 2006 Non-Employee Director Stock Option Plan, as amended and restated (the “Director Plan”), reserved 1,125,000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equivalent to a compensation value of $145,000; provided however, that directors may elect to receive up to 40% of the value of such grant in cash. In 2024, three non-employee directors each received a grant of 3,230 shares of the Company’s Class A common stock, three non-employee directors each received a grant of 1,938 shares of the Company’s Class A common stock and $58,000 cash and one non-employee director received a grant of 2,261 shares of the Company’s Class A common stock and $43,499 cash, for total compensation equivalent to $145,000 each. In 2023, three non-employee directors each received a grant of 4,116 shares of the Company’s Class A common stock, two non-employee directors each received a grant of 2,469 shares of the Company’s Class A common stock and $58,000 cash and one non-employee director received a grant of 2,880 shares of the Company’s Class A common stock and $43,500 cash, for total compensation equivalent to $145,000 each. One director who was appointed to the Company’s Board of Directors in October of 2024 received 1,501 shares of the Company’s Class A common stock at the time of appointment, for total compensation equivalent to $72,500. Under the Director Plan, there are approximately 162,533 shares remaining for issuance of the 1,125,000 shares of the Company’s Class A common stock that were reserved for issuance. The Company granted 17,765 shares of Class A common stock under the Director Plan during the year ended December 31, 2024, and 21,667 shares of Class A common stock under the Director Plan during the year ended December 31, 2023.</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Incentive Plans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May 16, 2017, May 12, 2020, and May 16, 2023. The number of shares available for issuance under the plan include 21,600,000 shares of Class A common stock and 9,000,000 shares of Class B common stock.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number of shares of common stock subject to stock options or SARs that may be granted to any one participant in any year under the 2007 Incentive Plan is 150,000 shares of Class A common stock or 150,000 shares of Class B common stock. Each option granted pursuant to the 2007 Incentive Plan has a ten-year term from the grant date and vests in three equal annual installments beginning on the third anniversary of the grant date. The Company has 21,600,000 shares of Class A common stock and 9,000,000 shares of Class B common stock reserved for issuance under the Company’s 2007 Incentive Plan. As of December 31, 2024, approximately 3,189,695 shares of Class A common stock and 2,283,175 shares of Class B common stock are available for issuance under the Company’s 2007 Incentive Plan. The Company issues new shares of its Class A or Class B common stock upon the exercise of stock options or vesting of restricted stock awards. During the year ended December 31, 2024, the Company granted to employees 538,700 options to purchase Class A common stock and 398,525 restricted Class B common stock awards under the 2007 Incentive Plan. During the year ended December 31, 2023, the Company granted to employees 790,673 options to purchase Class A common stock and 551,138 shares of restricted Class B common stock awards under the 2007 Incentive Plan. Restricted stock awards are issued when granted but are subject to vesting requirements.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awards and employee stock purchases was $30.4 million for the year ended December 31, 2024, $30.4 million for the year ended December 31, 2023, and $25.3 million for the year ended December 31, 2022. Cash received from options exercised and shares purchased under all share-based payment arrangements was $25.4 million for the year ended December 31, 2024, $18.0 million for the year ended December 31, 2023, and $13.3 million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activity and related information for the year ended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4"/>
        </w:trPr>
        <w:tc>
          <w:tcPr>
            <w:tcW w:w="58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Life (in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January 1, 2024</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5,822,298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538,700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(1,225,271)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(43,875)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December 31, 2024</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5,091,852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139,915,484</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after December 31, 2024</w:t>
            </w:r>
          </w:p>
        </w:tc>
        <w:tc>
          <w:tcPr>
            <w:tcW w:w="120" w:type="dxa"/>
            <w:vAlign w:val="bottom"/>
          </w:tcPr>
          <w:p>
            <w:pPr>
              <w:spacing w:after="0"/>
              <w:rPr>
                <w:sz w:val="17"/>
                <w:szCs w:val="17"/>
                <w:color w:val="auto"/>
              </w:rPr>
            </w:pPr>
          </w:p>
        </w:tc>
        <w:tc>
          <w:tcPr>
            <w:tcW w:w="13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2,839,866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34.85</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56,636,789</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December 31, 2024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2,239,878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17.64</w:t>
            </w:r>
          </w:p>
        </w:tc>
        <w:tc>
          <w:tcPr>
            <w:tcW w:w="13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83,208,675</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closing price of the Company’s Class A common stock on December 31, 2024, which was $54.79. The total intrinsic value of options exercised was $47.3 million during the year ended December 31, 2024, $19.8 million during the year ended December 31, 2023, and $11.6 million during the year ended December 31,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status of the number of shares underlying the Company’s non-vested stock options as of December 31, 2024, and changes during the year ended December 31, 2024:</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Grant Date</w:t>
            </w:r>
          </w:p>
        </w:tc>
      </w:tr>
      <w:tr>
        <w:trPr>
          <w:trHeight w:val="234"/>
        </w:trPr>
        <w:tc>
          <w:tcPr>
            <w:tcW w:w="55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Non-vested Shares</w:t>
            </w:r>
          </w:p>
        </w:tc>
        <w:tc>
          <w:tcPr>
            <w:tcW w:w="100" w:type="dxa"/>
            <w:vAlign w:val="bottom"/>
          </w:tcPr>
          <w:p>
            <w:pPr>
              <w:spacing w:after="0"/>
              <w:rPr>
                <w:sz w:val="20"/>
                <w:szCs w:val="20"/>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5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3,304,171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538,700</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17.13</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(946,022)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(43,875)</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11.81</w:t>
            </w:r>
          </w:p>
        </w:tc>
      </w:tr>
      <w:tr>
        <w:trPr>
          <w:trHeight w:val="249"/>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2,852,974</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11.37</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of vested options was $5.8 million during the year ended December 31, 2024, $5.8 million during the year ended December 31, 2023, and $5.9 million during the year ended December 31, 2022. The weighted-average grant date fair value of options granted was $17.13 per share during the year ended December 31, 2024, $11.82 per share during the year ended December 31, 2023, and $11.21 per share during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granted restricted stock awards to certain of its employees under the 2007 Incentive Plan and unrestricted stock awards to its non-employee directors under the Director Plan during the year ended December 31, 2024. The restricted stock awards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awards granted to the Company’s employees is amortized to expense on a straight-line basis over the restricted stock’s vesting period. The shares granted to non-employee directors are expensed on the grant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restricted stock awards at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Remaining</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Aggregate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Intrinsic</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Grant Date</w:t>
            </w:r>
          </w:p>
        </w:tc>
      </w:tr>
      <w:tr>
        <w:trPr>
          <w:trHeight w:val="234"/>
        </w:trPr>
        <w:tc>
          <w:tcPr>
            <w:tcW w:w="5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Stock Awards and Units</w:t>
            </w:r>
          </w:p>
        </w:tc>
        <w:tc>
          <w:tcPr>
            <w:tcW w:w="1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Life (in Years)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0"/>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shares at January 1, 2024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1,074,392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416,290</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(547,963)</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41.72</w:t>
            </w: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at December 31, 2024</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935,219</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50,913,322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42.08</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after December 31, 2024</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934,378</w:t>
            </w:r>
          </w:p>
        </w:tc>
        <w:tc>
          <w:tcPr>
            <w:tcW w:w="260" w:type="dxa"/>
            <w:vAlign w:val="bottom"/>
          </w:tcPr>
          <w:p>
            <w:pPr>
              <w:spacing w:after="0"/>
              <w:rPr>
                <w:sz w:val="17"/>
                <w:szCs w:val="17"/>
                <w:color w:val="auto"/>
              </w:rPr>
            </w:pPr>
          </w:p>
        </w:tc>
        <w:tc>
          <w:tcPr>
            <w:tcW w:w="13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50,867,536</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42.08</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shares issued upon the vesting of restricted and unrestricted stock awards during the year ended December 31, 2024, was $9.2 million. The weighted-average grant date fair value of stock awards granted was $50.64 per share during the year ended December 31, 2024, $36.97 per share during the year ended December 31, 2023, and $33.33 per share during the year ended December 31, 2022.</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$12.4 million of unrecognized compensation expense related to non-vested employee stock options to be recognized over a weighted-average period of 2.1 years and $13.5 million of unrecognized compensation cost related to non-vested restricted stock awards to be recognized over a weighted-average period of 1.3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plan (the “Rush 401k Plan”) that is available to all U.S. based employees. Each employee who has completed 30 days of continuous service is entitled to enter the Rush 401k Plan on the first day of the following month. Participating employees may contribute from 1% to 50% of their total gross compensation. However, certain highly compensated employees are limited to a maximum contribution of 15% of total gross compensation. The Company’s policy is for the first 10% of an employee’s contribution, the Company contributes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$14.0 million during the year ended December 31, 2024, $13.3 million during the year ended December 31, 2023, and $12.1 million during the year ended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6, 2010, the Board of Directors of the Company adopted the Rush Enterprises, Inc. Deferred Compensation Plan (the “Deferred Compensation Plan”) pursuant to which certain employees and directors may elect to defer a portion of their annual compensation. The Deferred Compensation Plan was amended and restated effective May 18, 2021, in order to bring the plan into conformance with current “best” practices.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$28.1 million on December 31, 2024, and $24.8 million on December 31, 2023. The related cash surrender value of the life insurance contracts was $24.4 million on December 31, 2024, and $18.0 million on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does not provide any post-retirement benefits, nor does it provide any post-employment benefits.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stock awards that were outstanding during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 for basic and diluted earnings per share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304,153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347,055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391,382</w:t>
            </w: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79,058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83,100</w:t>
            </w:r>
          </w:p>
        </w:tc>
        <w:tc>
          <w:tcPr>
            <w:tcW w:w="0" w:type="dxa"/>
            <w:vAlign w:val="bottom"/>
          </w:tcPr>
          <w:p>
            <w:pPr>
              <w:spacing w:after="0"/>
              <w:rPr>
                <w:sz w:val="1"/>
                <w:szCs w:val="1"/>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0"/>
        </w:trPr>
        <w:tc>
          <w:tcPr>
            <w:tcW w:w="6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81,818</w:t>
            </w:r>
          </w:p>
        </w:tc>
        <w:tc>
          <w:tcPr>
            <w:tcW w:w="3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83,720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85,727</w:t>
            </w:r>
          </w:p>
        </w:tc>
        <w:tc>
          <w:tcPr>
            <w:tcW w:w="0" w:type="dxa"/>
            <w:vAlign w:val="bottom"/>
          </w:tcPr>
          <w:p>
            <w:pPr>
              <w:spacing w:after="0"/>
              <w:rPr>
                <w:sz w:val="1"/>
                <w:szCs w:val="1"/>
                <w:color w:val="auto"/>
              </w:rPr>
            </w:pPr>
          </w:p>
        </w:tc>
      </w:tr>
      <w:tr>
        <w:trPr>
          <w:trHeight w:val="194"/>
        </w:trPr>
        <w:tc>
          <w:tcPr>
            <w:tcW w:w="61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outstanding and assumed conversions</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5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4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5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3.72</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years ended December 31, 2024, 2023 and 2022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options – weighted average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82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tax provisions are summarized as follows (in thousands):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Domestic</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392,253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455,288</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502,141</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6,773</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397,815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462,061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509,327</w:t>
            </w:r>
          </w:p>
        </w:tc>
        <w:tc>
          <w:tcPr>
            <w:tcW w:w="10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provision</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62,358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87,270</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93,942</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2,265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106,399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(3,149)</w:t>
            </w: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50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7,601</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top w:val="single" w:sz="8" w:color="CCEEFF"/>
            </w:tcBorders>
          </w:tcPr>
          <w:p>
            <w:pPr>
              <w:spacing w:after="0"/>
              <w:rPr>
                <w:sz w:val="18"/>
                <w:szCs w:val="18"/>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114,000</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117,242</w:t>
            </w:r>
          </w:p>
        </w:tc>
        <w:tc>
          <w:tcPr>
            <w:tcW w:w="100" w:type="dxa"/>
            <w:vAlign w:val="bottom"/>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taxes based on the federal statutory rates and the provisions (benefits) for income taxes are summarized as follows (in thousands):</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Year Ended December 31,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Amount</w:t>
            </w: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Rate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Amount</w:t>
            </w: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Rate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Amount</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7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taxes at the federal statutory</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83,540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97,032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106,959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 income taxes, net of federal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780" w:type="dxa"/>
            <w:vAlign w:val="bottom"/>
            <w:gridSpan w:val="2"/>
          </w:tcPr>
          <w:p>
            <w:pPr>
              <w:spacing w:after="0" w:line="235" w:lineRule="exact"/>
              <w:rPr>
                <w:sz w:val="20"/>
                <w:szCs w:val="20"/>
                <w:color w:val="auto"/>
              </w:rPr>
            </w:pPr>
            <w:r>
              <w:rPr>
                <w:rFonts w:ascii="Times New Roman" w:cs="Times New Roman" w:eastAsia="Times New Roman" w:hAnsi="Times New Roman"/>
                <w:sz w:val="17"/>
                <w:szCs w:val="17"/>
                <w:color w:val="auto"/>
              </w:rPr>
              <w:t xml:space="preserve">benefit </w:t>
            </w:r>
            <w:r>
              <w:rPr>
                <w:rFonts w:ascii="Times New Roman" w:cs="Times New Roman" w:eastAsia="Times New Roman" w:hAnsi="Times New Roman"/>
                <w:sz w:val="27"/>
                <w:szCs w:val="27"/>
                <w:color w:val="auto"/>
                <w:vertAlign w:val="superscript"/>
              </w:rPr>
              <w:t>(a)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10,030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14,120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12,708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(1,212)</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1,357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(2134)</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5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92,845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114,000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117,242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ind w:left="5540" w:right="1880" w:hanging="5251"/>
        <w:spacing w:after="0" w:line="511" w:lineRule="auto"/>
        <w:tabs>
          <w:tab w:leader="none" w:pos="5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Texas, California and Illinois made up the majority (greater than 50 percent) of the tax effect in this category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0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summarizes the components of net deferred income tax liabilities included in the balance sheet (in thousands):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liabilities: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2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(5,547)</w:t>
            </w: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(5,215)</w:t>
            </w:r>
          </w:p>
        </w:tc>
      </w:tr>
      <w:tr>
        <w:trPr>
          <w:trHeight w:val="216"/>
        </w:trPr>
        <w:tc>
          <w:tcPr>
            <w:tcW w:w="300" w:type="dxa"/>
            <w:vAlign w:val="bottom"/>
          </w:tcPr>
          <w:p>
            <w:pPr>
              <w:spacing w:after="0"/>
              <w:rPr>
                <w:sz w:val="18"/>
                <w:szCs w:val="18"/>
                <w:color w:val="auto"/>
              </w:rPr>
            </w:pPr>
          </w:p>
        </w:tc>
        <w:tc>
          <w:tcPr>
            <w:tcW w:w="5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30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Vehicle finance lease obligations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(31,178)</w:t>
            </w:r>
          </w:p>
        </w:tc>
      </w:tr>
      <w:tr>
        <w:trPr>
          <w:trHeight w:val="216"/>
        </w:trPr>
        <w:tc>
          <w:tcPr>
            <w:tcW w:w="300" w:type="dxa"/>
            <w:vAlign w:val="bottom"/>
          </w:tcPr>
          <w:p>
            <w:pPr>
              <w:spacing w:after="0"/>
              <w:rPr>
                <w:sz w:val="18"/>
                <w:szCs w:val="18"/>
                <w:color w:val="auto"/>
              </w:rPr>
            </w:pPr>
          </w:p>
        </w:tc>
        <w:tc>
          <w:tcPr>
            <w:tcW w:w="5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and operating leases - Liability</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(29,446)</w:t>
            </w:r>
          </w:p>
        </w:tc>
      </w:tr>
      <w:tr>
        <w:trPr>
          <w:trHeight w:val="216"/>
        </w:trPr>
        <w:tc>
          <w:tcPr>
            <w:tcW w:w="30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(8,790)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(8,785)</w:t>
            </w:r>
          </w:p>
        </w:tc>
      </w:tr>
      <w:tr>
        <w:trPr>
          <w:trHeight w:val="216"/>
        </w:trPr>
        <w:tc>
          <w:tcPr>
            <w:tcW w:w="300" w:type="dxa"/>
            <w:vAlign w:val="bottom"/>
          </w:tcPr>
          <w:p>
            <w:pPr>
              <w:spacing w:after="0"/>
              <w:rPr>
                <w:sz w:val="18"/>
                <w:szCs w:val="18"/>
                <w:color w:val="auto"/>
              </w:rPr>
            </w:pPr>
          </w:p>
        </w:tc>
        <w:tc>
          <w:tcPr>
            <w:tcW w:w="5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(4,653)</w:t>
            </w:r>
          </w:p>
        </w:tc>
      </w:tr>
      <w:tr>
        <w:trPr>
          <w:trHeight w:val="216"/>
        </w:trPr>
        <w:tc>
          <w:tcPr>
            <w:tcW w:w="30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State net operating loss carry forward</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300" w:type="dxa"/>
            <w:vAlign w:val="bottom"/>
          </w:tcPr>
          <w:p>
            <w:pPr>
              <w:spacing w:after="0"/>
              <w:rPr>
                <w:sz w:val="18"/>
                <w:szCs w:val="18"/>
                <w:color w:val="auto"/>
              </w:rPr>
            </w:pPr>
          </w:p>
        </w:tc>
        <w:tc>
          <w:tcPr>
            <w:tcW w:w="5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tax credit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0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(6,167)</w:t>
            </w:r>
          </w:p>
        </w:tc>
      </w:tr>
      <w:tr>
        <w:trPr>
          <w:trHeight w:val="216"/>
        </w:trPr>
        <w:tc>
          <w:tcPr>
            <w:tcW w:w="300" w:type="dxa"/>
            <w:vAlign w:val="bottom"/>
          </w:tcPr>
          <w:p>
            <w:pPr>
              <w:spacing w:after="0"/>
              <w:rPr>
                <w:sz w:val="18"/>
                <w:szCs w:val="18"/>
                <w:color w:val="auto"/>
              </w:rPr>
            </w:pPr>
          </w:p>
        </w:tc>
        <w:tc>
          <w:tcPr>
            <w:tcW w:w="5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and operating leases - Asset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29,031</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2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217,565</w:t>
            </w:r>
          </w:p>
        </w:tc>
        <w:tc>
          <w:tcPr>
            <w:tcW w:w="10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2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178,916</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159,571</w:t>
            </w:r>
          </w:p>
        </w:tc>
        <w:tc>
          <w:tcPr>
            <w:tcW w:w="10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approximately $39.2 million in state net operating loss carry forwards that expire from 2030 to 2043, which result in a deferred tax asset of approximately $1.7 million. The Company has evaluated whether its state net operating losses are realizable and has not recorded a valuation allowance against them. The valuation allowance did not change over the prior year ending December 31,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unrecognized income tax benefits totaling $8.0 million as a component of accrued liabilities as of December 31, 2024, and $6.7 million as of December 31, 2023,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2024, 2023 and 2022, the Company recognized approximately $197,700, $86,200, and $22,800 in interest expense. No amounts were accrued for penalties. The Company had approximately $530,000, $389,000 and $302,000 of interest accrued as of December 31, 2024, 2023 and 2022,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Undistributed earnings of certain of the Company’s foreign subsidiaries amounted to approximately $26.1 million at December 2024 and $22.9 million at December 2023. Those earnings are considered to be indefinitely reinvested. Upon repatriation of those earnings in the form of dividends or otherwise, the Company may be subject to state and local taxes, and/or withholding taxes payable to the various foreign countries. The Company expects to be able to take a 100% dividends received deduction to offset any U.S. federal income tax liability on the distribution of untaxed earnings and profits.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December 31, 2024, the tax years ended December 31, 2021 through 2024 remained subject to audit by federal tax authorities and the tax years ended December 31, 2020 through 2024, remained subject to audit by state tax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reconciliation of the change in the unrecognized tax benefits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year</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December 31, 2024,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15, 2024, the Company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2023, the Company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7, 2022, the Company acquired certain assets of Scheppers International Truck Center, Inc., which included real estate and an International truck franchise in Jefferson City, Missouri, along with commercial vehicle and parts inventory. The transaction was valued at approximately $6.8 million, with the purchase price paid in cash.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acquisition-date fair value of the previous 50% equity interest was $44.7 million, resulting in a gain of $7.0 million included in the line-item Other income (expense) on the Consolidated Statements of Income in the year ended December 31, 2022. The Company also recognized a reversal of deferred tax liabilities of $2.2 million and $0.6 million related to reclassification of the foreign currency translation adjustment related to the remeasurement of the Company’s previous equity method investment in RTC Canada.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was allocated based on the fair values of the assets and liabilities at the date of acquisition as follows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(30,501)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(19,978)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(69,545)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in RTC Canada</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(37,309)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(17,828)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(6,958)</w:t>
            </w:r>
          </w:p>
        </w:tc>
      </w:tr>
      <w:tr>
        <w:trPr>
          <w:trHeight w:val="209"/>
        </w:trPr>
        <w:tc>
          <w:tcPr>
            <w:tcW w:w="7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goodwill of $44.2 million for the RTC Canada acquisition is primarily attributable to the synergies expected to arise after obtaining a controlling interest in the entity.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May 2, 2022, the Company accounted for its 50% equity interest in RTC Canada as an equity-method investment. After the Company’s acquisition of the additional 30% equity interest on May 2, 2022, operations of RTC Canada are included in the accompanying consolidated financial statements.</w:t>
      </w:r>
    </w:p>
    <w:p>
      <w:pPr>
        <w:spacing w:after="0" w:line="200" w:lineRule="exact"/>
        <w:rPr>
          <w:sz w:val="20"/>
          <w:szCs w:val="20"/>
          <w:color w:val="auto"/>
        </w:rPr>
      </w:pPr>
    </w:p>
    <w:p>
      <w:pPr>
        <w:spacing w:after="0" w:line="205" w:lineRule="exact"/>
        <w:rPr>
          <w:sz w:val="20"/>
          <w:szCs w:val="20"/>
          <w:color w:val="auto"/>
        </w:rPr>
      </w:pPr>
    </w:p>
    <w:p>
      <w:pPr>
        <w:ind w:left="820" w:hanging="81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reporting period, the Company currently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Truck Segment, the Company generates revenue from two additional operating segments: Retail Tire Sales and Insurance Services. These operating segments do not meet the quantitative thresholds for separate reporting as specified under the guidance of ASU 2023-07. Therefore, they are consolidated under the “All Other” category in the segment disclosures below. These segments share accounting policies consistent with the summary of significant accounting policies.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intersegment sales for the years ended December 31, 2024, 2023, or 2022.</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3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0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15"/>
        </w:trPr>
        <w:tc>
          <w:tcPr>
            <w:tcW w:w="3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7,788,842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15,904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7,804,746</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6,271,327</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6,273,330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Controllable expenses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952,973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958,926</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Allocated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104,400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468,383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468,090</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1,166</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71,658</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72,024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92,845</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305,628</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w:t>
            </w: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304,970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4,561,583</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55,964</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4,617,547</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424,933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427,493</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432,400</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433,047</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68,031</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68,549</w:t>
            </w:r>
          </w:p>
        </w:tc>
        <w:tc>
          <w:tcPr>
            <w:tcW w:w="0" w:type="dxa"/>
            <w:vAlign w:val="bottom"/>
          </w:tcPr>
          <w:p>
            <w:pPr>
              <w:spacing w:after="0"/>
              <w:rPr>
                <w:sz w:val="1"/>
                <w:szCs w:val="1"/>
                <w:color w:val="auto"/>
              </w:rPr>
            </w:pPr>
          </w:p>
        </w:tc>
      </w:tr>
      <w:tr>
        <w:trPr>
          <w:trHeight w:val="41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300" w:type="dxa"/>
            <w:vAlign w:val="bottom"/>
          </w:tcPr>
          <w:p>
            <w:pPr>
              <w:spacing w:after="0"/>
              <w:rPr>
                <w:sz w:val="24"/>
                <w:szCs w:val="24"/>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0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15"/>
        </w:trPr>
        <w:tc>
          <w:tcPr>
            <w:tcW w:w="3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7,909,230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15,794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7,925,024</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6,329,629</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2,305</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6,331,934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Controllable expenses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789,109</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794,016</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Allocated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286,693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512,375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512,381</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2,597</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53,324</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53,694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114,000</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348,437</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348,061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4,308,264</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55,977</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4,364,241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418,148</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420,708</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367,942</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368,881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59,373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59,830</w:t>
            </w:r>
          </w:p>
        </w:tc>
        <w:tc>
          <w:tcPr>
            <w:tcW w:w="0" w:type="dxa"/>
            <w:vAlign w:val="bottom"/>
          </w:tcPr>
          <w:p>
            <w:pPr>
              <w:spacing w:after="0"/>
              <w:rPr>
                <w:sz w:val="1"/>
                <w:szCs w:val="1"/>
                <w:color w:val="auto"/>
              </w:rPr>
            </w:pPr>
          </w:p>
        </w:tc>
      </w:tr>
      <w:tr>
        <w:trPr>
          <w:trHeight w:val="41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300" w:type="dxa"/>
            <w:vAlign w:val="bottom"/>
          </w:tcPr>
          <w:p>
            <w:pPr>
              <w:spacing w:after="0"/>
              <w:rPr>
                <w:sz w:val="24"/>
                <w:szCs w:val="24"/>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0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15"/>
        </w:trPr>
        <w:tc>
          <w:tcPr>
            <w:tcW w:w="3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7,084,849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7,101,670</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5,611,521</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2,990</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5,614,511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Controllable expenses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790,854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794,870</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Allocated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9,117</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186,176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505,415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506,113</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22,338</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22,338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19,389</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19,763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117,242</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391,761</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392,085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3,769,007</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52,059</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3,821,066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413,803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416,363</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242,503</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243,060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55,354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55,665</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139"/>
          </w:cols>
          <w:pgMar w:left="320" w:top="121" w:right="1440" w:bottom="1440" w:gutter="0" w:footer="0" w:header="0"/>
        </w:sect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primarily generated from the sale of finished products to customers. Those sales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December 31, 2023, and December 31, 2022 (in thousands):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4,888,823</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4,957,969</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4,351,370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1,440,452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1,075,568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1,068,238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7,449,807</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7,571,244</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6,779,413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performance obligations are transferred to customers at a point in time. The Company did not have any material contract assets or contract liabilities on the balance sheet as of December 31, 2024, or December 31, 2023. Revenues related to commercial vehicle sales, parts sales, commercial vehicle repair service, finance and most other revenues are related to the Truck Segment.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controls the commercial vehicle before it is transferred to the customer and it obtains all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remaining performance obligations represent service orders for which work has not been completed. The Company’s service contracts are predominately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consists mostly of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920" w:type="dxa"/>
            <w:vAlign w:val="bottom"/>
            <w:gridSpan w:val="2"/>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(4,130)</w:t>
            </w: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1,967</w:t>
            </w: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(7,130)</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(9,293)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 USD using the average exchange rates monthly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reclassified the foreign currency translation adjustment related to its previously held equity investment in RTC Canada into net income upon its acquisition of a majority equity interest according to ASC 830-30, </w:t>
      </w:r>
      <w:r>
        <w:rPr>
          <w:rFonts w:ascii="Times New Roman" w:cs="Times New Roman" w:eastAsia="Times New Roman" w:hAnsi="Times New Roman"/>
          <w:sz w:val="18"/>
          <w:szCs w:val="18"/>
          <w:i w:val="1"/>
          <w:iCs w:val="1"/>
          <w:color w:val="auto"/>
        </w:rPr>
        <w:t>Foreign Currency Matters.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2024,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December 31, 2024,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2024, based on those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2024. The report, which expresses an unqualified opinion on the effectiveness of the Company’s internal control over financial reporting as of December 31, 2024, is included in this Item 9A.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Rush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Rush Enterprises,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2024,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shareholders’ equity and cash flows for each of the three years in the period ended December 31, 2024, and the related notes and our report dated February 21,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served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auditor since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10 of Form 10-K is incorporated herein by reference to such information included in the Company’s Proxy Statement for the 2025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11 of Form 10-K is incorporated herein by reference to such information included in the Company’s Proxy Statement for the 2025 Annual Meeting of Shareholders.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12 of Form 10-K, is incorporated herein by reference to such information included in the Company’s Proxy Statement for the 2025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13 of Form 10-K is incorporated herein by reference to such information included in the Company’s Proxy Statement for the 2025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14 of Form 10-K is incorporated herein by reference to such information included in the Company’s Proxy Statement for the 2025 Annual Meeting of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schedules are omitted as the required information is inapplicable or the information is presented in the consolidated financial statements or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(a)(3) Exhibits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14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of Exhibit</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0"/>
              </w:rPr>
              <w:t>No.</w:t>
            </w:r>
          </w:p>
        </w:tc>
        <w:tc>
          <w:tcPr>
            <w:tcW w:w="1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580" w:type="dxa"/>
            <w:vAlign w:val="bottom"/>
            <w:gridSpan w:val="3"/>
          </w:tcPr>
          <w:p>
            <w:pPr>
              <w:jc w:val="center"/>
              <w:ind w:right="68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9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Restated Articles of Incorporation of Rush Enterprises, Inc. (incorporated herein by reference to Exhibit 3.1 of the Company’s</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60" w:type="dxa"/>
            <w:vAlign w:val="bottom"/>
            <w:gridSpan w:val="8"/>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Quarterly Report on Form 10-Q (File No. 000-20797) for the quarter ended June 30, 2008)</w:t>
              </w:r>
            </w:hyperlink>
          </w:p>
        </w:tc>
      </w:tr>
      <w:tr>
        <w:trPr>
          <w:trHeight w:val="20"/>
        </w:trPr>
        <w:tc>
          <w:tcPr>
            <w:tcW w:w="158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5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7"/>
              </w:rPr>
              <w:t>3.2</w:t>
            </w:r>
          </w:p>
        </w:tc>
        <w:tc>
          <w:tcPr>
            <w:tcW w:w="9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Certificate of Amendment to the Restated Articles of Incorporation of Rush Enterprises, Inc. (incorporated herein by reference to</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Exhibit 3.2 of the Company’s Quarterly Report on Form 10-Q (File No. 000-20797) for the quarter ended June 30, 2023)</w:t>
              </w:r>
            </w:hyperlink>
          </w:p>
        </w:tc>
        <w:tc>
          <w:tcPr>
            <w:tcW w:w="940" w:type="dxa"/>
            <w:vAlign w:val="bottom"/>
          </w:tcPr>
          <w:p>
            <w:pPr>
              <w:spacing w:after="0"/>
              <w:rPr>
                <w:sz w:val="17"/>
                <w:szCs w:val="17"/>
                <w:color w:val="auto"/>
              </w:rPr>
            </w:pPr>
          </w:p>
        </w:tc>
      </w:tr>
      <w:tr>
        <w:trPr>
          <w:trHeight w:val="412"/>
        </w:trPr>
        <w:tc>
          <w:tcPr>
            <w:tcW w:w="15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7"/>
              </w:rPr>
              <w:t>3.3</w:t>
            </w:r>
          </w:p>
        </w:tc>
        <w:tc>
          <w:tcPr>
            <w:tcW w:w="9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Rush Enterprises, Inc. Amended and Restated Bylaws (incorporated herein by reference to Exhibit 3.1 of the Company’s Current</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60" w:type="dxa"/>
            <w:vAlign w:val="bottom"/>
            <w:gridSpan w:val="8"/>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Report on Form 8-K (File No. 000-20797) filed May 21, 2013)</w:t>
              </w:r>
            </w:hyperlink>
          </w:p>
        </w:tc>
      </w:tr>
      <w:tr>
        <w:trPr>
          <w:trHeight w:val="20"/>
        </w:trPr>
        <w:tc>
          <w:tcPr>
            <w:tcW w:w="158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r>
      <w:tr>
        <w:trPr>
          <w:trHeight w:val="412"/>
        </w:trPr>
        <w:tc>
          <w:tcPr>
            <w:tcW w:w="15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7"/>
              </w:rPr>
              <w:t>3.4</w:t>
            </w:r>
          </w:p>
        </w:tc>
        <w:tc>
          <w:tcPr>
            <w:tcW w:w="9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60" w:type="dxa"/>
            <w:vAlign w:val="bottom"/>
            <w:gridSpan w:val="8"/>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Company’s Current Report on Form 8-K (File No. 000-20797) filed May 24, 2021)</w:t>
              </w:r>
            </w:hyperlink>
          </w:p>
        </w:tc>
      </w:tr>
      <w:tr>
        <w:trPr>
          <w:trHeight w:val="20"/>
        </w:trPr>
        <w:tc>
          <w:tcPr>
            <w:tcW w:w="158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5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r>
      <w:tr>
        <w:trPr>
          <w:trHeight w:val="412"/>
        </w:trPr>
        <w:tc>
          <w:tcPr>
            <w:tcW w:w="15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7"/>
              </w:rPr>
              <w:t>4.1</w:t>
            </w:r>
          </w:p>
        </w:tc>
        <w:tc>
          <w:tcPr>
            <w:tcW w:w="9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Specimen of certificate representing Common Stock (now Class B common stock), $.01 par value, of Rush Enterprises, Inc.</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(incorporated herein by reference to Exhibit 4.1 of the Company’s Registration Statement No. 333-03346 on Form S-1 filed April 10,</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83">
              <w:r>
                <w:rPr>
                  <w:rFonts w:ascii="Times New Roman" w:cs="Times New Roman" w:eastAsia="Times New Roman" w:hAnsi="Times New Roman"/>
                  <w:sz w:val="18"/>
                  <w:szCs w:val="18"/>
                  <w:color w:val="0000EE"/>
                  <w:w w:val="95"/>
                </w:rPr>
                <w:t>1996)</w:t>
              </w:r>
            </w:hyperlink>
          </w:p>
        </w:tc>
        <w:tc>
          <w:tcPr>
            <w:tcW w:w="1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12"/>
        </w:trPr>
        <w:tc>
          <w:tcPr>
            <w:tcW w:w="15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7"/>
              </w:rPr>
              <w:t>4.2</w:t>
            </w:r>
          </w:p>
        </w:tc>
        <w:tc>
          <w:tcPr>
            <w:tcW w:w="9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Specimen of certificate representing Class A common stock, $.01 par value, of the Registrant (incorporated herein by reference to</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60" w:type="dxa"/>
            <w:vAlign w:val="bottom"/>
            <w:gridSpan w:val="8"/>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Exhibit 4.1 of the Company’s Registration Statement on Form 8-A filed July 9, 2002)</w:t>
              </w:r>
            </w:hyperlink>
          </w:p>
        </w:tc>
      </w:tr>
      <w:tr>
        <w:trPr>
          <w:trHeight w:val="453"/>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40" w:type="dxa"/>
            <w:vAlign w:val="bottom"/>
            <w:tcBorders>
              <w:top w:val="single" w:sz="8" w:color="0000EE"/>
            </w:tcBorders>
            <w:gridSpan w:val="3"/>
          </w:tcPr>
          <w:p>
            <w:pPr>
              <w:ind w:left="3960"/>
              <w:spacing w:after="0"/>
              <w:rPr>
                <w:sz w:val="20"/>
                <w:szCs w:val="20"/>
                <w:color w:val="auto"/>
              </w:rPr>
            </w:pPr>
            <w:r>
              <w:rPr>
                <w:rFonts w:ascii="Times New Roman" w:cs="Times New Roman" w:eastAsia="Times New Roman" w:hAnsi="Times New Roman"/>
                <w:sz w:val="18"/>
                <w:szCs w:val="18"/>
                <w:color w:val="auto"/>
              </w:rPr>
              <w:t>76</w:t>
            </w:r>
          </w:p>
        </w:tc>
        <w:tc>
          <w:tcPr>
            <w:tcW w:w="1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9660" w:type="dxa"/>
            <w:vAlign w:val="bottom"/>
            <w:gridSpan w:val="1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Description of the Registrant’s Securities Registered Pursuant to Section 12 of the Securities Exchange Act of 1934 (incorporated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herein by reference to Exhibit 4.5 of the Company’s Form S-8 filed November 30, 2023</w:t>
              </w:r>
            </w:hyperlink>
          </w:p>
        </w:tc>
        <w:tc>
          <w:tcPr>
            <w:tcW w:w="33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Rush Enterprises, Inc. Amended and Restated 2004 Employee Stock Purchase Plan (incorporated herein by reference to Exhibit 10.2</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3"/>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of the Company’s Current Report on Form 8-K (File No. 000-20797) filed May 22, 2023)</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Rush Enterprises, Inc. Amended and Restated 2006 Non-Employee Director Stock Plan (incorporated herein by reference to Exhibit</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10</w:t>
              </w:r>
              <w:r>
                <w:rPr>
                  <w:rFonts w:ascii="Times New Roman" w:cs="Times New Roman" w:eastAsia="Times New Roman" w:hAnsi="Times New Roman"/>
                  <w:sz w:val="18"/>
                  <w:szCs w:val="18"/>
                  <w:color w:val="0000EE"/>
                  <w:w w:val="99"/>
                </w:rPr>
                <w:t xml:space="preserve"> of the Company’s Form 10-K (File No. 000-20797) for the year ended December 31, 2010)</w:t>
              </w:r>
            </w:hyperlink>
          </w:p>
        </w:tc>
        <w:tc>
          <w:tcPr>
            <w:tcW w:w="2620" w:type="dxa"/>
            <w:vAlign w:val="bottom"/>
            <w:gridSpan w:val="5"/>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9660" w:type="dxa"/>
            <w:vAlign w:val="bottom"/>
            <w:gridSpan w:val="13"/>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Rush Enterprises, Inc. Amended and Restated 2007 Long-Term Incentive Plan (incorporated herein by reference to Exhibit 10.1 of</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the Company’s Current Report on Form 8-K (File No. 000-20797) filed May 22, 2023)</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Rush  Enterprises,  Inc.  Amended  and  Restated  2007  Long-Term  Incentive  Plan  Stock  Option  Award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Agreement (incorporated herein by reference to Exhibit 10.5 of the Company’s Annual Report on Form 10-K (File No. 000-20797)</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filed December 31, 2023)</w:t>
              </w:r>
            </w:hyperlink>
          </w:p>
        </w:tc>
        <w:tc>
          <w:tcPr>
            <w:tcW w:w="7800" w:type="dxa"/>
            <w:vAlign w:val="bottom"/>
            <w:gridSpan w:val="11"/>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4"/>
                <w:szCs w:val="24"/>
                <w:color w:val="auto"/>
              </w:rPr>
            </w:pPr>
          </w:p>
        </w:tc>
        <w:tc>
          <w:tcPr>
            <w:tcW w:w="9660" w:type="dxa"/>
            <w:vAlign w:val="bottom"/>
            <w:gridSpan w:val="13"/>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Rush Enterprises, Inc. Amended and Restated 2007 Long-Term Incentive Plan Restricted Stock Award Agreement</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(incorporated herein by reference to Exhibit 10.6 of the Company’s Annual Report on Form 10-K (File No. 000-20797) filed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December 31, 2023)</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Rush Enterprises, Inc. Deferred Compensation Plan (Amended and Restated Effective as of May 18, 2021) (incorporated herein by</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reference to Exhibit 10.1 of the Company’s Current Report on Form 8-K (File No. 000-20797) filed May 24, 2021)</w:t>
              </w:r>
            </w:hyperlink>
          </w:p>
        </w:tc>
        <w:tc>
          <w:tcPr>
            <w:tcW w:w="1360" w:type="dxa"/>
            <w:vAlign w:val="bottom"/>
            <w:gridSpan w:val="3"/>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Indemnity Agreement (incorporated herein by reference to Exhibit 10.1 of the Company’s Current Report on Form 8-K (File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No. 000-20797) filed January 7, 2015)</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Rush Enterprises, Inc. Executive Transition Plan (as Amended and Restated Effective as of February 20, 2018) (incorporated herein</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by reference to Exhibit 10.1 of the Company’s Current Report on Form 8-K (File No. 000-20797) filed February 26, 2018)</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180" w:type="dxa"/>
            <w:vAlign w:val="bottom"/>
            <w:gridSpan w:val="6"/>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First Amendment to Rush Enterprises, Inc. Amended and Restated Executive Transition Plan (incorporated herein by reference to</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Exhibit 10.2 of the Company’s Current Report on Form 8-K (File No. 000-20797) filed February 22, 2021)</w:t>
              </w:r>
            </w:hyperlink>
          </w:p>
        </w:tc>
        <w:tc>
          <w:tcPr>
            <w:tcW w:w="1940" w:type="dxa"/>
            <w:vAlign w:val="bottom"/>
            <w:gridSpan w:val="4"/>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dealer agreement between Peterbilt Motors Company and Rush Truck Centers (incorporated herein by reference to Exhibit</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18</w:t>
              </w:r>
              <w:r>
                <w:rPr>
                  <w:rFonts w:ascii="Times New Roman" w:cs="Times New Roman" w:eastAsia="Times New Roman" w:hAnsi="Times New Roman"/>
                  <w:sz w:val="18"/>
                  <w:szCs w:val="18"/>
                  <w:color w:val="0000EE"/>
                  <w:w w:val="99"/>
                </w:rPr>
                <w:t xml:space="preserve"> of the Company’s Form 10-K (File No. 000-20797) for the year ended December 31, 1999)</w:t>
              </w:r>
            </w:hyperlink>
          </w:p>
        </w:tc>
        <w:tc>
          <w:tcPr>
            <w:tcW w:w="2620" w:type="dxa"/>
            <w:vAlign w:val="bottom"/>
            <w:gridSpan w:val="5"/>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Amendment to Dealer Sales and Service Agreements, dated July 6, 2023. by and among Peterbilt Motors</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 a division of PACCAR, Inc., Rush Enterprises, Inc. and the subsidiaries of Rush Enterprises, Inc. named a party therein</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71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(incorporated herein by reference to Exhibit 10.3 of the Company's Quarterly Report on Form 10-Q (File No. 000-20797) for the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quarter ended September 30, 2023)</w:t>
              </w:r>
            </w:hyperlink>
          </w:p>
        </w:tc>
      </w:tr>
      <w:tr>
        <w:trPr>
          <w:trHeight w:val="453"/>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Borders>
              <w:top w:val="single" w:sz="8" w:color="0000EE"/>
            </w:tcBorders>
            <w:gridSpan w:val="3"/>
          </w:tcPr>
          <w:p>
            <w:pPr>
              <w:spacing w:after="0"/>
              <w:rPr>
                <w:sz w:val="24"/>
                <w:szCs w:val="24"/>
                <w:color w:val="auto"/>
              </w:rPr>
            </w:pPr>
          </w:p>
        </w:tc>
        <w:tc>
          <w:tcPr>
            <w:tcW w:w="372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Fifth Amended and Restated Credit Agreement, dated as of September 14, 2021 by and among Rush Enterprises, Inc., the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subsidiaries of Rush party thereto as borrowers, the Lenders signatory thereto and BMO Harris Bank N.A., as Administrative Agent</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and Collateral Agent (incorporated herein by reference to Exhibit 10.1 of the Company’s Current Report on Form 8-K (File No. 000-</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20797) filed September 20, 2021)</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First Amendment to Fifth Amended and Restated Credit Agreement, dated as of May 31, 2023, by and among the Company and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certain of its subsidiaries, the Lenders signatory thereto and BMO Harris Bank N.A., as administrative agent and collateral agent for</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the Lenders (incorporated herein by reference to Exhibit 10.1 of the Company’s Current Report on Form 8-K (File No. 000-20797)</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filed June 6, 2023)</w:t>
              </w:r>
            </w:hyperlink>
          </w:p>
        </w:tc>
        <w:tc>
          <w:tcPr>
            <w:tcW w:w="8300" w:type="dxa"/>
            <w:vAlign w:val="bottom"/>
            <w:gridSpan w:val="13"/>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Second Amendment to the Fifth Amended and Restated Credit Agreement, dated as of December 12, 2024, by and among the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Company and certain of its subsidiaries, the Lenders signatory thereto, Frost Bank and BMO Bank N.A., as administrative agent and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collateral agent for the Lenders (incorporated herein by reference to Exhibit 10.1 of the Company’s Current Report on Form 8-K (File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No. 000-20797) filed December 18, 2024)</w:t>
              </w:r>
            </w:hyperlink>
          </w:p>
        </w:tc>
        <w:tc>
          <w:tcPr>
            <w:tcW w:w="6600" w:type="dxa"/>
            <w:vAlign w:val="bottom"/>
            <w:gridSpan w:val="10"/>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Guaranty Agreement, dated December 31, 2010, by Rush Enterprises, Inc. and each other Guarantor party thereto in favor of General</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Electric Capital Corporation. (incorporated herein by reference to Exhibit 10.2 of the Company’s Current Report on Form 8-K (File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No. 000-20797) filed January 6, 2011)</w:t>
              </w:r>
            </w:hyperlink>
          </w:p>
        </w:tc>
        <w:tc>
          <w:tcPr>
            <w:tcW w:w="6880" w:type="dxa"/>
            <w:vAlign w:val="bottom"/>
            <w:gridSpan w:val="11"/>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Credit Agreement, dated as of September 14, 2021 by and among Rush Enterprises, Inc., the subsidiaries of Rush party thereto as</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borrowers, the Lenders signatory thereto and Wells Fargo Bank, National Association, as Administrative Agent (incorporated herein</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by reference to Exhibit 10.2 of the Company’s Current Report on Form 8-K (File No. 000-20797) filed September 20, 2021)</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First Amendment to Credit Agreement, dated as of November 30, 2022 by and among Rush Enterprises, Inc. and certain of its</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subsidiaries, the Lenders party thereto and Wells Fargo Bank, National Association, as Administrative Agent (incorporated herein by</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reference to Exhibit 10.1 of the Company’s Current Report on Form 8-K (File No. 000-20797) filed December 2, 2022)</w:t>
              </w:r>
            </w:hyperlink>
          </w:p>
        </w:tc>
        <w:tc>
          <w:tcPr>
            <w:tcW w:w="1040" w:type="dxa"/>
            <w:vAlign w:val="bottom"/>
            <w:gridSpan w:val="5"/>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tcPr>
          <w:p>
            <w:pPr>
              <w:spacing w:after="0"/>
              <w:rPr>
                <w:sz w:val="24"/>
                <w:szCs w:val="24"/>
                <w:color w:val="auto"/>
              </w:rPr>
            </w:pPr>
          </w:p>
        </w:tc>
        <w:tc>
          <w:tcPr>
            <w:tcW w:w="9660" w:type="dxa"/>
            <w:vAlign w:val="bottom"/>
            <w:gridSpan w:val="14"/>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Second Amendment to Credit Agreement, dated as of December 22, 2023 by and among Rush Enterprises, Inc. and certain of its</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subsidiaries, the Lenders party thereto and Wells Fargo Bank, National Association, as Administrative Agent (incorporated herein by</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reference to Exhibit 10.1 of the Company’s Current Report on Form 8-K (File No. 000-20797) filed December 22, 2023)</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10.19*</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Third Amendment to Credit Agreement, dated as of December 17, 2024 by and among Rush Enterprises, Inc. and certain of its</w:t>
            </w: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the Lenders party thereto and Wells Fargo Bank, National Association, as Administrative Agent</w:t>
            </w:r>
          </w:p>
        </w:tc>
        <w:tc>
          <w:tcPr>
            <w:tcW w:w="1800" w:type="dxa"/>
            <w:vAlign w:val="bottom"/>
            <w:gridSpan w:val="6"/>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Pr>
          <w:p>
            <w:pPr>
              <w:spacing w:after="0"/>
              <w:rPr>
                <w:sz w:val="24"/>
                <w:szCs w:val="24"/>
                <w:color w:val="auto"/>
              </w:rPr>
            </w:pPr>
          </w:p>
        </w:tc>
        <w:tc>
          <w:tcPr>
            <w:tcW w:w="9660" w:type="dxa"/>
            <w:vAlign w:val="bottom"/>
            <w:gridSpan w:val="14"/>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Collateral Agreement, dated as of September 14, 2021, executed by Rush Enterprises, Inc. and the subsidiaries of Rush party thereto</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as borrowers in favor of Wells Fargo Bank, National Association, as Administrative Agent (incorporated herein by reference to</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Exhibit 10.3 of the Company’s Current Report on Form 8-K (File No. 000-20797) filed September 20, 2021)</w:t>
              </w:r>
            </w:hyperlink>
          </w:p>
        </w:tc>
        <w:tc>
          <w:tcPr>
            <w:tcW w:w="1820" w:type="dxa"/>
            <w:vAlign w:val="bottom"/>
            <w:gridSpan w:val="7"/>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Guaranty Agreement, dated as of September 14, 2021, executed by Rush Enterprises, Inc. in favor of Wells Fargo Bank, National</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Association, as Administrative Agent (incorporated herein by reference to Exhibit 10.4 of the Company’s Current Report on Form 8-</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K (File No. 000-20797) filed September 20, 2021)</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tcPr>
          <w:p>
            <w:pPr>
              <w:spacing w:after="0"/>
              <w:rPr>
                <w:sz w:val="24"/>
                <w:szCs w:val="24"/>
                <w:color w:val="auto"/>
              </w:rPr>
            </w:pPr>
          </w:p>
        </w:tc>
        <w:tc>
          <w:tcPr>
            <w:tcW w:w="9660" w:type="dxa"/>
            <w:vAlign w:val="bottom"/>
            <w:gridSpan w:val="1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Second Amended and Restated Inventory Financing and Purchase Money Security Agreement, dated as of November 1, 2023, by and</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40" w:type="dxa"/>
            <w:vAlign w:val="bottom"/>
            <w:gridSpan w:val="6"/>
            <w:shd w:val="clear" w:color="auto" w:fill="0000EE"/>
          </w:tcPr>
          <w:p>
            <w:pPr>
              <w:spacing w:after="0" w:line="20" w:lineRule="exact"/>
              <w:rPr>
                <w:sz w:val="1"/>
                <w:szCs w:val="1"/>
                <w:color w:val="auto"/>
              </w:rPr>
            </w:pPr>
          </w:p>
        </w:tc>
        <w:tc>
          <w:tcPr>
            <w:tcW w:w="284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between Rush Truck Leasing, Inc. and PACCAR Leasing Company (incorporated herein by reference to Exhibit 10.1 of the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Company’s Current Report on Form 8-K (File No. 000-20797) filed November 6, 2023)</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40" w:type="dxa"/>
            <w:vAlign w:val="bottom"/>
            <w:gridSpan w:val="6"/>
            <w:shd w:val="clear" w:color="auto" w:fill="0000EE"/>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10.23</w:t>
            </w:r>
          </w:p>
        </w:tc>
        <w:tc>
          <w:tcPr>
            <w:tcW w:w="30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Corporate Guarantee dated November 1, 2002, issued by Rush Enterprises, Inc. in favor of PACCAR Leasing Company (incorporated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herein by reference to Exhibit 10.3 of the Company’s Current Report on Form 8-K (File No. 000-20797) filed October 7, 2021)</w:t>
              </w:r>
            </w:hyperlink>
          </w:p>
        </w:tc>
      </w:tr>
      <w:tr>
        <w:trPr>
          <w:trHeight w:val="453"/>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tcBorders>
              <w:top w:val="single" w:sz="8" w:color="0000EE"/>
            </w:tcBorders>
            <w:gridSpan w:val="6"/>
          </w:tcPr>
          <w:p>
            <w:pPr>
              <w:ind w:left="3960"/>
              <w:spacing w:after="0"/>
              <w:rPr>
                <w:sz w:val="20"/>
                <w:szCs w:val="20"/>
                <w:color w:val="auto"/>
              </w:rPr>
            </w:pPr>
            <w:r>
              <w:rPr>
                <w:rFonts w:ascii="Times New Roman" w:cs="Times New Roman" w:eastAsia="Times New Roman" w:hAnsi="Times New Roman"/>
                <w:sz w:val="18"/>
                <w:szCs w:val="18"/>
                <w:color w:val="auto"/>
              </w:rPr>
              <w:t>78</w:t>
            </w:r>
          </w:p>
        </w:tc>
        <w:tc>
          <w:tcPr>
            <w:tcW w:w="1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First Amendment to Second Amended and Restated Inventory Financing and Purchase Money Security Agreement, dated as of April</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9, 2024, by and between Rush Truck Leasing, Inc. and PACCAR Leasing Company (incorporated by reference to Exhibit 10.1 of the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Company’s Current Report on Form 8-K (File No. 000-20797) filed April 15, 2024)</w:t>
              </w:r>
            </w:hyperlink>
          </w:p>
        </w:tc>
        <w:tc>
          <w:tcPr>
            <w:tcW w:w="3600" w:type="dxa"/>
            <w:vAlign w:val="bottom"/>
            <w:gridSpan w:val="5"/>
          </w:tcPr>
          <w:p>
            <w:pPr>
              <w:spacing w:after="0"/>
              <w:rPr>
                <w:sz w:val="17"/>
                <w:szCs w:val="17"/>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Second Amendment to Second Amended and Restated Inventory Financing and Purchase Money Security Agreement, dated as of</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December 16, 2024, by and between Rush Truck Leasing, Inc. and PACCAR Leasing Company (incorporated herein by reference to</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Exhibit 10.5 of the Company’s Current Report on Form 8-K (File No. 000-20797) filed December 18, 2024)</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Second Amended and Restated Promissory Note to PACCAR Leasing Company dated December 16, 2024 (incorporated herein by</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reference to Exhibit 10.6 of the Company’s Current Report on Form 8-K (File No. 000-20797) filed December 18, 2024)</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10.27</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Inventory Finance and Purchase Money Security Agreement, dated as of December 16, 2024, by and among Rush Peterbilt Truck</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Centers, Rush Enterprises, Inc., as agent and borrower representative of Rush Peterbilt Truck Centers and PACCAR Financial Corp.</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(incorporated by reference to Exhibit 10.2 of the Company’s Current Report on Form 8-K (File No. 000-20797) filed December 18,</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11">
              <w:r>
                <w:rPr>
                  <w:rFonts w:ascii="Times New Roman" w:cs="Times New Roman" w:eastAsia="Times New Roman" w:hAnsi="Times New Roman"/>
                  <w:sz w:val="18"/>
                  <w:szCs w:val="18"/>
                  <w:color w:val="0000EE"/>
                  <w:w w:val="95"/>
                </w:rPr>
                <w:t>2024)</w:t>
              </w:r>
            </w:hyperlink>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10.28</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Promissory Note to PACCAR Financial Corp. dated December 16, 2024 (incorporated by reference to Exhibit 10.3 of the Company’s</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Current Report on Form 8-K (File No. 000-20797) filed December 18, 2024)</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10.29</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Corporate Guaranty dated December 16, 2024, issued by Rush Enterprises, Inc. in favor of PACCAR Financial Corp. (incorporated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by reference to Exhibit 10.4 of the Company’s Current Report on Form 8-K (File No. 000-20797) filed December 18, 2024)</w:t>
              </w:r>
            </w:hyperlink>
          </w:p>
        </w:tc>
        <w:tc>
          <w:tcPr>
            <w:tcW w:w="720" w:type="dxa"/>
            <w:vAlign w:val="bottom"/>
            <w:gridSpan w:val="2"/>
          </w:tcPr>
          <w:p>
            <w:pPr>
              <w:spacing w:after="0"/>
              <w:rPr>
                <w:sz w:val="17"/>
                <w:szCs w:val="17"/>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10.30</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Bank of Montreal Revolving Lease and Rental Credit Agreement, dated May 31, 2022, between Rush Truck Centres of Canada</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Limited and Bank of Montreal (incorporated herein by reference to Exhibit 10.1 of the Company’s Current Report on Form 8-K (File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No. 000-20797) filed June 6, 2022)</w:t>
              </w:r>
            </w:hyperlink>
          </w:p>
        </w:tc>
        <w:tc>
          <w:tcPr>
            <w:tcW w:w="7100" w:type="dxa"/>
            <w:vAlign w:val="bottom"/>
            <w:gridSpan w:val="8"/>
          </w:tcPr>
          <w:p>
            <w:pPr>
              <w:spacing w:after="0"/>
              <w:rPr>
                <w:sz w:val="17"/>
                <w:szCs w:val="17"/>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10.31</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First Amendment to the BMO Lease and Rental Credit Agreement, dated as of June 1, 2024, by and among RTC-Canada, the</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Company and BMO (incorporated herein by reference to Exhibit 10.1 of the Company’s Current Report on Form 8-K (File No. 000-</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20797) filed June 6, 2024)</w:t>
              </w:r>
            </w:hyperlink>
          </w:p>
        </w:tc>
        <w:tc>
          <w:tcPr>
            <w:tcW w:w="77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Amended and Restated Guaranty Agreement, dated as of July 15, 2022, between Rush Enterprises, Inc. and Bank of Montreal</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(incorporated herein by reference to Exhibit 10.2 of the Company’s Current Report on Form 8-K (File No. 000-20797) filed July 21,</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16">
              <w:r>
                <w:rPr>
                  <w:rFonts w:ascii="Times New Roman" w:cs="Times New Roman" w:eastAsia="Times New Roman" w:hAnsi="Times New Roman"/>
                  <w:sz w:val="18"/>
                  <w:szCs w:val="18"/>
                  <w:color w:val="0000EE"/>
                  <w:w w:val="95"/>
                </w:rPr>
                <w:t>2022)</w:t>
              </w:r>
            </w:hyperlink>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10.33</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First Amended and Restated BMO Wholesale Financing and Security Agreement, dated as of July 15, 2022, between Rush Truck</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Centres of Canada Limited and Bank of Montreal (incorporated herein by reference to Exhibit 10.1 of the Company’s Current Report</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on Form 8-K (File No. 000-20797) filed July 21, 2022)</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gridSpan w:val="5"/>
          </w:tcPr>
          <w:p>
            <w:pPr>
              <w:ind w:left="3960"/>
              <w:spacing w:after="0"/>
              <w:rPr>
                <w:sz w:val="20"/>
                <w:szCs w:val="20"/>
                <w:color w:val="auto"/>
              </w:rPr>
            </w:pPr>
            <w:r>
              <w:rPr>
                <w:rFonts w:ascii="Times New Roman" w:cs="Times New Roman" w:eastAsia="Times New Roman" w:hAnsi="Times New Roman"/>
                <w:sz w:val="18"/>
                <w:szCs w:val="18"/>
                <w:color w:val="auto"/>
              </w:rPr>
              <w:t>79</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340"/>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First Amendment to First Amended and Restated BMO Wholesale Financing and Security Agreement, dated as of May 31, 2023, by</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and among RTC-Canada and BMO (incorporated herein by reference to Exhibit 10.2 of the Company’s Current Report on Form 8-K</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(File No. 000-20797) filed June 6, 2023)</w:t>
              </w:r>
            </w:hyperlink>
          </w:p>
        </w:tc>
        <w:tc>
          <w:tcPr>
            <w:tcW w:w="6700" w:type="dxa"/>
            <w:vAlign w:val="bottom"/>
            <w:gridSpan w:val="5"/>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10.35</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Second Amendment to the Amended and Restated BMO Wholesale Financing and Security Agreement, dated as of June 1, 2024, by</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and among RTC-Canada and BMO (incorporated herein by reference to Exhibit 10.2 of the Company’s Current Report on Form 8-K</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(File No. 000-20797) filed June 6, 2024)</w:t>
              </w:r>
            </w:hyperlink>
          </w:p>
        </w:tc>
        <w:tc>
          <w:tcPr>
            <w:tcW w:w="6720" w:type="dxa"/>
            <w:vAlign w:val="bottom"/>
            <w:gridSpan w:val="6"/>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Senior Advisor Agreement, effective as of November 1, 2024, by and among Rush Administrative Services, Inc., Rush Enterprises,</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 and Michael J. McRoberts (incorporated by reference to Exhibit 10.1 of the Company’s Current Report on Form 8-K (File No.</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000-20797) filed October 30, 2024)</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Rush Enterprises, Inc Insider Trading Policy</w:t>
            </w: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Subsidiaries of the Company</w:t>
            </w:r>
          </w:p>
        </w:tc>
        <w:tc>
          <w:tcPr>
            <w:tcW w:w="1100" w:type="dxa"/>
            <w:vAlign w:val="bottom"/>
            <w:tcBorders>
              <w:top w:val="single" w:sz="8" w:color="0000EE"/>
            </w:tcBorders>
            <w:gridSpan w:val="5"/>
          </w:tcPr>
          <w:p>
            <w:pPr>
              <w:spacing w:after="0"/>
              <w:rPr>
                <w:sz w:val="24"/>
                <w:szCs w:val="24"/>
                <w:color w:val="auto"/>
              </w:rPr>
            </w:pPr>
          </w:p>
        </w:tc>
        <w:tc>
          <w:tcPr>
            <w:tcW w:w="6460" w:type="dxa"/>
            <w:vAlign w:val="bottom"/>
            <w:gridSpan w:val="4"/>
          </w:tcPr>
          <w:p>
            <w:pPr>
              <w:spacing w:after="0"/>
              <w:rPr>
                <w:sz w:val="24"/>
                <w:szCs w:val="24"/>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 pursuant to Rules 13a-14(a) and 15d-14(a), as adopted pursuant to Section 302</w:t>
            </w: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Rules 13a-14(a) and 15d-14(a), as adopted pursuant to Section 302 of the</w:t>
            </w: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gridSpan w:val="8"/>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gridSpan w:val="8"/>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tcPr>
          <w:p>
            <w:pPr>
              <w:spacing w:after="0"/>
              <w:rPr>
                <w:sz w:val="24"/>
                <w:szCs w:val="24"/>
                <w:color w:val="auto"/>
              </w:rPr>
            </w:pPr>
          </w:p>
        </w:tc>
        <w:tc>
          <w:tcPr>
            <w:tcW w:w="9660" w:type="dxa"/>
            <w:vAlign w:val="bottom"/>
            <w:gridSpan w:val="11"/>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Rush Enterprises, Inc. Clawback Policy (incorporated herein by reference to Exhibit 97.1 of the Company’s Annual Report on Form</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10-K (File No. 000-20787) for the year ended December 3, 2023</w:t>
              </w:r>
            </w:hyperlink>
          </w:p>
        </w:tc>
        <w:tc>
          <w:tcPr>
            <w:tcW w:w="49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101.INS</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101.SCH*</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101.CAL*</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101.DEF*</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101.LAB*</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101.PRE*</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r>
    </w:tbl>
    <w:p>
      <w:pPr>
        <w:spacing w:after="0" w:line="200" w:lineRule="exact"/>
        <w:rPr>
          <w:sz w:val="20"/>
          <w:szCs w:val="20"/>
          <w:color w:val="auto"/>
        </w:rPr>
      </w:pPr>
    </w:p>
    <w:p>
      <w:pPr>
        <w:spacing w:after="0" w:line="214" w:lineRule="exact"/>
        <w:rPr>
          <w:sz w:val="20"/>
          <w:szCs w:val="20"/>
          <w:color w:val="auto"/>
        </w:rPr>
      </w:pPr>
    </w:p>
    <w:p>
      <w:pPr>
        <w:ind w:left="1140" w:hanging="646"/>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40" w:hanging="646"/>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jc w:val="both"/>
        <w:ind w:left="1140" w:hanging="646"/>
        <w:spacing w:after="0" w:line="255"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2540" w:type="dxa"/>
            <w:vAlign w:val="bottom"/>
          </w:tcPr>
          <w:p>
            <w:pPr>
              <w:spacing w:after="0"/>
              <w:rPr>
                <w:sz w:val="20"/>
                <w:szCs w:val="20"/>
                <w:color w:val="auto"/>
              </w:rPr>
            </w:pPr>
          </w:p>
        </w:tc>
      </w:tr>
      <w:tr>
        <w:trPr>
          <w:trHeight w:val="392"/>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W. M.” RUSTY” RUSH</w:t>
            </w:r>
          </w:p>
        </w:tc>
        <w:tc>
          <w:tcPr>
            <w:tcW w:w="25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Date: February 21, 2025</w:t>
            </w:r>
          </w:p>
        </w:tc>
      </w:tr>
      <w:tr>
        <w:trPr>
          <w:trHeight w:val="218"/>
        </w:trPr>
        <w:tc>
          <w:tcPr>
            <w:tcW w:w="340" w:type="dxa"/>
            <w:vAlign w:val="bottom"/>
          </w:tcPr>
          <w:p>
            <w:pPr>
              <w:spacing w:after="0"/>
              <w:rPr>
                <w:sz w:val="18"/>
                <w:szCs w:val="18"/>
                <w:color w:val="auto"/>
              </w:rPr>
            </w:pPr>
          </w:p>
        </w:tc>
        <w:tc>
          <w:tcPr>
            <w:tcW w:w="20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 M. “Rusty” Rush</w:t>
            </w:r>
          </w:p>
        </w:tc>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5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the Board</w:t>
            </w:r>
          </w:p>
        </w:tc>
        <w:tc>
          <w:tcPr>
            <w:tcW w:w="2540" w:type="dxa"/>
            <w:vAlign w:val="bottom"/>
          </w:tcPr>
          <w:p>
            <w:pPr>
              <w:spacing w:after="0"/>
              <w:rPr>
                <w:sz w:val="20"/>
                <w:szCs w:val="20"/>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Signature</w:t>
            </w:r>
          </w:p>
        </w:tc>
        <w:tc>
          <w:tcPr>
            <w:tcW w:w="2520" w:type="dxa"/>
            <w:vAlign w:val="bottom"/>
            <w:gridSpan w:val="11"/>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20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/s/ W. M. “RUSTY” RUSH</w:t>
            </w:r>
          </w:p>
        </w:tc>
        <w:tc>
          <w:tcPr>
            <w:tcW w:w="1380" w:type="dxa"/>
            <w:vAlign w:val="bottom"/>
            <w:gridSpan w:val="3"/>
          </w:tcPr>
          <w:p>
            <w:pPr>
              <w:spacing w:after="0"/>
              <w:rPr>
                <w:sz w:val="24"/>
                <w:szCs w:val="24"/>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18"/>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 STEVEN L. KELLER</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18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540" w:type="dxa"/>
            <w:vAlign w:val="bottom"/>
            <w:gridSpan w:val="5"/>
          </w:tcPr>
          <w:p>
            <w:pPr>
              <w:spacing w:after="0"/>
              <w:rPr>
                <w:sz w:val="20"/>
                <w:szCs w:val="20"/>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8"/>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 Jason Wilder</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1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Jason Wilder</w:t>
            </w:r>
          </w:p>
        </w:tc>
        <w:tc>
          <w:tcPr>
            <w:tcW w:w="2220" w:type="dxa"/>
            <w:vAlign w:val="bottom"/>
            <w:gridSpan w:val="10"/>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8"/>
        </w:trPr>
        <w:tc>
          <w:tcPr>
            <w:tcW w:w="1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THOMAS A. AKIN</w:t>
            </w:r>
          </w:p>
        </w:tc>
        <w:tc>
          <w:tcPr>
            <w:tcW w:w="1680" w:type="dxa"/>
            <w:vAlign w:val="bottom"/>
            <w:gridSpan w:val="8"/>
          </w:tcPr>
          <w:p>
            <w:pPr>
              <w:spacing w:after="0"/>
              <w:rPr>
                <w:sz w:val="24"/>
                <w:szCs w:val="24"/>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Thomas A. Akin</w:t>
            </w: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7"/>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 RAYMOND J. CHESS</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19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Raymond J. Chess</w:t>
            </w:r>
          </w:p>
        </w:tc>
        <w:tc>
          <w:tcPr>
            <w:tcW w:w="1480" w:type="dxa"/>
            <w:vAlign w:val="bottom"/>
            <w:gridSpan w:val="4"/>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8"/>
        </w:trPr>
        <w:tc>
          <w:tcPr>
            <w:tcW w:w="24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/s/ DR. KENNON GUGLIELMO</w:t>
            </w:r>
          </w:p>
        </w:tc>
        <w:tc>
          <w:tcPr>
            <w:tcW w:w="940" w:type="dxa"/>
            <w:vAlign w:val="bottom"/>
          </w:tcPr>
          <w:p>
            <w:pPr>
              <w:spacing w:after="0"/>
              <w:rPr>
                <w:sz w:val="24"/>
                <w:szCs w:val="24"/>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Dr. Kennon Guglielmo</w:t>
            </w: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7"/>
        </w:trPr>
        <w:tc>
          <w:tcPr>
            <w:tcW w:w="17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/s/ WILLIAM H. CARY</w:t>
            </w:r>
          </w:p>
        </w:tc>
        <w:tc>
          <w:tcPr>
            <w:tcW w:w="1600" w:type="dxa"/>
            <w:vAlign w:val="bottom"/>
            <w:gridSpan w:val="7"/>
          </w:tcPr>
          <w:p>
            <w:pPr>
              <w:spacing w:after="0"/>
              <w:rPr>
                <w:sz w:val="24"/>
                <w:szCs w:val="24"/>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William H. Cary</w:t>
            </w: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7"/>
        </w:trPr>
        <w:tc>
          <w:tcPr>
            <w:tcW w:w="18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ELAINE MENDOZA</w:t>
            </w:r>
          </w:p>
        </w:tc>
        <w:tc>
          <w:tcPr>
            <w:tcW w:w="1560" w:type="dxa"/>
            <w:vAlign w:val="bottom"/>
            <w:gridSpan w:val="6"/>
          </w:tcPr>
          <w:p>
            <w:pPr>
              <w:spacing w:after="0"/>
              <w:rPr>
                <w:sz w:val="24"/>
                <w:szCs w:val="24"/>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Elaine Mendoza</w:t>
            </w: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8"/>
        </w:trPr>
        <w:tc>
          <w:tcPr>
            <w:tcW w:w="1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TROY A. CLARKE</w:t>
            </w:r>
          </w:p>
        </w:tc>
        <w:tc>
          <w:tcPr>
            <w:tcW w:w="1680" w:type="dxa"/>
            <w:vAlign w:val="bottom"/>
            <w:gridSpan w:val="8"/>
          </w:tcPr>
          <w:p>
            <w:pPr>
              <w:spacing w:after="0"/>
              <w:rPr>
                <w:sz w:val="24"/>
                <w:szCs w:val="24"/>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7"/>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Troy A. Clarke</w:t>
            </w: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7"/>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 AMY BOERGER</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6"/>
        </w:trPr>
        <w:tc>
          <w:tcPr>
            <w:tcW w:w="1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Amy Boerger</w:t>
            </w:r>
          </w:p>
        </w:tc>
        <w:tc>
          <w:tcPr>
            <w:tcW w:w="1860" w:type="dxa"/>
            <w:vAlign w:val="bottom"/>
            <w:gridSpan w:val="9"/>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8"/>
        </w:trPr>
        <w:tc>
          <w:tcPr>
            <w:tcW w:w="33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 MICHAEL MCROBERTS</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and Senior Advisor to the Company</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6"/>
        </w:trPr>
        <w:tc>
          <w:tcPr>
            <w:tcW w:w="21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Michael McRoberts</w:t>
            </w:r>
          </w:p>
        </w:tc>
        <w:tc>
          <w:tcPr>
            <w:tcW w:w="122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 TO CREDIT AGREEMENT</w:t>
      </w:r>
    </w:p>
    <w:p>
      <w:pPr>
        <w:spacing w:after="0" w:line="221"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December 17,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entered into by and among </w:t>
      </w:r>
      <w:r>
        <w:rPr>
          <w:rFonts w:ascii="Times New Roman" w:cs="Times New Roman" w:eastAsia="Times New Roman" w:hAnsi="Times New Roman"/>
          <w:sz w:val="18"/>
          <w:szCs w:val="18"/>
          <w:b w:val="1"/>
          <w:bCs w:val="1"/>
          <w:color w:val="auto"/>
        </w:rPr>
        <w:t>RUSH ENTERPRISES, INC.</w:t>
      </w:r>
      <w:r>
        <w:rPr>
          <w:rFonts w:ascii="Times New Roman" w:cs="Times New Roman" w:eastAsia="Times New Roman" w:hAnsi="Times New Roman"/>
          <w:sz w:val="18"/>
          <w:szCs w:val="18"/>
          <w:color w:val="auto"/>
        </w:rPr>
        <w:t>, a Texas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each of the Borrowers party hereto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each of the Lenders party hereto and </w:t>
      </w:r>
      <w:r>
        <w:rPr>
          <w:rFonts w:ascii="Times New Roman" w:cs="Times New Roman" w:eastAsia="Times New Roman" w:hAnsi="Times New Roman"/>
          <w:sz w:val="18"/>
          <w:szCs w:val="18"/>
          <w:b w:val="1"/>
          <w:bCs w:val="1"/>
          <w:color w:val="auto"/>
        </w:rPr>
        <w:t>WELLS FARGO BANK, N.A.</w:t>
      </w:r>
      <w:r>
        <w:rPr>
          <w:rFonts w:ascii="Times New Roman" w:cs="Times New Roman" w:eastAsia="Times New Roman" w:hAnsi="Times New Roman"/>
          <w:sz w:val="18"/>
          <w:szCs w:val="18"/>
          <w:color w:val="auto"/>
        </w:rPr>
        <w:t>, as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w:t>
      </w:r>
    </w:p>
    <w:p>
      <w:pPr>
        <w:spacing w:after="0" w:line="225" w:lineRule="exact"/>
        <w:rPr>
          <w:sz w:val="20"/>
          <w:szCs w:val="20"/>
          <w:color w:val="auto"/>
        </w:rPr>
      </w:pPr>
    </w:p>
    <w:p>
      <w:pPr>
        <w:jc w:val="both"/>
        <w:ind w:right="20"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Holdings, the Borrowers, the lenders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entered into that certain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as of September 14, 2021 (as from time to time amended, modified, supplemented, restated or amended and restated,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Lenders agreed to make available to the Borrowers a revolving credit facility; and</w:t>
      </w:r>
    </w:p>
    <w:p>
      <w:pPr>
        <w:spacing w:after="0" w:line="171" w:lineRule="exact"/>
        <w:rPr>
          <w:sz w:val="20"/>
          <w:szCs w:val="20"/>
          <w:color w:val="auto"/>
        </w:rPr>
      </w:pPr>
    </w:p>
    <w:p>
      <w:pPr>
        <w:jc w:val="both"/>
        <w:ind w:right="20"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Holdings and the Borrowers have now asked the Administrative Agent and the Lenders to amend certain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w:t>
      </w:r>
    </w:p>
    <w:p>
      <w:pPr>
        <w:spacing w:after="0" w:line="155"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Administrative Agent and the Lenders party hereto are willing to make such amendments,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herein, provided that Holdings and the Borrowers ratify and confirm all of their respective obligations under the Credit Agreement and the Loan Documents;</w:t>
      </w:r>
    </w:p>
    <w:p>
      <w:pPr>
        <w:spacing w:after="0" w:line="171"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further valuable consideration, the receipt and sufficiency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parties hereto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Unless otherwise defined herein, capitalized terms used herein have the meanings assigned to them in the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Credit Agreement</w:t>
      </w:r>
      <w:r>
        <w:rPr>
          <w:rFonts w:ascii="Times New Roman" w:cs="Times New Roman" w:eastAsia="Times New Roman" w:hAnsi="Times New Roman"/>
          <w:sz w:val="18"/>
          <w:szCs w:val="18"/>
          <w:b w:val="1"/>
          <w:bCs w:val="1"/>
          <w:color w:val="auto"/>
        </w:rPr>
        <w:t>. Section 9.3 of the Credit Agreement is hereby amended to restate clause (n) thereof in its entirety as follows:</w:t>
      </w:r>
    </w:p>
    <w:p>
      <w:pPr>
        <w:spacing w:after="0" w:line="229" w:lineRule="exact"/>
        <w:rPr>
          <w:sz w:val="20"/>
          <w:szCs w:val="20"/>
          <w:color w:val="auto"/>
        </w:rPr>
      </w:pPr>
    </w:p>
    <w:p>
      <w:pPr>
        <w:jc w:val="both"/>
        <w:ind w:left="1140" w:right="1140"/>
        <w:spacing w:after="0" w:line="261" w:lineRule="auto"/>
        <w:rPr>
          <w:sz w:val="20"/>
          <w:szCs w:val="20"/>
          <w:color w:val="auto"/>
        </w:rPr>
      </w:pPr>
      <w:r>
        <w:rPr>
          <w:rFonts w:ascii="Times New Roman" w:cs="Times New Roman" w:eastAsia="Times New Roman" w:hAnsi="Times New Roman"/>
          <w:sz w:val="18"/>
          <w:szCs w:val="18"/>
          <w:color w:val="auto"/>
        </w:rPr>
        <w:t xml:space="preserve">“(n) Investments not otherwise permitted pursuant to this Section in an aggregate amount not to exceed $15,000,000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before and immediately after giving pro forma effect to any such Investments and any Indebtedness incurred in connection therewith, no Default or Event of Default shall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b w:val="1"/>
          <w:bCs w:val="1"/>
          <w:color w:val="auto"/>
        </w:rPr>
        <w:t>. This Amendment shall be effective as of the Effective Date upon satisfaction of the following conditions precedent: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Default or Event of Default shall exist;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Administrative Agent shall have received counterparts of this Amendment, duly executed by Holdings, the Borrowers and the Lenders; and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Administrative Agent shall have received payment of all fees and other amounts due and payable on or prior to the Effective Date, including the reasonable fees and expenses of legal counsel to the Administrative Agent.</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Ratification</w:t>
      </w:r>
      <w:r>
        <w:rPr>
          <w:rFonts w:ascii="Times New Roman" w:cs="Times New Roman" w:eastAsia="Times New Roman" w:hAnsi="Times New Roman"/>
          <w:sz w:val="18"/>
          <w:szCs w:val="18"/>
          <w:b w:val="1"/>
          <w:bCs w:val="1"/>
          <w:color w:val="auto"/>
        </w:rPr>
        <w:t>. Each of Holdings and the Borrowers hereby ratifies all of its Obligations under the Credit Agreement and each of the Loan Documents to which it is a party, and agrees and acknowledges that the Credit Agreement and each of the Loan Documents to which it is a party are and shall continue to be in full force and effect as amended and modified by this Amendment. Nothing in this Amendment extinguishes, novates or releases any right, claim, lien, security interest or entitlement of any of the Lenders or the Administrative Agent created by or contained in any of such documents nor is Holdings or any Borrower released from any covenant, warranty or obligation created by or contained herein or therein.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Each of Holdings and the Borrowers hereby represents and warrants to the Lenders and the Administrative Agent that (a) this Amendment has been duly executed and delivered on behalf of each of Holdings and the Borrowers, (b) this Amendment constitutes a valid and legally binding agreement enforceable against each of Holdings and the Borrowers in accordance with its terms, subject to applicable bankruptcy, insolvency, fraudulent transfer, reorganization, moratorium or other laws affecting creditors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 generally and subject to general principles of equity, regardless of whether considered in a proceeding in equity or at law, (c) the representations and warranties contained in the Credit Agreement and the Loan Documents are true and correct on and as of the date hereof in all material respects as though made as of the date hereof, except for such representations and warranties as are by their express terms limited to a specific date, in which case such representations and warranties were true and correct in all material respects as of such specific date, (d) no Default or Event of Default exists under the Credit Agreement or under any Loan Document and (e) the execution, delivery and performance of this Amendment has been duly authorized by each of Holdings and the Borrowers.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This Amendment may be signed in any number of counterparts, which may be delivered in original, facsimile or electronic form each of which shall be construed as an original, but all of which together shall constitute one and the same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shall be governed by, and construed in accordance with, the law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is a Loan Document; References to Credit Agreement</w:t>
      </w:r>
      <w:r>
        <w:rPr>
          <w:rFonts w:ascii="Times New Roman" w:cs="Times New Roman" w:eastAsia="Times New Roman" w:hAnsi="Times New Roman"/>
          <w:sz w:val="18"/>
          <w:szCs w:val="18"/>
          <w:b w:val="1"/>
          <w:bCs w:val="1"/>
          <w:color w:val="auto"/>
        </w:rPr>
        <w:t>. This Amendment is a Loan Document, as defined in the Credit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All references in the Credit Agreement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shall mean the Credit Agreement as amended by this Amendment.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7" w:name="page88"/>
    <w:bookmarkEnd w:id="87"/>
    <w:p>
      <w:pPr>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by their respective officers thereunto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as of the 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HOLDINGS: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Steven L. Keller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ALABAMA, INC.</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ARKANSAS,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ARIZONA,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CALIFORNIA,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MEDIUM DUTY TRUCK CENTERS OF COLORADO,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COLORADO,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FLORIDA,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GEORGIA,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NEW MEXICO,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OKLAHOMA,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TENNESSEE,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NORTH CAROLINA,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IDAHO,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UTAH,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OHIO,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KANSAS,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MISSOURI,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VIRGINIA,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INDIANA,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ILLINOIS,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NEVADA,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KENTUCKY,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RIG TOUGH,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LOS CUERNOS,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AIRUSH,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LEASING,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ADMINISTRATIVE SERVICES,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PENNSYLVANIA,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MEDIUM DUTY TRUCK CENTERS OF CALIFORNIA, INC.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RUSH TRUCK CENTERS OF NEBRASKA,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Steven L. Keller</w:t>
            </w:r>
          </w:p>
        </w:tc>
        <w:tc>
          <w:tcPr>
            <w:tcW w:w="4200" w:type="dxa"/>
            <w:vAlign w:val="bottom"/>
          </w:tcPr>
          <w:p>
            <w:pPr>
              <w:spacing w:after="0"/>
              <w:rPr>
                <w:sz w:val="18"/>
                <w:szCs w:val="18"/>
                <w:color w:val="auto"/>
              </w:rPr>
            </w:pPr>
          </w:p>
        </w:tc>
      </w:tr>
      <w:tr>
        <w:trPr>
          <w:trHeight w:val="218"/>
        </w:trPr>
        <w:tc>
          <w:tcPr>
            <w:tcW w:w="56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574"/>
        </w:trPr>
        <w:tc>
          <w:tcPr>
            <w:tcW w:w="5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89" w:name="page90"/>
    <w:bookmarkEnd w:id="89"/>
    <w:p>
      <w:pPr>
        <w:ind w:left="3960"/>
        <w:spacing w:after="0"/>
        <w:rPr>
          <w:sz w:val="20"/>
          <w:szCs w:val="20"/>
          <w:color w:val="auto"/>
        </w:rPr>
      </w:pPr>
      <w:r>
        <w:rPr>
          <w:rFonts w:ascii="Times New Roman" w:cs="Times New Roman" w:eastAsia="Times New Roman" w:hAnsi="Times New Roman"/>
          <w:sz w:val="18"/>
          <w:szCs w:val="18"/>
          <w:b w:val="1"/>
          <w:bCs w:val="1"/>
          <w:color w:val="auto"/>
        </w:rPr>
        <w:t>RUSH TRUCK CENTERS OF TEXAS, L.P.</w:t>
      </w:r>
    </w:p>
    <w:p>
      <w:pPr>
        <w:spacing w:after="0" w:line="2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Rushtex,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9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Steven L. Keller</w:t>
            </w:r>
          </w:p>
        </w:tc>
      </w:tr>
      <w:tr>
        <w:trPr>
          <w:trHeight w:val="218"/>
        </w:trPr>
        <w:tc>
          <w:tcPr>
            <w:tcW w:w="5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34"/>
        </w:trPr>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w w:val="99"/>
              </w:rPr>
              <w:t>Assistant Secretary</w:t>
            </w:r>
          </w:p>
        </w:tc>
      </w:tr>
    </w:tbl>
    <w:p>
      <w:pPr>
        <w:spacing w:after="0" w:line="19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ADMINISTRATIVE AGENT AND LENDER:</w:t>
      </w:r>
    </w:p>
    <w:p>
      <w:pPr>
        <w:spacing w:after="0" w:line="2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WELLS FARGO BANK, N.A.</w:t>
      </w:r>
    </w:p>
    <w:p>
      <w:pPr>
        <w:spacing w:after="0" w:line="200" w:lineRule="exact"/>
        <w:rPr>
          <w:sz w:val="20"/>
          <w:szCs w:val="20"/>
          <w:color w:val="auto"/>
        </w:rPr>
      </w:pPr>
    </w:p>
    <w:p>
      <w:pPr>
        <w:spacing w:after="0" w:line="232" w:lineRule="exact"/>
        <w:rPr>
          <w:sz w:val="20"/>
          <w:szCs w:val="20"/>
          <w:color w:val="auto"/>
        </w:rPr>
      </w:pPr>
    </w:p>
    <w:tbl>
      <w:tblPr>
        <w:tblLayout w:type="fixed"/>
        <w:tblInd w:w="39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Corder</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Corder</w:t>
            </w:r>
          </w:p>
        </w:tc>
        <w:tc>
          <w:tcPr>
            <w:tcW w:w="32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w:t>
            </w:r>
          </w:p>
        </w:tc>
      </w:tr>
    </w:tbl>
    <w:p>
      <w:pPr>
        <w:sectPr>
          <w:pgSz w:w="11900" w:h="16838" w:orient="portrait"/>
          <w:cols w:equalWidth="0" w:num="1">
            <w:col w:w="9019"/>
          </w:cols>
          <w:pgMar w:left="1440" w:top="576" w:right="1440" w:bottom="1440" w:gutter="0" w:footer="0" w:header="0"/>
        </w:sectPr>
      </w:pPr>
    </w:p>
    <w:bookmarkStart w:id="90" w:name="page91"/>
    <w:bookmarkEnd w:id="90"/>
    <w:p>
      <w:pPr>
        <w:ind w:left="10160"/>
        <w:spacing w:after="0"/>
        <w:rPr>
          <w:sz w:val="20"/>
          <w:szCs w:val="20"/>
          <w:color w:val="auto"/>
        </w:rPr>
      </w:pPr>
      <w:r>
        <w:rPr>
          <w:rFonts w:ascii="Times New Roman" w:cs="Times New Roman" w:eastAsia="Times New Roman" w:hAnsi="Times New Roman"/>
          <w:sz w:val="17"/>
          <w:szCs w:val="17"/>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161925</wp:posOffset>
            </wp:positionV>
            <wp:extent cx="1148715" cy="711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114871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February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of Rush Enterprises,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this Insider Trading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for our directors, officers, employees, and certain contractors and consultants with respect to the trading of the Company’s securities, as well as the securities of publicly traded companies with whom we have a business relationship.</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important that you understand the breadth of activities that constitute illegal insider trading and the consequences, which can be severe.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is very effective at detecting insider trading. The SEC, together with the Department of Justice, pursue insider trading violations vigorously. Cases have been successfully prosecuted against trading by employees through foreign accounts, trading by family members and friends, and trading involving only a small number of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is designed to prevent insider trading or allegations of insider trading, and to protect the Company’s reputation for integrity and ethical conduct. It is your obligation to understand and comply with this Policy. Should you have questions regarding this Policy, please contact the Company’s General Counsel.</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Officers, directors and other personnel designated by the Company from time to time are subject to certain additional policies and restrictions.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“Additional Policies and Restrictions Applicable to Executive Officers, Directors and Others Designated by the Company” (“</w:t>
      </w:r>
      <w:r>
        <w:rPr>
          <w:rFonts w:ascii="Times New Roman" w:cs="Times New Roman" w:eastAsia="Times New Roman" w:hAnsi="Times New Roman"/>
          <w:sz w:val="18"/>
          <w:szCs w:val="18"/>
          <w:b w:val="1"/>
          <w:bCs w:val="1"/>
          <w:color w:val="auto"/>
        </w:rPr>
        <w:t>Additional Policies</w:t>
      </w:r>
      <w:r>
        <w:rPr>
          <w:rFonts w:ascii="Times New Roman" w:cs="Times New Roman" w:eastAsia="Times New Roman" w:hAnsi="Times New Roman"/>
          <w:sz w:val="18"/>
          <w:szCs w:val="18"/>
          <w:color w:val="auto"/>
        </w:rPr>
        <w:t>”) beginning on page 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Penalties for Noncompliance</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Civil and Criminal Penalties</w:t>
      </w:r>
      <w:r>
        <w:rPr>
          <w:rFonts w:ascii="Times New Roman" w:cs="Times New Roman" w:eastAsia="Times New Roman" w:hAnsi="Times New Roman"/>
          <w:sz w:val="18"/>
          <w:szCs w:val="18"/>
          <w:color w:val="auto"/>
        </w:rPr>
        <w:t>. Potential penalties for insider trading violations include: (i) imprisonment for up to 20 years, (ii) criminal fines of up to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(iii) civil fines of up to three times the profit gained or loss avoided.</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Controlling Person Liability</w:t>
      </w:r>
      <w:r>
        <w:rPr>
          <w:rFonts w:ascii="Times New Roman" w:cs="Times New Roman" w:eastAsia="Times New Roman" w:hAnsi="Times New Roman"/>
          <w:sz w:val="18"/>
          <w:szCs w:val="18"/>
          <w:color w:val="auto"/>
        </w:rPr>
        <w:t>. If the Company fails to take appropriate steps to prevent illegal insider trading, the Company may have the “controlling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liability for a trading violation, with civil penalties of up to the greater of $1,425,000 million or three times the profit gained or loss avoided, as well as a criminal penalty of up to $25 million. The civil penalties can extend personal liability to the Company’s directors, officers and other supervisory personnel if they are determined to have failed to take appropriate steps to prevent insider trading.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Sanctions</w:t>
      </w:r>
      <w:r>
        <w:rPr>
          <w:rFonts w:ascii="Times New Roman" w:cs="Times New Roman" w:eastAsia="Times New Roman" w:hAnsi="Times New Roman"/>
          <w:sz w:val="18"/>
          <w:szCs w:val="18"/>
          <w:color w:val="auto"/>
        </w:rPr>
        <w:t>. Failure to comply with this Policy may also subject you to Company-imposed sanctions, including dismissal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auto"/>
        </w:rPr>
        <w:t>Scope of Policy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Persons Covered</w:t>
      </w:r>
      <w:r>
        <w:rPr>
          <w:rFonts w:ascii="Times New Roman" w:cs="Times New Roman" w:eastAsia="Times New Roman" w:hAnsi="Times New Roman"/>
          <w:sz w:val="18"/>
          <w:szCs w:val="18"/>
          <w:color w:val="auto"/>
        </w:rPr>
        <w:t>. As a director, officer, employee or consultant of the Company or its subsidiaries, this Policy applies to you. The Company may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that other persons should be subject to this Policy, such as contractors who have access to material non-public information. The same restrictions that apply to you apply to your family members who reside with you, anyone else who lives in your household and any family members who do not live in your household but whose transactions in Company securities are directed by you or are subject to your influence or control (such as family trusts and parents or children who consult with you before they trade in Company securities). You are responsible for making sure that the purchase or sale of any security covered by this Policy by any such person complies with this Policy.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Companies Covered</w:t>
      </w:r>
      <w:r>
        <w:rPr>
          <w:rFonts w:ascii="Times New Roman" w:cs="Times New Roman" w:eastAsia="Times New Roman" w:hAnsi="Times New Roman"/>
          <w:sz w:val="18"/>
          <w:szCs w:val="18"/>
          <w:color w:val="auto"/>
        </w:rPr>
        <w:t>. The prohibition on insider trading in this Policy is not limited to trading in the Company’s securities. It includes trading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other companies, such as customers or suppliers of the Company and those with which the Company may be negotiating major transactions, such as an acquisition, investment or sale. Information that is not material to the Company may nevertheless be material to one of those other firms.</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Transactions Covered</w:t>
      </w:r>
      <w:r>
        <w:rPr>
          <w:rFonts w:ascii="Times New Roman" w:cs="Times New Roman" w:eastAsia="Times New Roman" w:hAnsi="Times New Roman"/>
          <w:sz w:val="18"/>
          <w:szCs w:val="18"/>
          <w:color w:val="auto"/>
        </w:rPr>
        <w:t>. Trading includes purchases and sales of stock, including stock acquired through the vesting of restricted stock 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derivatives securities such as put and call options, swaps and convertible debentures, warrants or preferred stock, and debit securities (debentures, bonds and notes). Trading also includes certain transactions under Company plans, as follows:</w:t>
      </w:r>
    </w:p>
    <w:p>
      <w:pPr>
        <w:spacing w:after="0" w:line="173" w:lineRule="exact"/>
        <w:rPr>
          <w:sz w:val="20"/>
          <w:szCs w:val="20"/>
          <w:color w:val="auto"/>
        </w:rPr>
      </w:pPr>
    </w:p>
    <w:p>
      <w:pPr>
        <w:jc w:val="both"/>
        <w:ind w:left="820" w:hanging="326"/>
        <w:spacing w:after="0" w:line="267"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 Exercises. </w:t>
      </w:r>
      <w:r>
        <w:rPr>
          <w:rFonts w:ascii="Times New Roman" w:cs="Times New Roman" w:eastAsia="Times New Roman" w:hAnsi="Times New Roman"/>
          <w:sz w:val="18"/>
          <w:szCs w:val="18"/>
          <w:color w:val="auto"/>
        </w:rPr>
        <w:t>This Policy’s trading restrictions generally do not apply to the exercise of a stock option. The trading restrictions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however, to any sale of the underlying stock or to a cashless exercise of the option through a broker, as this entails selling a portion of the underlying stock to cover the costs of exercise.</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This Policy’s trading restrictions do not apply to purchases of Company stock in the employee stock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resulting from your periodic payroll contributions to the plan under an election you made at the time of enrollment in the plan. The trading restrictions do apply to your sales of the Company stock purchased under the Plan.</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This Policy does not apply to the vesting of restricted stock, or the Company’s withholding of shares of stock to satisfy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withholding requirements upon the vesting of any restricted stock. The Policy does apply, however, to the open market sale of any portion of the underlying amount of shares received following a vesting event.</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Transactions Not Involving a Purchase or Sale. Bona fide </w:t>
      </w:r>
      <w:r>
        <w:rPr>
          <w:rFonts w:ascii="Times New Roman" w:cs="Times New Roman" w:eastAsia="Times New Roman" w:hAnsi="Times New Roman"/>
          <w:sz w:val="18"/>
          <w:szCs w:val="18"/>
          <w:color w:val="auto"/>
        </w:rPr>
        <w:t>gifts are not transactions subject to this Policy, unless the person making the gift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 of material nonpublic information and knew or was reckless in not knowing that the donee, whether it is a family member or a charity, would sell the securities before the material nonpublic information was disclosed, or the person making the gift is subject to the trading restrictions specified below under the heading “Additional Policies” and the sales by the recipient of the Company securities occur during a blackout period.</w:t>
      </w:r>
    </w:p>
    <w:p>
      <w:pPr>
        <w:spacing w:after="0" w:line="18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Transactions in mutual funds that are invested in Company securities are not transactions subject to this policy.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10b5-1 Automatic Trading Programs. </w:t>
      </w:r>
      <w:r>
        <w:rPr>
          <w:rFonts w:ascii="Times New Roman" w:cs="Times New Roman" w:eastAsia="Times New Roman" w:hAnsi="Times New Roman"/>
          <w:sz w:val="18"/>
          <w:szCs w:val="18"/>
          <w:color w:val="auto"/>
        </w:rPr>
        <w:t>Transactions in the Company’s securities that are executed pursuant to an approved Rule 10b5-1 (as</w:t>
      </w:r>
    </w:p>
    <w:p>
      <w:pPr>
        <w:spacing w:after="0" w:line="29"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defined below) trading plan under which a broker is instructed to buy or sell Company securities based on a pre-determined criteria are not subject to the prohibition on trading on the basis of material nonpublic information contained in this Policy, or to the restrictions relating to pre-clearance procedures and blackout periods. Rule 10b5-1 of the Securities Exchange Act of 1934, as amended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xml:space="preserve">”) provides an affirmative defense from insider trading liability under the federal securities laws for trading plans that meet certain requirements.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“Exception for Approved 10b5-1 Plans” on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No Trading on Inside Information</w:t>
      </w:r>
      <w:r>
        <w:rPr>
          <w:rFonts w:ascii="Times New Roman" w:cs="Times New Roman" w:eastAsia="Times New Roman" w:hAnsi="Times New Roman"/>
          <w:sz w:val="18"/>
          <w:szCs w:val="18"/>
          <w:color w:val="auto"/>
        </w:rPr>
        <w:t>. You may not trade in the securities of the Company, directly or through family members or other persons or entities,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aware of material nonpublic information relating to the Company. Similarly, you may not trade in the securities of any other company if you are aware of material nonpublic information about that company. In addition, you may not engage in “shadow trading,” which is using material nonpublic information relating to one company to trade in securities of other “economically linked” companies, such as competitors, suppliers or other business partners.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 Tipping</w:t>
      </w:r>
      <w:r>
        <w:rPr>
          <w:rFonts w:ascii="Times New Roman" w:cs="Times New Roman" w:eastAsia="Times New Roman" w:hAnsi="Times New Roman"/>
          <w:sz w:val="18"/>
          <w:szCs w:val="18"/>
          <w:color w:val="auto"/>
        </w:rPr>
        <w:t>. You may not pass material nonpublic information on to others or recommend to anyone the purchase or sale of any securities when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 of such information. This practice, known as “tipping,” also violates the securities laws and can result in the same civil and criminal penalties that apply to insider trading, even though you did not trade and did not gain any benefit from another’s trading.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Exception for Hardship</w:t>
      </w:r>
      <w:r>
        <w:rPr>
          <w:rFonts w:ascii="Times New Roman" w:cs="Times New Roman" w:eastAsia="Times New Roman" w:hAnsi="Times New Roman"/>
          <w:sz w:val="18"/>
          <w:szCs w:val="18"/>
          <w:color w:val="auto"/>
        </w:rPr>
        <w:t>. The existence of a personal financial emergency does not excuse you from compliance with this policy.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Blackout and Pre-Clearance Procedures</w:t>
      </w:r>
      <w:r>
        <w:rPr>
          <w:rFonts w:ascii="Times New Roman" w:cs="Times New Roman" w:eastAsia="Times New Roman" w:hAnsi="Times New Roman"/>
          <w:sz w:val="18"/>
          <w:szCs w:val="18"/>
          <w:color w:val="auto"/>
        </w:rPr>
        <w:t>. To help prevent inadvertent violations of the federal securities laws and to avoid even the appearance of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basis of inside information, the Company’s board of directors has adopted certain Additional Policies that apply to directors, executive officers subject to Section 16 of the Securities Exchange Act of 1934 (“executive officers”), and certain designated employees of the Company and its subsidiaries who have access to material nonpublic information about the Company. You will be notified if you are subject to these Additional Policies and will be required to certify your understanding and intent to comply.</w:t>
      </w:r>
    </w:p>
    <w:p>
      <w:pPr>
        <w:spacing w:after="0" w:line="18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Additional Policies generally allow covered persons to trade in the Company’s securities ONLY during quarterly periods beginning on the second full business day following the release of the Company’s earnings for the previous quarter and ending on the 10th day of the final month of the fiscal quarter (March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June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September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or December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as applicable) and subject to certain event-specific blackouts. Directors, executive officers and designated persons also must pre-clear all transactions in the Company’s securities with the Company’s General Counsel.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always avoid the appearance of an improper transaction to preserve the Company’s reputation for adhering to the highest standards of conduct.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Transactions in Company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the policy of the Company that the Company will not engage in transactions in Company securities while aware of material nonpublic information relating to the Company or Company securities, except for transactions authorized by and executed pursuant to Rule 10b5-1.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Material Nonpublic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that inside information has two important elements—materiality and public availability.</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Material Information</w:t>
      </w:r>
      <w:r>
        <w:rPr>
          <w:rFonts w:ascii="Times New Roman" w:cs="Times New Roman" w:eastAsia="Times New Roman" w:hAnsi="Times New Roman"/>
          <w:sz w:val="18"/>
          <w:szCs w:val="18"/>
          <w:color w:val="auto"/>
        </w:rPr>
        <w:t>. Information is material if there is a substantial likelihood that a reasonable investor would consider it important in deciding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buy, hold or sell a security. Any information that could reasonably be expected to affect the price of the security is material. Common examples of material information are:</w:t>
      </w:r>
    </w:p>
    <w:p>
      <w:pPr>
        <w:spacing w:after="0" w:line="173" w:lineRule="exact"/>
        <w:rPr>
          <w:sz w:val="20"/>
          <w:szCs w:val="20"/>
          <w:color w:val="auto"/>
        </w:rPr>
      </w:pPr>
    </w:p>
    <w:p>
      <w:pPr>
        <w:ind w:left="820" w:hanging="326"/>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projections of future earnings or losses or other earnings guidance;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that are inconsistent with the consensus expectations of the investment community;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pending or proposed merger, acquisition or tender offer or an acquisition or disposition of significant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change in management;</w:t>
      </w:r>
    </w:p>
    <w:p>
      <w:pPr>
        <w:spacing w:after="0" w:line="252" w:lineRule="exact"/>
        <w:rPr>
          <w:rFonts w:ascii="Times New Roman" w:cs="Times New Roman" w:eastAsia="Times New Roman" w:hAnsi="Times New Roman"/>
          <w:sz w:val="18"/>
          <w:szCs w:val="18"/>
          <w:color w:val="auto"/>
        </w:rPr>
      </w:pPr>
    </w:p>
    <w:p>
      <w:pPr>
        <w:ind w:left="820" w:hanging="326"/>
        <w:spacing w:after="0" w:line="284"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major events regarding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securities, including the declaration of a stock split, the announcement of a share repurchase program or the offering of additional securities;</w:t>
      </w:r>
    </w:p>
    <w:p>
      <w:pPr>
        <w:spacing w:after="0" w:line="15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severe financial liquidity problems;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actual or threatened major litigation, or the resolution of such litigation;</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major contracts, orders, suppliers, customers or finance sources, or the loss thereof;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investigation and assessment of significant cybersecurity incidents.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Nonpublic Information</w:t>
      </w:r>
      <w:r>
        <w:rPr>
          <w:rFonts w:ascii="Times New Roman" w:cs="Times New Roman" w:eastAsia="Times New Roman" w:hAnsi="Times New Roman"/>
          <w:sz w:val="18"/>
          <w:szCs w:val="18"/>
          <w:color w:val="auto"/>
        </w:rPr>
        <w:t>. Nonpublic information is information that is not generally known or available to the public. One common misconception is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 information loses its “nonpublic” status as soon as a press release is issued and disclosing the information. In fact, information is considered to be available to the public only when it has been released broadly to the marketplace (such as by a press release or an SEC filing) </w:t>
      </w:r>
      <w:r>
        <w:rPr>
          <w:rFonts w:ascii="Times New Roman" w:cs="Times New Roman" w:eastAsia="Times New Roman" w:hAnsi="Times New Roman"/>
          <w:sz w:val="18"/>
          <w:szCs w:val="18"/>
          <w:i w:val="1"/>
          <w:iCs w:val="1"/>
          <w:color w:val="auto"/>
        </w:rPr>
        <w:t>and the investing public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had time to absorb the information fully</w:t>
      </w:r>
      <w:r>
        <w:rPr>
          <w:rFonts w:ascii="Times New Roman" w:cs="Times New Roman" w:eastAsia="Times New Roman" w:hAnsi="Times New Roman"/>
          <w:sz w:val="18"/>
          <w:szCs w:val="18"/>
          <w:color w:val="auto"/>
        </w:rPr>
        <w:t>. As a general rule, information is considered nonpublic until the second full business day after the information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released. For example, if the Company announces financial earnings on a Tuesday, the first time you can buy or sell Company securities is the opening of the market on Thursday (assuming you are not aware of other material nonpublic information at that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 and Prohibited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it improper and inappropriate for those employed by or associated with the Company to engage in short-term or speculative transactions with the Company’s securities or in other transactions in the Company’s securities that may lead to inadvertent violations of the insider trading laws. Accordingly, your trading in the Company’s securities is subject to the following guidance.</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Short Sales</w:t>
      </w:r>
      <w:r>
        <w:rPr>
          <w:rFonts w:ascii="Times New Roman" w:cs="Times New Roman" w:eastAsia="Times New Roman" w:hAnsi="Times New Roman"/>
          <w:sz w:val="18"/>
          <w:szCs w:val="18"/>
          <w:color w:val="auto"/>
        </w:rPr>
        <w:t>. You may not engage in short sales of the Company’s securities (sales of securities that are not then owned), including a “sale against the box”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sale with delayed delivery).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Publicly Traded Options</w:t>
      </w:r>
      <w:r>
        <w:rPr>
          <w:rFonts w:ascii="Times New Roman" w:cs="Times New Roman" w:eastAsia="Times New Roman" w:hAnsi="Times New Roman"/>
          <w:sz w:val="18"/>
          <w:szCs w:val="18"/>
          <w:color w:val="auto"/>
        </w:rPr>
        <w:t>. You may not engage in transactions in publicly traded options, such as puts, calls and other derivative securities, on an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any other organized market.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Standing Orders</w:t>
      </w:r>
      <w:r>
        <w:rPr>
          <w:rFonts w:ascii="Times New Roman" w:cs="Times New Roman" w:eastAsia="Times New Roman" w:hAnsi="Times New Roman"/>
          <w:sz w:val="18"/>
          <w:szCs w:val="18"/>
          <w:color w:val="auto"/>
        </w:rPr>
        <w:t>. Standing, or limit, orders should be used only for a very brief period of time. A standing order placed with a broker to sell or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a specified price leaves you with no control over the timing of the transaction. A standing order transaction executed by the broker when you are aware of material nonpublic information or outside of a trading window may result in unlawful insider trading.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Margin Accounts and Pledges</w:t>
      </w:r>
      <w:r>
        <w:rPr>
          <w:rFonts w:ascii="Times New Roman" w:cs="Times New Roman" w:eastAsia="Times New Roman" w:hAnsi="Times New Roman"/>
          <w:sz w:val="18"/>
          <w:szCs w:val="18"/>
          <w:color w:val="auto"/>
        </w:rPr>
        <w:t>. A margin or foreclosure sale that occurs when you are aware of material nonpublic information may, under 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result in unlawful insider trading. Because of this danger, you may not hold the Company’s securities in a margin account or pledge the Company’s securities as collateral for a loan without the preapproval of the Company’s General Counsel, which is only expected to be granted under very limited circumstances.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Hedging Transactions</w:t>
      </w:r>
      <w:r>
        <w:rPr>
          <w:rFonts w:ascii="Times New Roman" w:cs="Times New Roman" w:eastAsia="Times New Roman" w:hAnsi="Times New Roman"/>
          <w:sz w:val="18"/>
          <w:szCs w:val="18"/>
          <w:color w:val="auto"/>
        </w:rPr>
        <w:t>. Certain forms of hedging or monetization transactions, such as zero-cost collars, forward sale contracts and equity swaps,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the establishment of a short position in the Company’s securities and may limit or eliminate your ability to profit from an increase in the value of the Company’s securities. Such transactions are complex and involve many aspects of the federal securities laws, including filing and disclosure requirements. Accordingly, you are prohibited from engaging in hedging transactions involving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your transactions in Company securities even after you have terminated employment or the provision of other services to the Company or a subsidiary as follows: if you are aware of material nonpublic information when your employment or service relationship terminates, you may not trade in Company securities until that information has become public or is no longer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Unauthorized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as confidential and proprietary to the Company. Inadvertent disclosure of confidential or inside information may expose the Company and you to significant risk of investigation and litigation.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Individual Responsibility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 Each individual is responsible for making sure that he or she complies with this Policy, and that any family member, household member or entity whose transactions are subject to this Policy, as discussed herein, also comply with this Policy. In all cases, the responsibility for determining whether an individual is in possession of material nonpublic information rests with that individual, and any action on the part of the Company, its General Counsel or any other employee or director pursuant to this Policy (or otherwise) does not in any way constitute legal advice or insulate an individual from liability under applicable securities laws. In addition to the severe legal penalties described herein, the Company may take disciplinary action, including dismissal for cause, for any conduct prohibited by this Policy or applicable securities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Assistance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compliance with this Policy is of the utmost importance both for you and for the Company. If you have any questions about this Policy or its application to any proposed transaction, you may obtain additional guidance from the Company’s General Counsel. Do not try to resolve uncertainties on your own, as the rules relating to insider trading are often complex, not always intuitive and carry severe consequences.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Policies and Restrictions Applicable to Executive Officers, Directors and Others Designated by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help prevent inadvertent violations of the federal securities laws and to avoid even the appearance of trading on inside information, the Company’s board of directors has adopted the following Additional Policies that apply to directors, executive officers and certain designated employees, contractors and consultants of the Company and its subsidiaries (“Covered Persons”) who have access to material nonpublic information about the Company. The Company may from time to time designate additional individuals as Covered Persons and will notify such persons of these additional obligations and restrictions as necessary to reflect changes of status or the resignation of individuals. The Company’s General Counsel will maintain a list of persons subject to these Additional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Additional Policies are in addition to and supplement the Company’s Policy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Covered Persons, together with their family members and other members of their household, may not engage in any transaction involving the Company’s securities (including a stock plan transaction such as an option exercise, or a gift, loan, pledge, contribution to a trust or any other transfer) without first obtaining pre-clearance of the transaction from the Company’s General Counsel. A request for pre-clearance should be submitted to the General Counsel by email at least two business days in advance of the proposed transaction. The General Counsel is under no obligation to approve a trade submitted for pre-clearance and may determine not to permit the trade. The General Counsel may not trade in Company securities unless the Chief Financial Officer has approved the trade in accordance with the procedures set forth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 Windows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Covered Persons are subject to the following blackout procedures.</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Quarterly Trading Windows</w:t>
      </w:r>
      <w:r>
        <w:rPr>
          <w:rFonts w:ascii="Times New Roman" w:cs="Times New Roman" w:eastAsia="Times New Roman" w:hAnsi="Times New Roman"/>
          <w:sz w:val="18"/>
          <w:szCs w:val="18"/>
          <w:color w:val="auto"/>
        </w:rPr>
        <w:t>. The Company’s announcement of its quarterly financial results almost always has the potential to have a material effect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for the Company’s securities. Therefore, to avoid even the appearance of trading on the basis of material nonpublic information, you may only trade in the Company’s securities during periods beginning on the second full business day following the release of the Company’s quarterly financial results and ending on the 10th day of the final month of the fiscal quarter (March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June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September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or December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as applicable).</w:t>
      </w:r>
    </w:p>
    <w:p>
      <w:pPr>
        <w:spacing w:after="0" w:line="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Vesting. </w:t>
      </w:r>
      <w:r>
        <w:rPr>
          <w:rFonts w:ascii="Times New Roman" w:cs="Times New Roman" w:eastAsia="Times New Roman" w:hAnsi="Times New Roman"/>
          <w:sz w:val="18"/>
          <w:szCs w:val="18"/>
          <w:color w:val="auto"/>
        </w:rPr>
        <w:t>Notwithstanding anything contained herein, if a restricted stock award vests in whole or in part outside of a quarterly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window, the Company is permitted to withhold shares of stock of Covered Persons to satisfy the tax withholding obligations due upon the vesting of such equity awards.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Event-Specific Blackouts</w:t>
      </w:r>
      <w:r>
        <w:rPr>
          <w:rFonts w:ascii="Times New Roman" w:cs="Times New Roman" w:eastAsia="Times New Roman" w:hAnsi="Times New Roman"/>
          <w:sz w:val="18"/>
          <w:szCs w:val="18"/>
          <w:color w:val="auto"/>
        </w:rPr>
        <w:t>. The Company may on occasion issue potentially material information by means of a press release, SEC filing on Form 8-K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Covered Persons. So long as the event remains material and nonpublic, the persons who are aware of the event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that person’s request will be denied because of the blackout and that person should not disclose the existence of the blackout to any other person. The failure of the General Counsel to designate a person as being subject to an event-specific blackout will not relieve that person of the obligation not to trade while aware of material nonpublic information.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a blackout period is not in effect and a quarterly trading window is open, at no time may you trade in Company securities if you are aware of material nonpublic information about the Company.</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Hardship Exceptions</w:t>
      </w:r>
      <w:r>
        <w:rPr>
          <w:rFonts w:ascii="Times New Roman" w:cs="Times New Roman" w:eastAsia="Times New Roman" w:hAnsi="Times New Roman"/>
          <w:sz w:val="18"/>
          <w:szCs w:val="18"/>
          <w:color w:val="auto"/>
        </w:rPr>
        <w:t>. A Covered Person who is subject to a quarterly trading window and who has an unexpected and urgent need to sell Company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generate cash may, in appropriate circumstances, be permitted to sell Company stock even outside the quarterly trading window. Hardship exceptions may be granted only by the General Counsel and must be requested at least two days in advance of the proposed trade. A hardship exception may be granted only if the General Counsel concludes that the Company’s earnings information for the applicable quarter does not constitute material nonpublic information. Under no circumstances will a hardship exception be granted during an event-specific blackout period or if the individual is otherwise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Exception for Approved 10b5-1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Trades by Covered Persons in the Company’s securities that are executed pursuant to an approved Rule 10b5-1 plan are not subject to the prohibition on trading on the basis of material nonpublic information contained in this Policy or to the restrictions set forth above relating to pre-clearance procedures, quarterly trading windows and blackout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10b5-1 provides an affirmative defense from insider trading liability under the federal securities laws for trading plans that meet certain requirements. In general, a Rule 10b5-1 plan must be entered into before you are aware of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requires that all Rule 10b5-1 plans be approved in writing in advance by the General Counsel. As part of the pre-approval process, the Company may require that the Rule 10b5-1 plan be instituted and maintained through the brokerage firm the Company uses for its equity compensation plans. Directors and executive officers must also inform the Company’s General Counsel in writing of the termination of a plan or any modification to the amount, price, and or timing terms of an existing plan. Rule 10b5-1 plans generally may not be adopted during a period when a quarterly trading window is not open or an event specific blackout period is in effect and may only be adopted before the person adopting the plan is aware of material nonpublic information. In addition, Rule 10b5-1 requires a minimum “cooling off” period between the adoption or modification of a Rule 10b5-1 plan and commencement of any transactions under the plan. Directors and executive officers are prohibited from trading under a Rule 10b5-1 plan until the later of</w:t>
      </w:r>
    </w:p>
    <w:p>
      <w:pPr>
        <w:spacing w:after="0" w:line="3" w:lineRule="exact"/>
        <w:rPr>
          <w:sz w:val="20"/>
          <w:szCs w:val="20"/>
          <w:color w:val="auto"/>
        </w:rPr>
      </w:pPr>
    </w:p>
    <w:p>
      <w:pPr>
        <w:jc w:val="both"/>
        <w:ind w:firstLine="8"/>
        <w:spacing w:after="0" w:line="253" w:lineRule="auto"/>
        <w:tabs>
          <w:tab w:leader="none" w:pos="2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 following the adoption or modification of the plan or (ii) two (2) business days following the Company’s disclosure of its financial results for the fiscal quarter in which the Rule 10b5-1 plan was adopted or modified in an Annual Report on Form 10-K or a Quarterly Report on Form 10-Q, but not to exceed 120 days. Persons other than directors or executive officers that are subject to this Policy are subject to a thirty (30) cooling off period after the adoption or modification of a Rule 10b5-1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aware of material nonpublic information when you terminate employment or services, you may not trade in the Company’s securities until that information has become public or is no longer material. In all other respects, the procedures set forth in this Policy will cease to apply to your transactions in Company securities upon your termination of employment or services if your termination occurs during a quarterly trading window. If your termination does not occur during a trading window, the procedures set forth in this Policy will apply to your transactions in Company securities until the next quarterly trading window opens.</w:t>
      </w:r>
    </w:p>
    <w:p>
      <w:pPr>
        <w:sectPr>
          <w:pgSz w:w="11900" w:h="16838" w:orient="portrait"/>
          <w:cols w:equalWidth="0" w:num="1">
            <w:col w:w="11240"/>
          </w:cols>
          <w:pgMar w:left="320" w:top="576"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gridSpan w:val="3"/>
          </w:tcPr>
          <w:p>
            <w:pPr>
              <w:ind w:left="2820"/>
              <w:spacing w:after="0"/>
              <w:rPr>
                <w:sz w:val="20"/>
                <w:szCs w:val="20"/>
                <w:color w:val="auto"/>
              </w:rPr>
            </w:pPr>
            <w:r>
              <w:rPr>
                <w:rFonts w:ascii="Times New Roman" w:cs="Times New Roman" w:eastAsia="Times New Roman" w:hAnsi="Times New Roman"/>
                <w:sz w:val="18"/>
                <w:szCs w:val="18"/>
                <w:color w:val="auto"/>
                <w:w w:val="99"/>
              </w:rPr>
              <w:t>EXHIBIT 21.1</w:t>
            </w:r>
          </w:p>
        </w:tc>
        <w:tc>
          <w:tcPr>
            <w:tcW w:w="0" w:type="dxa"/>
            <w:vAlign w:val="bottom"/>
          </w:tcPr>
          <w:p>
            <w:pPr>
              <w:spacing w:after="0"/>
              <w:rPr>
                <w:sz w:val="1"/>
                <w:szCs w:val="1"/>
                <w:color w:val="auto"/>
              </w:rPr>
            </w:pPr>
          </w:p>
        </w:tc>
      </w:tr>
      <w:tr>
        <w:trPr>
          <w:trHeight w:val="432"/>
        </w:trPr>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7"/>
              </w:rPr>
              <w:t>State of</w:t>
            </w: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auto"/>
                <w:w w:val="99"/>
              </w:rPr>
              <w:t>Incorporation</w:t>
            </w:r>
          </w:p>
        </w:tc>
        <w:tc>
          <w:tcPr>
            <w:tcW w:w="160" w:type="dxa"/>
            <w:vAlign w:val="bottom"/>
          </w:tcPr>
          <w:p>
            <w:pPr>
              <w:spacing w:after="0"/>
              <w:rPr>
                <w:sz w:val="16"/>
                <w:szCs w:val="16"/>
                <w:color w:val="auto"/>
              </w:rPr>
            </w:pPr>
          </w:p>
        </w:tc>
        <w:tc>
          <w:tcPr>
            <w:tcW w:w="3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Names Under Which Subsidiary Does Business</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Alabama, Inc.</w:t>
            </w:r>
          </w:p>
        </w:tc>
        <w:tc>
          <w:tcPr>
            <w:tcW w:w="346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06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Rush Truck Center, Mobile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Mobile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Arizona, Inc.</w:t>
            </w:r>
          </w:p>
        </w:tc>
        <w:tc>
          <w:tcPr>
            <w:tcW w:w="346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0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Rush Truck Center, Flagstaff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Flagstaff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Truck Center, Phoenix</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Phoenix</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Truck Center, Phoenix East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Phoenix East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Truck Center, Tucson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Tucson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Truck Center, Yuma</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Yuma</w:t>
            </w:r>
          </w:p>
        </w:tc>
        <w:tc>
          <w:tcPr>
            <w:tcW w:w="0" w:type="dxa"/>
            <w:vAlign w:val="bottom"/>
          </w:tcPr>
          <w:p>
            <w:pPr>
              <w:spacing w:after="0"/>
              <w:rPr>
                <w:sz w:val="1"/>
                <w:szCs w:val="1"/>
                <w:color w:val="auto"/>
              </w:rPr>
            </w:pPr>
          </w:p>
        </w:tc>
      </w:tr>
      <w:tr>
        <w:trPr>
          <w:trHeight w:val="198"/>
        </w:trPr>
        <w:tc>
          <w:tcPr>
            <w:tcW w:w="3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Arkansas, Inc.</w:t>
            </w:r>
          </w:p>
        </w:tc>
        <w:tc>
          <w:tcPr>
            <w:tcW w:w="346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06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Rush Truck Center, Jonesboro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Lowell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Isuzu Trucks, Springdale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North Little Rock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Russellville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Rush  Medium  Duty  Truck  Centers  of</w:t>
            </w:r>
          </w:p>
        </w:tc>
        <w:tc>
          <w:tcPr>
            <w:tcW w:w="346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0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Rush Truck Center, Ceres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California, Inc.</w:t>
            </w: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California, Inc.</w:t>
            </w:r>
          </w:p>
        </w:tc>
        <w:tc>
          <w:tcPr>
            <w:tcW w:w="346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06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Rush Truck Center, Fontana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Fontana Collision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Medium Duty Truck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Isuzu Trucks,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Towing Systems,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Fontana Used Trucks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Fontana Vocational Service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Otay Mesa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Otay Mesa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Ventura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Ventura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Truck Center,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Isuzu Trucks,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Rush Peterbilt Truck Center, Whittier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Rush Medium Duty Truck Centers of</w:t>
            </w:r>
          </w:p>
        </w:tc>
        <w:tc>
          <w:tcPr>
            <w:tcW w:w="346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0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Rush Medium Duty Truck Center, Denver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Colorado, Inc.</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Medium Duty Ford Trucks, Denver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Rush Towing Systems, Denver</w:t>
            </w:r>
          </w:p>
        </w:tc>
        <w:tc>
          <w:tcPr>
            <w:tcW w:w="0" w:type="dxa"/>
            <w:vAlign w:val="bottom"/>
          </w:tcPr>
          <w:p>
            <w:pPr>
              <w:spacing w:after="0"/>
              <w:rPr>
                <w:sz w:val="1"/>
                <w:szCs w:val="1"/>
                <w:color w:val="auto"/>
              </w:rPr>
            </w:pPr>
          </w:p>
        </w:tc>
      </w:tr>
      <w:tr>
        <w:trPr>
          <w:trHeight w:val="574"/>
        </w:trPr>
        <w:tc>
          <w:tcPr>
            <w:tcW w:w="1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Colorado, Inc.</w:t>
            </w:r>
          </w:p>
        </w:tc>
        <w:tc>
          <w:tcPr>
            <w:tcW w:w="2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Colorado Springs</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Colorado Springs</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Denver</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Denver</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Isuzu Trucks, Denver</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Greeley</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Greeley</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Pueblo</w:t>
            </w:r>
          </w:p>
        </w:tc>
      </w:tr>
      <w:tr>
        <w:trPr>
          <w:trHeight w:val="234"/>
        </w:trPr>
        <w:tc>
          <w:tcPr>
            <w:tcW w:w="33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Pueblo</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Florida, Inc.</w:t>
            </w:r>
          </w:p>
        </w:tc>
        <w:tc>
          <w:tcPr>
            <w:tcW w:w="266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Haines City</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Haines City</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Jacksonville</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Jacksonville</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Jacksonville East</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Jacksonville East</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Lake City</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Lake City</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Orlando</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Orlando</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Trucks, Orlando</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 Center, Orlando</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Orlando Light &amp; Medium</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Duty</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Orlando North</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Trucks, Orlando North</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Orlando South</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Orlando South</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Orlando Used Trucks</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Tampa</w:t>
            </w:r>
          </w:p>
        </w:tc>
      </w:tr>
      <w:tr>
        <w:trPr>
          <w:trHeight w:val="234"/>
        </w:trPr>
        <w:tc>
          <w:tcPr>
            <w:tcW w:w="3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Tampa</w:t>
            </w: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Georgia, Inc.</w:t>
            </w:r>
          </w:p>
        </w:tc>
        <w:tc>
          <w:tcPr>
            <w:tcW w:w="2660" w:type="dxa"/>
            <w:vAlign w:val="bottom"/>
            <w:shd w:val="clear" w:color="auto" w:fill="CCEEFF"/>
          </w:tcPr>
          <w:p>
            <w:pPr>
              <w:ind w:left="6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Bus Center, Atlanta</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Atlanta Collision Center</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Atlanta</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Isuzu Trucks, Atlanta</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Medium Duty Truck Center, Atlanta</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Augusta</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Doraville</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Isuzu Trucks, Doraville</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Gainesville</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Macon</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Smyrna</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Tifton</w:t>
            </w:r>
          </w:p>
        </w:tc>
      </w:tr>
      <w:tr>
        <w:trPr>
          <w:trHeight w:val="216"/>
        </w:trPr>
        <w:tc>
          <w:tcPr>
            <w:tcW w:w="3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Bus Center, Tifton</w:t>
            </w:r>
          </w:p>
        </w:tc>
      </w:tr>
      <w:tr>
        <w:trPr>
          <w:trHeight w:val="234"/>
        </w:trPr>
        <w:tc>
          <w:tcPr>
            <w:tcW w:w="33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Valdosta</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Idaho, Inc.</w:t>
            </w:r>
          </w:p>
        </w:tc>
        <w:tc>
          <w:tcPr>
            <w:tcW w:w="266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International Truck Center, Boise</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Boise</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International Truck Center, Idaho Falls</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Idaho Falls</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International Truck Center, Lewiston</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Lewiston</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International Truck Center, Twin Falls</w:t>
            </w:r>
          </w:p>
        </w:tc>
      </w:tr>
      <w:tr>
        <w:trPr>
          <w:trHeight w:val="234"/>
        </w:trPr>
        <w:tc>
          <w:tcPr>
            <w:tcW w:w="3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Twin Falls</w:t>
            </w:r>
          </w:p>
        </w:tc>
      </w:tr>
      <w:tr>
        <w:trPr>
          <w:trHeight w:val="574"/>
        </w:trPr>
        <w:tc>
          <w:tcPr>
            <w:tcW w:w="3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9"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Illinois, Inc.</w:t>
            </w:r>
          </w:p>
        </w:tc>
        <w:tc>
          <w:tcPr>
            <w:tcW w:w="2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House of Trucks, Willowbrook</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Bloomington</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Carol Stream</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Champaign</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Chicago</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Chicago Light and Medium</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Duty</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Effingham</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Elk Grove</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Huntley</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Joliet</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Quincy</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Pontoon Beach</w:t>
            </w:r>
          </w:p>
        </w:tc>
      </w:tr>
      <w:tr>
        <w:trPr>
          <w:trHeight w:val="234"/>
        </w:trPr>
        <w:tc>
          <w:tcPr>
            <w:tcW w:w="3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Springfield</w:t>
            </w: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Indiana, Inc.</w:t>
            </w:r>
          </w:p>
        </w:tc>
        <w:tc>
          <w:tcPr>
            <w:tcW w:w="244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Gary</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Indianapolis</w:t>
            </w: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Kansas, Inc.</w:t>
            </w:r>
          </w:p>
        </w:tc>
        <w:tc>
          <w:tcPr>
            <w:tcW w:w="24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Olathe</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Salina</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Topeka</w:t>
            </w:r>
          </w:p>
        </w:tc>
      </w:tr>
      <w:tr>
        <w:trPr>
          <w:trHeight w:val="234"/>
        </w:trPr>
        <w:tc>
          <w:tcPr>
            <w:tcW w:w="3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Wichita</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Kentucky, Inc.</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Bowling Green</w:t>
            </w: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Missouri, Inc.</w:t>
            </w:r>
          </w:p>
        </w:tc>
        <w:tc>
          <w:tcPr>
            <w:tcW w:w="24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Cape Girardeau</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Jefferson City</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Joplin</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Kansas City</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Kansas City Used Truck</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St. Joseph</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St. Peters</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Springfield</w:t>
            </w:r>
          </w:p>
        </w:tc>
      </w:tr>
      <w:tr>
        <w:trPr>
          <w:trHeight w:val="234"/>
        </w:trPr>
        <w:tc>
          <w:tcPr>
            <w:tcW w:w="3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West Plains</w:t>
            </w: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Nebraska, Inc.</w:t>
            </w:r>
          </w:p>
        </w:tc>
        <w:tc>
          <w:tcPr>
            <w:tcW w:w="244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Grand Island</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North Platte</w:t>
            </w: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Nevada, Inc.</w:t>
            </w:r>
          </w:p>
        </w:tc>
        <w:tc>
          <w:tcPr>
            <w:tcW w:w="24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Las Vegas</w:t>
            </w:r>
          </w:p>
        </w:tc>
      </w:tr>
      <w:tr>
        <w:trPr>
          <w:trHeight w:val="234"/>
        </w:trPr>
        <w:tc>
          <w:tcPr>
            <w:tcW w:w="3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Las Vegas</w:t>
            </w: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New Mexico, Inc.</w:t>
            </w:r>
          </w:p>
        </w:tc>
        <w:tc>
          <w:tcPr>
            <w:tcW w:w="244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Albuquerque</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Albuquerque</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Farmington</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Farmington</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Las Cruces</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Las Cruces</w:t>
            </w: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North Carolina, Inc.</w:t>
            </w:r>
          </w:p>
        </w:tc>
        <w:tc>
          <w:tcPr>
            <w:tcW w:w="24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Charlotte</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International Truck Center, Charlotte</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Isuzu Trucks, Charlotte</w:t>
            </w:r>
          </w:p>
        </w:tc>
      </w:tr>
      <w:tr>
        <w:trPr>
          <w:trHeight w:val="216"/>
        </w:trPr>
        <w:tc>
          <w:tcPr>
            <w:tcW w:w="36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Charlotte Collision Center</w:t>
            </w:r>
          </w:p>
        </w:tc>
      </w:tr>
      <w:tr>
        <w:trPr>
          <w:trHeight w:val="234"/>
        </w:trPr>
        <w:tc>
          <w:tcPr>
            <w:tcW w:w="36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Hickory</w:t>
            </w: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Ohio, Inc.</w:t>
            </w:r>
          </w:p>
        </w:tc>
        <w:tc>
          <w:tcPr>
            <w:tcW w:w="244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Akron</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Akron</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Cincinnati</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Cincinnati</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Trucks, Cincinnati</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Cleveland</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Cleveland</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Columbus</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Dayton</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Dayton</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Trucks, Dayton</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Lima</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Lima</w:t>
            </w:r>
          </w:p>
        </w:tc>
      </w:tr>
      <w:tr>
        <w:trPr>
          <w:trHeight w:val="574"/>
        </w:trPr>
        <w:tc>
          <w:tcPr>
            <w:tcW w:w="3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9"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Oklahoma, Inc.</w:t>
            </w:r>
          </w:p>
        </w:tc>
        <w:tc>
          <w:tcPr>
            <w:tcW w:w="2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Perfection Equipment</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Perfection   Truck   Parts   &amp;   Equipment,</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Oklahoma City</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Perfection Crane Repair</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Ardmore</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Ardmore</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Oklahoma City</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Oklahoma City</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Isuzu Trucks, Oklahoma City</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Tulsa</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Tulsa</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Rigging</w:t>
            </w:r>
          </w:p>
        </w:tc>
      </w:tr>
      <w:tr>
        <w:trPr>
          <w:trHeight w:val="234"/>
        </w:trPr>
        <w:tc>
          <w:tcPr>
            <w:tcW w:w="35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Used Truck Center, Tulsa</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Pennsylvania, Inc.</w:t>
            </w:r>
          </w:p>
        </w:tc>
        <w:tc>
          <w:tcPr>
            <w:tcW w:w="2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None</w:t>
            </w: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Tennessee, Inc.</w:t>
            </w:r>
          </w:p>
        </w:tc>
        <w:tc>
          <w:tcPr>
            <w:tcW w:w="250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200" w:type="dxa"/>
            <w:vAlign w:val="bottom"/>
            <w:shd w:val="clear" w:color="auto" w:fill="CCEEFF"/>
          </w:tcPr>
          <w:p>
            <w:pPr>
              <w:ind w:left="1280"/>
              <w:spacing w:after="0" w:line="198" w:lineRule="exact"/>
              <w:rPr>
                <w:sz w:val="20"/>
                <w:szCs w:val="20"/>
                <w:color w:val="auto"/>
              </w:rPr>
            </w:pPr>
            <w:r>
              <w:rPr>
                <w:rFonts w:ascii="Times New Roman" w:cs="Times New Roman" w:eastAsia="Times New Roman" w:hAnsi="Times New Roman"/>
                <w:sz w:val="18"/>
                <w:szCs w:val="18"/>
                <w:color w:val="auto"/>
              </w:rPr>
              <w:t>Rush Truck Center, Memphis</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Memphis Collision Center</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Memphis West</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Truck Center, Nashville</w:t>
            </w:r>
          </w:p>
        </w:tc>
      </w:tr>
      <w:tr>
        <w:trPr>
          <w:trHeight w:val="216"/>
        </w:trPr>
        <w:tc>
          <w:tcPr>
            <w:tcW w:w="3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Nashville</w:t>
            </w:r>
          </w:p>
        </w:tc>
      </w:tr>
      <w:tr>
        <w:trPr>
          <w:trHeight w:val="234"/>
        </w:trPr>
        <w:tc>
          <w:tcPr>
            <w:tcW w:w="35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5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Rush Towing Systems, Nashville</w:t>
            </w: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Texas, L.P.</w:t>
            </w:r>
          </w:p>
        </w:tc>
        <w:tc>
          <w:tcPr>
            <w:tcW w:w="250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Texas</w:t>
            </w:r>
          </w:p>
        </w:tc>
        <w:tc>
          <w:tcPr>
            <w:tcW w:w="5200" w:type="dxa"/>
            <w:vAlign w:val="bottom"/>
          </w:tcPr>
          <w:p>
            <w:pPr>
              <w:ind w:left="1280"/>
              <w:spacing w:after="0" w:line="198" w:lineRule="exact"/>
              <w:rPr>
                <w:sz w:val="20"/>
                <w:szCs w:val="20"/>
                <w:color w:val="auto"/>
              </w:rPr>
            </w:pPr>
            <w:r>
              <w:rPr>
                <w:rFonts w:ascii="Times New Roman" w:cs="Times New Roman" w:eastAsia="Times New Roman" w:hAnsi="Times New Roman"/>
                <w:sz w:val="18"/>
                <w:szCs w:val="18"/>
                <w:color w:val="auto"/>
              </w:rPr>
              <w:t>Custom Vehicle Solutions</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Rig Tough Used Trucks, Dallas</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House of Trucks, Dallas</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Crane and Refuse Systems International</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Abilene</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Abilene</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Amarillo</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Amarillo</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Arlington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Arlington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Arlington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Austin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Austin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Trucks, Austin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Austin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Austin North</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Austin North</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Beaumont</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Beaumont</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Brownsville</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Brownsville</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Bryan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College Station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College Station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Trucks, College Station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Corpus Christi</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Corpus Christi</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Isuzu Trucks, Corpus Christi</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Bus Center, Corpus Christi</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Truck Center, Cotulla</w:t>
            </w:r>
          </w:p>
        </w:tc>
      </w:tr>
      <w:tr>
        <w:trPr>
          <w:trHeight w:val="234"/>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Rush Peterbilt Truck Center, Cotulla</w:t>
            </w:r>
          </w:p>
        </w:tc>
      </w:tr>
      <w:tr>
        <w:trPr>
          <w:trHeight w:val="790"/>
        </w:trPr>
        <w:tc>
          <w:tcPr>
            <w:tcW w:w="3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9" w:right="339" w:bottom="1440" w:gutter="0" w:footer="0" w:header="0"/>
        </w:sectPr>
      </w:pPr>
    </w:p>
    <w:bookmarkStart w:id="101" w:name="page102"/>
    <w:bookmarkEnd w:id="101"/>
    <w:p>
      <w:pPr>
        <w:ind w:left="6200"/>
        <w:spacing w:after="0"/>
        <w:rPr>
          <w:sz w:val="20"/>
          <w:szCs w:val="20"/>
          <w:color w:val="auto"/>
        </w:rPr>
      </w:pPr>
      <w:r>
        <w:rPr>
          <w:rFonts w:ascii="Times New Roman" w:cs="Times New Roman" w:eastAsia="Times New Roman" w:hAnsi="Times New Roman"/>
          <w:sz w:val="18"/>
          <w:szCs w:val="18"/>
          <w:color w:val="auto"/>
        </w:rPr>
        <w:t>Rush Truck Center, Dalhart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Dalhart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Dallas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Dallas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Medium Duty Truck Center, Dallas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Isuzu Trucks, Dallas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Dallas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Dallas #2</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Dallas Light and Medium</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Duty</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Dallas Medium Duty</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Dallas South</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Dallas TRP</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Dallas South</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Denton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El Paso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El Paso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Isuzu Trucks, El Paso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Fort Worth</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Fort Worth</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Fort Worth</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Houston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Houston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Houston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Towing Systems, Houston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Houston Used Trucks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Houston Medium Duty</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Houston Northwest</w:t>
      </w:r>
    </w:p>
    <w:p>
      <w:pPr>
        <w:spacing w:after="0" w:line="9" w:lineRule="exact"/>
        <w:rPr>
          <w:sz w:val="20"/>
          <w:szCs w:val="20"/>
          <w:color w:val="auto"/>
        </w:rPr>
      </w:pPr>
    </w:p>
    <w:p>
      <w:pPr>
        <w:ind w:left="6200"/>
        <w:spacing w:after="0"/>
        <w:tabs>
          <w:tab w:leader="none" w:pos="6780" w:val="left"/>
          <w:tab w:leader="none" w:pos="7640" w:val="left"/>
          <w:tab w:leader="none" w:pos="8280" w:val="left"/>
          <w:tab w:leader="none" w:pos="9040" w:val="left"/>
        </w:tabs>
        <w:rPr>
          <w:sz w:val="20"/>
          <w:szCs w:val="20"/>
          <w:color w:val="auto"/>
        </w:rPr>
      </w:pPr>
      <w:r>
        <w:rPr>
          <w:rFonts w:ascii="Times New Roman" w:cs="Times New Roman" w:eastAsia="Times New Roman" w:hAnsi="Times New Roman"/>
          <w:sz w:val="18"/>
          <w:szCs w:val="18"/>
          <w:color w:val="auto"/>
        </w:rPr>
        <w:t>Rush</w:t>
        <w:tab/>
        <w:t>Peterbilt</w:t>
        <w:tab/>
        <w:t>Truck</w:t>
        <w:tab/>
        <w:t>Center,</w:t>
        <w:tab/>
        <w:t>Houston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Northwest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Laredo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Laredo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Laredo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Laredo Northwest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Laredo Northwest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Lubbock</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Lubbock</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Lufkin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Lufkin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Lufkin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Odessa</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Odessa</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Pharr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Pharr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Pharr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San Antonio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San Antonio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San Antonio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Refuse Systems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Towing Systems, San Antonio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Sealy</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Sealy</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Isuzu Trucks, Sealy</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Sealy</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Texarkana</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Texarkana</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Texarkana</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Tyler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Tyler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Tyler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Victoria</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Victoria</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Waco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Medium Duty Truck Center, Waco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Waco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Isuzu Trucks, Waco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Waco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Truck Center, Wichita Falls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Bus Center, Wichita Falls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Rush Peterbilt Truck Center, Wichita Falls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World Wide 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1440" w:top="580" w:right="779" w:bottom="348"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Utah, Inc.</w:t>
            </w:r>
          </w:p>
        </w:tc>
        <w:tc>
          <w:tcPr>
            <w:tcW w:w="2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Ogden</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Truck Center, Ogden</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Truck Center, Farr West</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Salt Lake City</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Truck Center, Salt Lake City</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Springville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Truck Center, Springville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St. George</w:t>
            </w:r>
          </w:p>
        </w:tc>
      </w:tr>
      <w:tr>
        <w:trPr>
          <w:trHeight w:val="234"/>
        </w:trPr>
        <w:tc>
          <w:tcPr>
            <w:tcW w:w="34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Truck Center, St. George</w:t>
            </w: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Virginia, Inc.</w:t>
            </w:r>
          </w:p>
        </w:tc>
        <w:tc>
          <w:tcPr>
            <w:tcW w:w="28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960" w:type="dxa"/>
            <w:vAlign w:val="bottom"/>
          </w:tcPr>
          <w:p>
            <w:pPr>
              <w:ind w:left="1040"/>
              <w:spacing w:after="0" w:line="198" w:lineRule="exact"/>
              <w:rPr>
                <w:sz w:val="20"/>
                <w:szCs w:val="20"/>
                <w:color w:val="auto"/>
              </w:rPr>
            </w:pPr>
            <w:r>
              <w:rPr>
                <w:rFonts w:ascii="Times New Roman" w:cs="Times New Roman" w:eastAsia="Times New Roman" w:hAnsi="Times New Roman"/>
                <w:sz w:val="18"/>
                <w:szCs w:val="18"/>
                <w:color w:val="auto"/>
              </w:rPr>
              <w:t>Rush Truck Center, Chester</w:t>
            </w:r>
          </w:p>
        </w:tc>
      </w:tr>
      <w:tr>
        <w:trPr>
          <w:trHeight w:val="234"/>
        </w:trPr>
        <w:tc>
          <w:tcPr>
            <w:tcW w:w="3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Richmond</w:t>
            </w: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Leasing, Inc.</w:t>
            </w:r>
          </w:p>
        </w:tc>
        <w:tc>
          <w:tcPr>
            <w:tcW w:w="284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4960" w:type="dxa"/>
            <w:vAlign w:val="bottom"/>
            <w:shd w:val="clear" w:color="auto" w:fill="CCEEFF"/>
          </w:tcPr>
          <w:p>
            <w:pPr>
              <w:ind w:left="1040"/>
              <w:spacing w:after="0" w:line="198" w:lineRule="exact"/>
              <w:rPr>
                <w:sz w:val="20"/>
                <w:szCs w:val="20"/>
                <w:color w:val="auto"/>
              </w:rPr>
            </w:pPr>
            <w:r>
              <w:rPr>
                <w:rFonts w:ascii="Times New Roman" w:cs="Times New Roman" w:eastAsia="Times New Roman" w:hAnsi="Times New Roman"/>
                <w:sz w:val="18"/>
                <w:szCs w:val="18"/>
                <w:color w:val="auto"/>
              </w:rPr>
              <w:t>Rush Crane Systems</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Idealease, Charlotte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Rush Refuse Systems</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Augusta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Boise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Champaign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Charlotte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Chicago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Cincinnati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Cleveland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Columbus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Dayton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Effingham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Hickory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Indianapolis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Indy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Joplin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Kansas City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Lima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Lowell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Macon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Memphis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Norfolk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North Little Rock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Quincy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Richmond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Salina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Salt Lake City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Springfield Idealease</w:t>
            </w:r>
          </w:p>
        </w:tc>
      </w:tr>
      <w:tr>
        <w:trPr>
          <w:trHeight w:val="216"/>
        </w:trPr>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St. Louis Idealease</w:t>
            </w:r>
          </w:p>
        </w:tc>
      </w:tr>
      <w:tr>
        <w:trPr>
          <w:trHeight w:val="234"/>
        </w:trPr>
        <w:tc>
          <w:tcPr>
            <w:tcW w:w="34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49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Wichita Idealease</w:t>
            </w: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Centres of Canada Limited</w:t>
            </w:r>
          </w:p>
        </w:tc>
        <w:tc>
          <w:tcPr>
            <w:tcW w:w="284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Ontario, Canada</w:t>
            </w:r>
          </w:p>
        </w:tc>
        <w:tc>
          <w:tcPr>
            <w:tcW w:w="4960" w:type="dxa"/>
            <w:vAlign w:val="bottom"/>
          </w:tcPr>
          <w:p>
            <w:pPr>
              <w:ind w:left="1040"/>
              <w:spacing w:after="0" w:line="198" w:lineRule="exact"/>
              <w:rPr>
                <w:sz w:val="20"/>
                <w:szCs w:val="20"/>
                <w:color w:val="auto"/>
              </w:rPr>
            </w:pPr>
            <w:r>
              <w:rPr>
                <w:rFonts w:ascii="Times New Roman" w:cs="Times New Roman" w:eastAsia="Times New Roman" w:hAnsi="Times New Roman"/>
                <w:sz w:val="18"/>
                <w:szCs w:val="18"/>
                <w:color w:val="auto"/>
              </w:rPr>
              <w:t>Rush Truck Centres, Belleville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Cornwall</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Kemptville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Kemptville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Kemptville  Collision</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Centre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Kingston</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Markham</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Markham</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Mississauga</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Mississuaga</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Oshawa</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Ottawa East</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Ottawa West</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Pembroke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Sault Ste. Marie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St. Catharines</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Sudbury</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Sudbury</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Centres, Timmins</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Belleville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Kemptville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Kingston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Markham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Mississauga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Oshawa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Ottawa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St. Catharines Idealease</w:t>
            </w:r>
          </w:p>
        </w:tc>
      </w:tr>
      <w:tr>
        <w:trPr>
          <w:trHeight w:val="216"/>
        </w:trPr>
        <w:tc>
          <w:tcPr>
            <w:tcW w:w="3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Sudbury Idealease</w:t>
            </w:r>
          </w:p>
        </w:tc>
      </w:tr>
      <w:tr>
        <w:trPr>
          <w:trHeight w:val="234"/>
        </w:trPr>
        <w:tc>
          <w:tcPr>
            <w:tcW w:w="3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 Timmins Idealease</w:t>
            </w:r>
          </w:p>
        </w:tc>
      </w:tr>
    </w:tbl>
    <w:p>
      <w:pPr>
        <w:sectPr>
          <w:pgSz w:w="11900" w:h="16838" w:orient="portrait"/>
          <w:cols w:equalWidth="0" w:num="1">
            <w:col w:w="11240"/>
          </w:cols>
          <w:pgMar w:left="320" w:top="589" w:right="339" w:bottom="123"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Premium Finance,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California</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AiRush,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Associated Acceptance, Inc.</w:t>
            </w:r>
          </w:p>
        </w:tc>
        <w:tc>
          <w:tcPr>
            <w:tcW w:w="252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Texas</w:t>
            </w:r>
          </w:p>
        </w:tc>
        <w:tc>
          <w:tcPr>
            <w:tcW w:w="5180" w:type="dxa"/>
            <w:vAlign w:val="bottom"/>
            <w:shd w:val="clear" w:color="auto" w:fill="CCEEFF"/>
          </w:tcPr>
          <w:p>
            <w:pPr>
              <w:ind w:left="1260"/>
              <w:spacing w:after="0" w:line="198" w:lineRule="exact"/>
              <w:rPr>
                <w:sz w:val="20"/>
                <w:szCs w:val="20"/>
                <w:color w:val="auto"/>
              </w:rPr>
            </w:pPr>
            <w:r>
              <w:rPr>
                <w:rFonts w:ascii="Times New Roman" w:cs="Times New Roman" w:eastAsia="Times New Roman" w:hAnsi="Times New Roman"/>
                <w:sz w:val="18"/>
                <w:szCs w:val="18"/>
                <w:color w:val="auto"/>
              </w:rPr>
              <w:t>Automotive Industry Insurance</w:t>
            </w:r>
          </w:p>
        </w:tc>
      </w:tr>
      <w:tr>
        <w:trPr>
          <w:trHeight w:val="216"/>
        </w:trPr>
        <w:tc>
          <w:tcPr>
            <w:tcW w:w="35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Associated Truck Insurance Services</w:t>
            </w:r>
          </w:p>
        </w:tc>
      </w:tr>
      <w:tr>
        <w:trPr>
          <w:trHeight w:val="234"/>
        </w:trPr>
        <w:tc>
          <w:tcPr>
            <w:tcW w:w="354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Rush Truck Insurance Services</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Florida,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Acceptance of Georgia,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Illinois,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Acceptance of Oklahoma,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Brauntex Indemnity Company</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Texas</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Fleet Technologies,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Partsriver, Inc.</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Idealease of Chicago LLC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Illinois</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General Agency,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Texas</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Los Cuernos,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Los Cuernos Ranch</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 Tough,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Rush Truck Center, Birmingham</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RTC Nevada, LLC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Accessories Corporation</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Chrome Country</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Rush Administrative Services,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Momentum Holdings,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RushCare,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Rushco,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Rush Logistics,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Real Estate Holdings,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Rush Retail Centers,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Rushtex, Inc.</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Truck &amp; Trailer Finance, Inc.</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c>
          <w:tcPr>
            <w:tcW w:w="51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1187394B.C. Ltd.</w:t>
            </w:r>
          </w:p>
        </w:tc>
        <w:tc>
          <w:tcPr>
            <w:tcW w:w="2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Canada</w:t>
            </w:r>
          </w:p>
        </w:tc>
        <w:tc>
          <w:tcPr>
            <w:tcW w:w="51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None</w:t>
            </w:r>
          </w:p>
        </w:tc>
      </w:tr>
    </w:tbl>
    <w:p>
      <w:pPr>
        <w:sectPr>
          <w:pgSz w:w="11900" w:h="16838" w:orient="portrait"/>
          <w:cols w:equalWidth="0" w:num="1">
            <w:col w:w="11240"/>
          </w:cols>
          <w:pgMar w:left="320" w:top="598"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333-242488 pertaining to the Rush Enterprises, Inc. Amended and Restated 2007 Long-Term Incentive Plan and Rush Enterprises, Inc. Amended and Restated 2004 Employee Stock Purchase Plan,</w:t>
      </w: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333-219878 pertaining to the Rush Enterprises, Inc. Amended and Restated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333-198080 pertaining to the Rush Enterprises, Inc.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333-170732 pertaining to the Rush Enterprises, Inc. Deferred Compensation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333-138556 pertaining to the Rush Enterprises, Inc. 2006 Non-Employee Director Stock Plan,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333-275820 pertaining to the Rush Enterprises, Inc. Amended and Restated 2007 Long-Term Incentive Plan and Rush Enterprises, Inc. Amended and Restated 2004 Employee Stock Purchase Plan.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21, 2025,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121" w:right="339" w:bottom="1440" w:gutter="0" w:footer="0" w:header="0"/>
        </w:sectPr>
      </w:pPr>
    </w:p>
    <w:bookmarkStart w:id="106" w:name="page107"/>
    <w:bookmarkEnd w:id="106"/>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M. “Rusty” Rush, certify that:</w:t>
      </w:r>
    </w:p>
    <w:p>
      <w:pPr>
        <w:spacing w:after="0" w:line="225" w:lineRule="exact"/>
        <w:rPr>
          <w:sz w:val="20"/>
          <w:szCs w:val="20"/>
          <w:color w:val="auto"/>
        </w:rPr>
      </w:pPr>
    </w:p>
    <w:p>
      <w:pPr>
        <w:ind w:left="540" w:hanging="532"/>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1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474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By: /S/ W. M. “RUSTY” RUSH</w:t>
            </w:r>
          </w:p>
        </w:tc>
      </w:tr>
      <w:tr>
        <w:trPr>
          <w:trHeight w:val="218"/>
        </w:trPr>
        <w:tc>
          <w:tcPr>
            <w:tcW w:w="3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7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3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07" w:name="page108"/>
    <w:bookmarkEnd w:id="107"/>
    <w:p>
      <w:pPr>
        <w:ind w:left="10160"/>
        <w:spacing w:after="0"/>
        <w:rPr>
          <w:sz w:val="20"/>
          <w:szCs w:val="20"/>
          <w:color w:val="auto"/>
        </w:rPr>
      </w:pPr>
      <w:r>
        <w:rPr>
          <w:rFonts w:ascii="Times New Roman" w:cs="Times New Roman" w:eastAsia="Times New Roman" w:hAnsi="Times New Roman"/>
          <w:sz w:val="17"/>
          <w:szCs w:val="17"/>
          <w:color w:val="auto"/>
        </w:rPr>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1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51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3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2024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200" w:hanging="544"/>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1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 M. “RUSTY” RUSH</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W. M. “Rusty” Rush</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President, Chief Executive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21, 2025</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2024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200" w:hanging="544"/>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13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21, 2025</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Roman"/>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3"/>
    </w:lvl>
  </w:abstractNum>
  <w:abstractNum w:abstractNumId="17">
    <w:nsid w:val="2901D82"/>
    <w:multiLevelType w:val="hybridMultilevel"/>
    <w:lvl w:ilvl="0">
      <w:lvlJc w:val="left"/>
      <w:lvlText w:val="%1."/>
      <w:numFmt w:val="decimal"/>
      <w:start w:val="5"/>
    </w:lvl>
  </w:abstractNum>
  <w:abstractNum w:abstractNumId="18">
    <w:nsid w:val="3A95F874"/>
    <w:multiLevelType w:val="hybridMultilevel"/>
    <w:lvl w:ilvl="0">
      <w:lvlJc w:val="left"/>
      <w:lvlText w:val="%1."/>
      <w:numFmt w:val="decimal"/>
      <w:start w:val="7"/>
    </w:lvl>
  </w:abstractNum>
  <w:abstractNum w:abstractNumId="19">
    <w:nsid w:val="8138641"/>
    <w:multiLevelType w:val="hybridMultilevel"/>
    <w:lvl w:ilvl="0">
      <w:lvlJc w:val="left"/>
      <w:lvlText w:val="%1."/>
      <w:numFmt w:val="decimal"/>
      <w:start w:val="9"/>
    </w:lvl>
  </w:abstractNum>
  <w:abstractNum w:abstractNumId="20">
    <w:nsid w:val="1E7FF521"/>
    <w:multiLevelType w:val="hybridMultilevel"/>
    <w:lvl w:ilvl="0">
      <w:lvlJc w:val="left"/>
      <w:lvlText w:val="%1."/>
      <w:numFmt w:val="decimal"/>
      <w:start w:val="10"/>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decimal"/>
      <w:start w:val="14"/>
    </w:lvl>
  </w:abstractNum>
  <w:abstractNum w:abstractNumId="25">
    <w:nsid w:val="4516DDE9"/>
    <w:multiLevelType w:val="hybridMultilevel"/>
    <w:lvl w:ilvl="0">
      <w:lvlJc w:val="left"/>
      <w:lvlText w:val="%1."/>
      <w:numFmt w:val="decimal"/>
      <w:start w:val="15"/>
    </w:lvl>
  </w:abstractNum>
  <w:abstractNum w:abstractNumId="26">
    <w:nsid w:val="3006C83E"/>
    <w:multiLevelType w:val="hybridMultilevel"/>
    <w:lvl w:ilvl="0">
      <w:lvlJc w:val="left"/>
      <w:lvlText w:val="%1."/>
      <w:numFmt w:val="decimal"/>
      <w:start w:val="16"/>
    </w:lvl>
  </w:abstractNum>
  <w:abstractNum w:abstractNumId="27">
    <w:nsid w:val="614FD4A1"/>
    <w:multiLevelType w:val="hybridMultilevel"/>
    <w:lvl w:ilvl="0">
      <w:lvlJc w:val="left"/>
      <w:lvlText w:val="%1."/>
      <w:numFmt w:val="decimal"/>
      <w:start w:val="17"/>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jpe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79" Type="http://schemas.openxmlformats.org/officeDocument/2006/relationships/hyperlink" Target="http://www.sec.gov/Archives/edgar/data/1012019/000110465908051789/a08-18770_1ex3d1.htm" TargetMode="External"/><Relationship Id="rId80" Type="http://schemas.openxmlformats.org/officeDocument/2006/relationships/hyperlink" Target="http://www.sec.gov/Archives/edgar/data/1012019/000143774923022761/ex_553893.htm" TargetMode="External"/><Relationship Id="rId81" Type="http://schemas.openxmlformats.org/officeDocument/2006/relationships/hyperlink" Target="http://www.sec.gov/Archives/edgar/data/1012019/000143774913006455/rusha20130517_8kex3-1.htm" TargetMode="External"/><Relationship Id="rId82" Type="http://schemas.openxmlformats.org/officeDocument/2006/relationships/hyperlink" Target="http://www.sec.gov/Archives/edgar/data/1012019/000143774921013172/ex_252719.htm" TargetMode="External"/><Relationship Id="rId83" Type="http://schemas.openxmlformats.org/officeDocument/2006/relationships/hyperlink" Target="http://www.sec.gov/Archives/edgar/data/1012019/0000950129-96-000812.txt" TargetMode="External"/><Relationship Id="rId84" Type="http://schemas.openxmlformats.org/officeDocument/2006/relationships/hyperlink" Target="http://www.sec.gov/Archives/edgar/data/1012019/000091205702026743/a2083861zex-4_1.htm" TargetMode="External"/><Relationship Id="rId85" Type="http://schemas.openxmlformats.org/officeDocument/2006/relationships/hyperlink" Target="http://www.sec.gov/Archives/edgar/data/1012019/000143774923033263/ex_601669.htm" TargetMode="External"/><Relationship Id="rId86" Type="http://schemas.openxmlformats.org/officeDocument/2006/relationships/hyperlink" Target="http://www.sec.gov/Archives/edgar/data/1012019/000143774923015487/ex_524442.htm" TargetMode="External"/><Relationship Id="rId87" Type="http://schemas.openxmlformats.org/officeDocument/2006/relationships/hyperlink" Target="http://www.sec.gov/Archives/edgar/data/1012019/000095012311024520/c13928exv10w10.htm" TargetMode="External"/><Relationship Id="rId88" Type="http://schemas.openxmlformats.org/officeDocument/2006/relationships/hyperlink" Target="http://www.sec.gov/Archives/edgar/data/1012019/000143774923015487/ex_524441.htm" TargetMode="External"/><Relationship Id="rId89" Type="http://schemas.openxmlformats.org/officeDocument/2006/relationships/hyperlink" Target="http://www.sec.gov/Archives/edgar/data/1012019/000143774921003645/ex_228230.htm" TargetMode="External"/><Relationship Id="rId90" Type="http://schemas.openxmlformats.org/officeDocument/2006/relationships/hyperlink" Target="http://www.sec.gov/Archives/edgar/data/1012019/000143774921003645/ex_228231.htm" TargetMode="External"/><Relationship Id="rId91" Type="http://schemas.openxmlformats.org/officeDocument/2006/relationships/hyperlink" Target="http://www.sec.gov/Archives/edgar/data/1012019/000143774921013172/ex_252721.htm" TargetMode="External"/><Relationship Id="rId92" Type="http://schemas.openxmlformats.org/officeDocument/2006/relationships/hyperlink" Target="http://www.sec.gov/Archives/edgar/data/1012019/000143774915000385/ex10-1.htm" TargetMode="External"/><Relationship Id="rId93" Type="http://schemas.openxmlformats.org/officeDocument/2006/relationships/hyperlink" Target="http://www.sec.gov/Archives/edgar/data/1012019/000110465908047652/a08-20031_1ex10d1.htm" TargetMode="External"/><Relationship Id="rId94" Type="http://schemas.openxmlformats.org/officeDocument/2006/relationships/hyperlink" Target="http://www.sec.gov/Archives/edgar/data/1012019/000143774921003645/ex_228228.htm" TargetMode="External"/><Relationship Id="rId95" Type="http://schemas.openxmlformats.org/officeDocument/2006/relationships/hyperlink" Target="http://www.sec.gov/Archives/edgar/data/1012019/000095013400002832/0000950134-00-002832.txt" TargetMode="External"/><Relationship Id="rId96" Type="http://schemas.openxmlformats.org/officeDocument/2006/relationships/hyperlink" Target="http://www.sec.gov/Archives/edgar/data/1012019/000143774923031173/ex_594369.htm" TargetMode="External"/><Relationship Id="rId97" Type="http://schemas.openxmlformats.org/officeDocument/2006/relationships/hyperlink" Target="http://www.sec.gov/Archives/edgar/data/1012019/000143774921022435/ex_285039.htm" TargetMode="External"/><Relationship Id="rId98" Type="http://schemas.openxmlformats.org/officeDocument/2006/relationships/hyperlink" Target="http://www.sec.gov/Archives/edgar/data/1012019/000143774923016766/ex_530333.htm" TargetMode="External"/><Relationship Id="rId99" Type="http://schemas.openxmlformats.org/officeDocument/2006/relationships/hyperlink" Target="http://www.sec.gov/Archives/edgar/data/1012019/000143774924037874/ex_758867.htm" TargetMode="External"/><Relationship Id="rId100" Type="http://schemas.openxmlformats.org/officeDocument/2006/relationships/hyperlink" Target="http://www.sec.gov/Archives/edgar/data/1012019/000095012311001052/c10658exv10w2.htm" TargetMode="External"/><Relationship Id="rId101" Type="http://schemas.openxmlformats.org/officeDocument/2006/relationships/hyperlink" Target="http://www.sec.gov/Archives/edgar/data/1012019/000143774921022435/ex_285040.htm" TargetMode="External"/><Relationship Id="rId102" Type="http://schemas.openxmlformats.org/officeDocument/2006/relationships/hyperlink" Target="http://www.sec.gov/Archives/edgar/data/1012019/000143774922028345/ex_452566.htm" TargetMode="External"/><Relationship Id="rId103" Type="http://schemas.openxmlformats.org/officeDocument/2006/relationships/hyperlink" Target="http://www.sec.gov/Archives/edgar/data/1012019/000143774923035261/ex_609471.htm" TargetMode="External"/><Relationship Id="rId104" Type="http://schemas.openxmlformats.org/officeDocument/2006/relationships/hyperlink" Target="http://www.sec.gov/Archives/edgar/data/1012019/000143774921022435/ex_285041.htm" TargetMode="External"/><Relationship Id="rId105" Type="http://schemas.openxmlformats.org/officeDocument/2006/relationships/hyperlink" Target="http://www.sec.gov/Archives/edgar/data/1012019/000143774921022435/ex_285042.htm" TargetMode="External"/><Relationship Id="rId106" Type="http://schemas.openxmlformats.org/officeDocument/2006/relationships/hyperlink" Target="http://www.sec.gov/Archives/edgar/data/1012019/000143774923030420/ex_591845.htm" TargetMode="External"/><Relationship Id="rId107" Type="http://schemas.openxmlformats.org/officeDocument/2006/relationships/hyperlink" Target="http://www.sec.gov/Archives/edgar/data/1012019/000143774921023441/ex_290053.htm" TargetMode="External"/><Relationship Id="rId108" Type="http://schemas.openxmlformats.org/officeDocument/2006/relationships/hyperlink" Target="http://www.sec.gov/Archives/edgar/data/1012019/000143774924012083/ex_654030.htm" TargetMode="External"/><Relationship Id="rId109" Type="http://schemas.openxmlformats.org/officeDocument/2006/relationships/hyperlink" Target="http://www.sec.gov/Archives/edgar/data/1012019/000143774924037874/ex_758871.htm" TargetMode="External"/><Relationship Id="rId110" Type="http://schemas.openxmlformats.org/officeDocument/2006/relationships/hyperlink" Target="http://www.sec.gov/Archives/edgar/data/1012019/000143774924037874/ex_758872.htm" TargetMode="External"/><Relationship Id="rId111" Type="http://schemas.openxmlformats.org/officeDocument/2006/relationships/hyperlink" Target="http://www.sec.gov/Archives/edgar/data/1012019/000143774924037874/ex_758868.htm" TargetMode="External"/><Relationship Id="rId112" Type="http://schemas.openxmlformats.org/officeDocument/2006/relationships/hyperlink" Target="http://www.sec.gov/Archives/edgar/data/1012019/000143774924037874/ex_758869.htm" TargetMode="External"/><Relationship Id="rId113" Type="http://schemas.openxmlformats.org/officeDocument/2006/relationships/hyperlink" Target="http://www.sec.gov/Archives/edgar/data/1012019/000143774924037874/ex_758870.htm" TargetMode="External"/><Relationship Id="rId114" Type="http://schemas.openxmlformats.org/officeDocument/2006/relationships/hyperlink" Target="http://www.sec.gov/Archives/edgar/data/1012019/000143774922014419/ex_384030.htm" TargetMode="External"/><Relationship Id="rId115" Type="http://schemas.openxmlformats.org/officeDocument/2006/relationships/hyperlink" Target="http://www.sec.gov/Archives/edgar/data/1012019/000143774924019483/ex_684779.htm" TargetMode="External"/><Relationship Id="rId116" Type="http://schemas.openxmlformats.org/officeDocument/2006/relationships/hyperlink" Target="http://www.sec.gov/Archives/edgar/data/1012019/000143774922017535/ex_397876.htm" TargetMode="External"/><Relationship Id="rId117" Type="http://schemas.openxmlformats.org/officeDocument/2006/relationships/hyperlink" Target="http://www.sec.gov/Archives/edgar/data/1012019/000143774922017535/ex_397875.htm" TargetMode="External"/><Relationship Id="rId118" Type="http://schemas.openxmlformats.org/officeDocument/2006/relationships/hyperlink" Target="http://www.sec.gov/Archives/edgar/data/1012019/000143774923016766/ex_530334.htm" TargetMode="External"/><Relationship Id="rId119" Type="http://schemas.openxmlformats.org/officeDocument/2006/relationships/hyperlink" Target="http://www.sec.gov/Archives/edgar/data/1012019/000143774924019483/ex_684780.htm" TargetMode="External"/><Relationship Id="rId120" Type="http://schemas.openxmlformats.org/officeDocument/2006/relationships/hyperlink" Target="http://www.sec.gov/Archives/edgar/data/1012019/000143774924032511/ex_739715.htm" TargetMode="External"/><Relationship Id="rId121" Type="http://schemas.openxmlformats.org/officeDocument/2006/relationships/hyperlink" Target="http://www.sec.gov/Archives/edgar/data/1012019/000143774924005362/ex_6280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2025-02-24T05:11:54Z</dcterms:created>
  <dcterms:modified xsi:type="dcterms:W3CDTF">2025-02-24T05:11:54Z</dcterms:modified>
</cp:coreProperties>
</file>