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780" w:right="160" w:hanging="772"/>
        <w:spacing w:after="0" w:line="237"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80" w:hanging="772"/>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530" w:right="199" w:bottom="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4220" w:space="720"/>
            <w:col w:w="6520"/>
          </w:cols>
          <w:pgMar w:left="240" w:top="530" w:right="199" w:bottom="0" w:gutter="0" w:footer="0" w:header="0"/>
          <w:type w:val="continuous"/>
        </w:sectPr>
      </w:pP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0-20797</w:t>
      </w:r>
    </w:p>
    <w:p>
      <w:pPr>
        <w:sectPr>
          <w:pgSz w:w="11900" w:h="16838" w:orient="portrait"/>
          <w:cols w:equalWidth="0" w:num="1">
            <w:col w:w="11460"/>
          </w:cols>
          <w:pgMar w:left="240" w:top="530" w:right="199" w:bottom="0" w:gutter="0" w:footer="0" w:header="0"/>
          <w:type w:val="continuous"/>
        </w:sectPr>
      </w:pP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31"/>
          <w:szCs w:val="31"/>
          <w:b w:val="1"/>
          <w:bCs w:val="1"/>
          <w:color w:val="auto"/>
        </w:rPr>
        <w:t>RUSH ENTERPRISES, INC.</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60"/>
          </w:cols>
          <w:pgMar w:left="240" w:top="530" w:right="199" w:bottom="0" w:gutter="0" w:footer="0" w:header="0"/>
          <w:type w:val="continuous"/>
        </w:sectPr>
      </w:pPr>
    </w:p>
    <w:p>
      <w:pPr>
        <w:spacing w:after="0" w:line="21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40"/>
          </w:cols>
          <w:pgMar w:left="240" w:top="530" w:right="19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60"/>
          </w:cols>
          <w:pgMar w:left="240" w:top="530" w:right="199" w:bottom="0" w:gutter="0" w:footer="0" w:header="0"/>
          <w:type w:val="continuous"/>
        </w:sectPr>
      </w:pPr>
    </w:p>
    <w:p>
      <w:pPr>
        <w:ind w:left="5120"/>
        <w:spacing w:after="0"/>
        <w:rPr>
          <w:sz w:val="20"/>
          <w:szCs w:val="20"/>
          <w:color w:val="auto"/>
        </w:rPr>
      </w:pPr>
      <w:r>
        <w:rPr>
          <w:rFonts w:ascii="Arial" w:cs="Arial" w:eastAsia="Arial" w:hAnsi="Arial"/>
          <w:sz w:val="15"/>
          <w:szCs w:val="15"/>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o</w:t>
      </w:r>
    </w:p>
    <w:p>
      <w:pPr>
        <w:spacing w:after="0" w:line="200" w:lineRule="exact"/>
        <w:rPr>
          <w:sz w:val="24"/>
          <w:szCs w:val="24"/>
          <w:color w:val="auto"/>
        </w:rPr>
      </w:pPr>
    </w:p>
    <w:p>
      <w:pPr>
        <w:sectPr>
          <w:pgSz w:w="11900" w:h="16838" w:orient="portrait"/>
          <w:cols w:equalWidth="0" w:num="2">
            <w:col w:w="5520" w:space="440"/>
            <w:col w:w="5500"/>
          </w:cols>
          <w:pgMar w:left="240" w:top="530" w:right="199" w:bottom="0" w:gutter="0" w:footer="0" w:header="0"/>
          <w:type w:val="continuous"/>
        </w:sectPr>
      </w:pPr>
    </w:p>
    <w:p>
      <w:pPr>
        <w:spacing w:after="0" w:line="2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ectPr>
          <w:pgSz w:w="11900" w:h="16838" w:orient="portrait"/>
          <w:cols w:equalWidth="0" w:num="1">
            <w:col w:w="11460"/>
          </w:cols>
          <w:pgMar w:left="240" w:top="530" w:right="199" w:bottom="0" w:gutter="0" w:footer="0" w:header="0"/>
          <w:type w:val="continuous"/>
        </w:sectPr>
      </w:pPr>
    </w:p>
    <w:p>
      <w:pPr>
        <w:spacing w:after="0" w:line="222"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500"/>
          </w:cols>
          <w:pgMar w:left="240" w:top="530" w:right="19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80"/>
          </w:cols>
          <w:pgMar w:left="240" w:top="530" w:right="19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120"/>
        <w:spacing w:after="0"/>
        <w:tabs>
          <w:tab w:leader="none" w:pos="59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ectPr>
          <w:pgSz w:w="11900" w:h="16838" w:orient="portrait"/>
          <w:cols w:equalWidth="0" w:num="1">
            <w:col w:w="11460"/>
          </w:cols>
          <w:pgMar w:left="240" w:top="530" w:right="199" w:bottom="0" w:gutter="0" w:footer="0" w:header="0"/>
          <w:type w:val="continuous"/>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6, 2008.</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Title of Class</w:t>
            </w:r>
          </w:p>
        </w:tc>
        <w:tc>
          <w:tcPr>
            <w:tcW w:w="5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Class A Common Stock, $.01 Par Value</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26,164,764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Class B Common Stock, $.01 Par Value</w:t>
            </w: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12,272,937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5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4"/>
          <w:szCs w:val="24"/>
          <w:color w:val="auto"/>
        </w:rPr>
      </w:pPr>
    </w:p>
    <w:p>
      <w:pPr>
        <w:ind w:left="109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6771640</wp:posOffset>
            </wp:positionH>
            <wp:positionV relativeFrom="paragraph">
              <wp:posOffset>6350</wp:posOffset>
            </wp:positionV>
            <wp:extent cx="480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ectPr>
          <w:pgSz w:w="11900" w:h="16838" w:orient="portrait"/>
          <w:cols w:equalWidth="0" w:num="1">
            <w:col w:w="11460"/>
          </w:cols>
          <w:pgMar w:left="240" w:top="530" w:right="1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56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 March 31, 2008 (unaudited) and December 31, 2007</w:t>
              </w:r>
            </w:hyperlink>
          </w:p>
        </w:tc>
        <w:tc>
          <w:tcPr>
            <w:tcW w:w="5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40" w:type="dxa"/>
            <w:vAlign w:val="bottom"/>
            <w:gridSpan w:val="25"/>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 For the Three Months Ended March 31, 2008 and 2007 (unaudited)</w:t>
              </w:r>
            </w:hyperlink>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40" w:type="dxa"/>
            <w:vAlign w:val="bottom"/>
            <w:gridSpan w:val="25"/>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Cash Flows - For the Three Months Ended March 31, 2008 and 2007 (unaudited)</w:t>
              </w:r>
            </w:hyperlink>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Consolidated Financial Statements (unaudited)</w:t>
              </w:r>
            </w:hyperlink>
          </w:p>
        </w:tc>
        <w:tc>
          <w:tcPr>
            <w:tcW w:w="2540" w:type="dxa"/>
            <w:vAlign w:val="bottom"/>
            <w:tcBorders>
              <w:top w:val="single" w:sz="8" w:color="0000EE"/>
            </w:tcBorders>
            <w:gridSpan w:val="8"/>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2.</w:t>
              </w:r>
            </w:hyperlink>
          </w:p>
        </w:tc>
        <w:tc>
          <w:tcPr>
            <w:tcW w:w="200" w:type="dxa"/>
            <w:vAlign w:val="bottom"/>
          </w:tcPr>
          <w:p>
            <w:pPr>
              <w:spacing w:after="0"/>
              <w:rPr>
                <w:sz w:val="24"/>
                <w:szCs w:val="24"/>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Management’s Discussion and Analysis of Financial Condition and Results of Operations</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65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65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80" w:type="dxa"/>
            <w:vAlign w:val="bottom"/>
            <w:gridSpan w:val="2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 OTHER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w:t>
              </w:r>
            </w:hyperlink>
          </w:p>
        </w:tc>
        <w:tc>
          <w:tcPr>
            <w:tcW w:w="65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1A.</w:t>
              </w:r>
            </w:hyperlink>
          </w:p>
        </w:tc>
        <w:tc>
          <w:tcPr>
            <w:tcW w:w="200" w:type="dxa"/>
            <w:vAlign w:val="bottom"/>
          </w:tcPr>
          <w:p>
            <w:pPr>
              <w:spacing w:after="0"/>
              <w:rPr>
                <w:sz w:val="24"/>
                <w:szCs w:val="24"/>
                <w:color w:val="auto"/>
              </w:rPr>
            </w:pPr>
          </w:p>
        </w:tc>
        <w:tc>
          <w:tcPr>
            <w:tcW w:w="65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200" w:type="dxa"/>
            <w:vAlign w:val="bottom"/>
          </w:tcPr>
          <w:p>
            <w:pPr>
              <w:spacing w:after="0"/>
              <w:rPr>
                <w:sz w:val="24"/>
                <w:szCs w:val="24"/>
                <w:color w:val="auto"/>
              </w:rPr>
            </w:pPr>
          </w:p>
        </w:tc>
        <w:tc>
          <w:tcPr>
            <w:tcW w:w="65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Defaults Upon Senior Securities</w:t>
              </w:r>
            </w:hyperlink>
          </w:p>
        </w:tc>
        <w:tc>
          <w:tcPr>
            <w:tcW w:w="22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65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65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6.</w:t>
              </w:r>
            </w:hyperlink>
          </w:p>
        </w:tc>
        <w:tc>
          <w:tcPr>
            <w:tcW w:w="65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20" w:type="dxa"/>
            <w:vAlign w:val="bottom"/>
            <w:gridSpan w:val="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gridSpan w:val="12"/>
          </w:tcPr>
          <w:p>
            <w:pPr>
              <w:jc w:val="center"/>
              <w:ind w:left="379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8180" w:type="dxa"/>
            <w:vAlign w:val="bottom"/>
            <w:gridSpan w:val="26"/>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gridSpan w:val="26"/>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9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Borders>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96"/>
              </w:rPr>
              <w:t>MARCH 31, 2008 AND DECEMBER 31, 2007</w:t>
            </w:r>
          </w:p>
        </w:tc>
        <w:tc>
          <w:tcPr>
            <w:tcW w:w="6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10"/>
          </w:tcPr>
          <w:p>
            <w:pPr>
              <w:jc w:val="center"/>
              <w:ind w:right="900"/>
              <w:spacing w:after="0"/>
              <w:rPr>
                <w:sz w:val="20"/>
                <w:szCs w:val="20"/>
                <w:color w:val="auto"/>
              </w:rPr>
            </w:pPr>
            <w:r>
              <w:rPr>
                <w:rFonts w:ascii="Arial" w:cs="Arial" w:eastAsia="Arial" w:hAnsi="Arial"/>
                <w:sz w:val="18"/>
                <w:szCs w:val="18"/>
                <w:b w:val="1"/>
                <w:bCs w:val="1"/>
                <w:color w:val="auto"/>
                <w:w w:val="89"/>
              </w:rPr>
              <w:t>(In Thousands, Except 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213"/>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146,225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30,275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57,900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353,817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365,947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2,199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tcPr>
          <w:p>
            <w:pPr>
              <w:ind w:left="16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6,695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gridSpan w:val="25"/>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597,111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295,015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120,582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1,014,251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60" w:type="dxa"/>
            <w:vAlign w:val="bottom"/>
            <w:gridSpan w:val="2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287,672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36,951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4,189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5"/>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22,984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Accrued expenses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40,970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25"/>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392,766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412,659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-5645785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-5645785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color w:val="auto"/>
              </w:rPr>
              <w:t>Long-term debt, net of current maturities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156,453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41,882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2008 and</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7"/>
              </w:rPr>
              <w:t>Common stock, par value $.01 per share; 60,000,000 class A shares and 20,000,000 class B shares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ind w:left="340"/>
              <w:spacing w:after="0"/>
              <w:rPr>
                <w:sz w:val="20"/>
                <w:szCs w:val="20"/>
                <w:color w:val="auto"/>
              </w:rPr>
            </w:pPr>
            <w:r>
              <w:rPr>
                <w:rFonts w:ascii="Arial" w:cs="Arial" w:eastAsia="Arial" w:hAnsi="Arial"/>
                <w:sz w:val="18"/>
                <w:szCs w:val="18"/>
                <w:color w:val="auto"/>
                <w:w w:val="92"/>
              </w:rPr>
              <w:t>authorized; 26,137,946 class A shares and 12,272,937 class B shares outstanding in 2008; 26,070,595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5"/>
          </w:tcPr>
          <w:p>
            <w:pPr>
              <w:ind w:left="340"/>
              <w:spacing w:after="0"/>
              <w:rPr>
                <w:sz w:val="20"/>
                <w:szCs w:val="20"/>
                <w:color w:val="auto"/>
              </w:rPr>
            </w:pPr>
            <w:r>
              <w:rPr>
                <w:rFonts w:ascii="Arial" w:cs="Arial" w:eastAsia="Arial" w:hAnsi="Arial"/>
                <w:sz w:val="18"/>
                <w:szCs w:val="18"/>
                <w:color w:val="auto"/>
              </w:rPr>
              <w:t>class A shares and 12,265,437 class B shares outstanding in 2007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180,203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230,595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411,182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399,577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1,014,251</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1,031,591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gridSpan w:val="9"/>
          </w:tcPr>
          <w:p>
            <w:pPr>
              <w:jc w:val="center"/>
              <w:ind w:left="13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4"/>
          </w:tcPr>
          <w:p>
            <w:pPr>
              <w:jc w:val="center"/>
              <w:ind w:left="37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6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CONSOLIDATED STATEMENTS OF INCOME</w:t>
            </w:r>
          </w:p>
        </w:tc>
        <w:tc>
          <w:tcPr>
            <w:tcW w:w="3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New and used truck sales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251,426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377,636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117,580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Construction equipment sales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16,939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13,024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Finance and insurance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3,604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403,858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New and used truck sales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231,037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347,892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68,640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Construction equipment sales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15,180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10,822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325,679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78,179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56,945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17,359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15,481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9,675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Earnings per common share – Basic</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Earnings per common share – Diluted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5"/>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38,373</w:t>
            </w:r>
          </w:p>
        </w:tc>
        <w:tc>
          <w:tcPr>
            <w:tcW w:w="5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37,766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-7532370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-7532370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5422900</wp:posOffset>
            </wp:positionH>
            <wp:positionV relativeFrom="page">
              <wp:posOffset>88900</wp:posOffset>
            </wp:positionV>
            <wp:extent cx="1912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2620" cy="8890"/>
                    </a:xfrm>
                    <a:prstGeom prst="rect">
                      <a:avLst/>
                    </a:prstGeom>
                    <a:noFill/>
                  </pic:spPr>
                </pic:pic>
              </a:graphicData>
            </a:graphic>
          </wp:anchor>
        </w:drawing>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9,212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w w:val="92"/>
              </w:rPr>
              <w:t>Stock-based compensation expense related to employee stock options and employee stock purchases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13,643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(17,468)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investments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(355,575)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investments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325,300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(6,773)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4,436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(payments) on floor plan notes payable, net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7,778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(40,784)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187,009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161,558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146,225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tcPr>
          <w:p>
            <w:pPr>
              <w:ind w:left="160"/>
              <w:spacing w:after="0" w:line="189" w:lineRule="exact"/>
              <w:rPr>
                <w:sz w:val="20"/>
                <w:szCs w:val="20"/>
                <w:color w:val="auto"/>
              </w:rPr>
            </w:pPr>
            <w:r>
              <w:rPr>
                <w:rFonts w:ascii="Arial" w:cs="Arial" w:eastAsia="Arial" w:hAnsi="Arial"/>
                <w:sz w:val="18"/>
                <w:szCs w:val="18"/>
                <w:color w:val="auto"/>
              </w:rPr>
              <w:t>Noncash investing activities:</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ectPr>
          <w:pgSz w:w="11900" w:h="16838" w:orient="portrait"/>
          <w:cols w:equalWidth="0" w:num="1">
            <w:col w:w="11420"/>
          </w:cols>
          <w:pgMar w:left="240" w:top="35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2007. Results of operations for interim periods are not necessarily indicative of results that may be expected for any other interim periods or the full fiscal year.</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September 20, 2007, our shareholders approved an amendment to Rush Enterprises, Inc.’s Restated Articles of Incorporation increasing the total number of authorized shares of Class A common stock from 40,000,000 to 60,000,000 and total number of authorized shares of Class B common stock from 10,000,000 to 20,000,000. On the same date, our Board of Directors declared a 3-for-2 stock split of the Class A common stock and Class B common stock, to be effected in the form of a stock dividend. On October 10, 2007, Rush Enterprises, Inc. distributed one additional share of stock for every two shares of Class A common stock, par value $0.01 per share, and Class B common stock, par value $0.01 per share, held by shareholders of record as of October 1, 2007. All share and per share data (except par value) in this Form 10-Q have been adjusted and restated to reflect the stock split as if it occurred on the first day of the earliest period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is required to perform an annual impairment review of goodwill. The Company performs its annual review during the fourth quarter of each year and, therefore, did not record an impairment charge related to goodwill during the first quarter of 2008. Management is not aware of any impairment charge that may be required; however, a change in economic conditions, if one occurs, could result in an impairment charge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w:t>
      </w:r>
    </w:p>
    <w:p>
      <w:pPr>
        <w:ind w:right="100"/>
        <w:spacing w:after="0" w:line="252" w:lineRule="auto"/>
        <w:rPr>
          <w:sz w:val="20"/>
          <w:szCs w:val="20"/>
          <w:color w:val="auto"/>
        </w:rPr>
      </w:pPr>
      <w:r>
        <w:rPr>
          <w:rFonts w:ascii="Arial" w:cs="Arial" w:eastAsia="Arial" w:hAnsi="Arial"/>
          <w:sz w:val="18"/>
          <w:szCs w:val="18"/>
          <w:color w:val="auto"/>
        </w:rPr>
        <w:t>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9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the second quarter of 2007, the Company renegotiated its contractual obligations with its retail funding sources regarding early repayment penalties, which occur as a result of a premature termination of finance contracts sold by the Company. As a result of these negotiations, the Company expects to decrease the amount of finance income it will recognize at the time the contract is sold and to decrease the amount of early repayment penalties it will owe its retail funding sources in the future.</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March 31, 2008</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March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9"/>
              </w:rPr>
              <w:t>Numerator for basic and diluted earnings per share, net income available to common shareholders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9,675,000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13,024,000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for basic earnings per share, adjusted weighted average shares outstanding</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38,373,144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and Director stock options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615,757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2"/>
              </w:rPr>
              <w:t>Denominator for diluted earnings per share, adjusted weighted average shares and assumed conversions</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38,988,901</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38,019,958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5 – Stock Options and Restricted Stock Awards</w:t>
            </w: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ectPr>
          <w:pgSz w:w="11900" w:h="16838" w:orient="portrait"/>
          <w:cols w:equalWidth="0" w:num="1">
            <w:col w:w="11420"/>
          </w:cols>
          <w:pgMar w:left="240" w:top="337" w:right="239" w:bottom="127" w:gutter="0" w:footer="0" w:header="0"/>
        </w:sectPr>
      </w:pPr>
    </w:p>
    <w:bookmarkStart w:id="5" w:name="page6"/>
    <w:bookmarkEnd w:id="5"/>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123(R)”), which requires the measurement and recognition of compensation expense for all share-based payment awards made to the Company’s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directors including employee stock options, restricted share awards and employee stock purchases related to the Employee Stock Purchase Plan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estimated fair values. During the three months ended March 31, 2008, the Company granted restricted stock awards, in addition to stock options, to select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as authorized by the Rush Enterprises Inc. 2007 Long-Term Incentive Plan. The Company adopted SFAS 123(R) using the modified prospective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transition method, which requires the application of the accounting standard as of January 1, 2006. The Company uses the Black-Scholes option-pricing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model, which was previously used to calculate the Company’s pro forma information required under SFAS 123. Stock-based compensation expense, included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selling, general and administrative expense, related to employee stock options, restricted stock awards and employee stock purchases under SFAS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123(R) for the three months ended March 31, 2008 was $1.2 million and for the three months ended March 31, 2007 was $1.1 million. </w:t>
      </w:r>
      <w:r>
        <w:rPr>
          <w:rFonts w:ascii="Arial" w:cs="Arial" w:eastAsia="Arial" w:hAnsi="Arial"/>
          <w:sz w:val="15"/>
          <w:szCs w:val="15"/>
          <w:color w:val="auto"/>
        </w:rPr>
        <w:t>As of March 31,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was $5.9 million of total unrecognized compensation cost related to non-vested share-based compensation arrangements granted under the Rush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Enterprises, Inc. Long-Term Incentive Plan to be recognized over a weighted-average period of 3.3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Investments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On a quarterly basis, the Company assesses its investments for impairment.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8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As of December 31, 2007, the Company did not carry any short-term investments, as its previous practice had been to liquidate its short-term investments near the end of each fiscal quarter. However, as of March 31, 2008, the Company holds $30.3 million of auction rate securities with underlying tax-exempt municipal bonds with stated maturities of 16 to 25 years. These bonds have credit wrap insurance and have been rated AAA by credit agencies.</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a result of the recent liquidity issues experienced in the global credit and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believes that these investments will liquidate within the next twelve months and has classified them as a current asset on its consolidated balance sheet. The Company has the intent and ability to hold these investments until liquidity returns to the market. The Company does not believe that the lack of liquidity relating to auction rate securities will have a material impact on its ability to fund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 The Company has discontinued investing in auction rate securities and will reevaluate this investing strategy in the future.</w:t>
      </w:r>
    </w:p>
    <w:p>
      <w:pPr>
        <w:spacing w:after="0" w:line="17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believes that the credit quality and fair value of these assets has not been negatively impacted; therefore, no impairment charges have been recorded as of March 31, 2008. As of March 31, 2008,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SFAS No. 157, “Fair Value Measurement.” If the credit quality of these investments deteriorates, or adverse developments occur in the bond insurance market, the Company may be required to record an impairment charge on these investments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annual report. The Company evaluates performance based on income before income taxes not including extraordinary items.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March 31, 2008 and 2007.</w:t>
      </w:r>
    </w:p>
    <w:p>
      <w:pPr>
        <w:spacing w:after="0" w:line="170"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March 31, 2008 and 2007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Truck</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Equipment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2008</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376,910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14,036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952,522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1,014,251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2007</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505,259</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21,469</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4,530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5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19,549</w:t>
            </w:r>
          </w:p>
        </w:tc>
        <w:tc>
          <w:tcPr>
            <w:tcW w:w="5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1,523</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1,078,972</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25,581</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23,944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1,128,497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how a company should recognize, measure, present and disclose uncertain tax positions that the company has taken or expects to take in its income tax returns. FIN 48 requires that only income tax benefits meeting the “more likely than not” recognition threshold be recognized or continue to be recognized on its effective date. As required, the Company has adopted the provisions of FIN 48 effective January 1, 2007.</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included accruals for unrecognized income tax benefits totaling $2.0 million as a component of accrued liabilities as of March 31, 2008 and $1.4 million as of March 31, 2007. The unrecognized tax benefits of $2.0 million at March 31, 2008, if recognized, would impact the Company’s effective tax rate. As of March 31, 2008, the Company has accrued interest expense of $171,000 related to the unrecognized tax benefit. No amounts were accrued for penalties.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2008, the tax years ended December 31, 2003, through 2006 remained subject to examination by tax authorities.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2008 and December 31, 2007 unrecognized tax benefits were $2.0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Recent Accounting Pronouncements</w:t>
      </w:r>
    </w:p>
    <w:p>
      <w:pPr>
        <w:spacing w:after="0" w:line="229" w:lineRule="exact"/>
        <w:rPr>
          <w:sz w:val="20"/>
          <w:szCs w:val="20"/>
          <w:color w:val="auto"/>
        </w:rPr>
      </w:pPr>
    </w:p>
    <w:p>
      <w:pPr>
        <w:ind w:right="480" w:firstLine="648"/>
        <w:spacing w:after="0" w:line="297" w:lineRule="auto"/>
        <w:rPr>
          <w:sz w:val="20"/>
          <w:szCs w:val="20"/>
          <w:color w:val="auto"/>
        </w:rPr>
      </w:pPr>
      <w:r>
        <w:rPr>
          <w:rFonts w:ascii="Arial" w:cs="Arial" w:eastAsia="Arial" w:hAnsi="Arial"/>
          <w:sz w:val="16"/>
          <w:szCs w:val="16"/>
          <w:color w:val="auto"/>
        </w:rPr>
        <w:t>In September 2006, the FASB issued SFAS No. 157, “Fair Value Measurement” (“SFAS 157”). SFAS 157 defines fair value, establishes a framework for measuring fair value, and expands disclosures about fair value measurements. The standard applies whenever other standards require (or permit) assets or liabilities to be measured at fair value, but does not expand the use of fair value in any new circumstances. SFAS 157 is effective for financial statements issued for fiscal years beginning after November 15, 2007, and interim periods within those fiscal years. The Company adopted SFAS 157 on January 1, 2008 and it did not have a significant impact on the Company’s consolidated financial statements.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SFAS 159 allows entities the option to measure eligible financial instruments at fair value as of specified dates. Such election, which may be applied on an instrument by instrument basis, is typically irrevocable once elected. SFAS 159 is effective for fiscal years beginning after November 15, 2007. The Company did not elect the option to measure eligible financial instruments at fair value as specified in SFAS 159.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Subsequent Event</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Effective May 5, 2008, the Company acquired certain assets of Peterbilt Carolina, Inc., a Hino, Isuzu, and Peterbilt truck dealership in Charlotte, North Carolina and acquired the stock of Adams International Trucks, Inc., an International truck dealership in Charlotte, North Carolina. These acquisitions provide the Company with the rights to sell Hino, Isuzu, International and Peterbilt trucks and parts in Charlotte. The net cost of these acquisitions to the Company was approximately $40.0 million, with the purchase price financed with debt from third-party lenders and cash.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views and assumptions of Company management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2007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w:t>
      </w:r>
    </w:p>
    <w:p>
      <w:pPr>
        <w:sectPr>
          <w:pgSz w:w="11900" w:h="16924" w:orient="portrait"/>
          <w:cols w:equalWidth="0" w:num="1">
            <w:col w:w="11400"/>
          </w:cols>
          <w:pgMar w:left="240" w:top="140" w:right="259" w:bottom="0" w:gutter="0" w:footer="0" w:header="0"/>
        </w:sectPr>
      </w:pPr>
    </w:p>
    <w:bookmarkStart w:id="7" w:name="page8"/>
    <w:bookmarkEnd w:id="7"/>
    <w:p>
      <w:pPr>
        <w:spacing w:after="0" w:line="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forward-looking statements. All subsequent written and oral forward-looking statements attributable to the Company or persons acting on its behalf are expressly qualified in their entirety by the applicable Cautionary Statements. The Company undertakes no duty to update these forward-looking statements.</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33" w:lineRule="exact"/>
        <w:rPr>
          <w:sz w:val="20"/>
          <w:szCs w:val="20"/>
          <w:color w:val="auto"/>
        </w:rPr>
      </w:pPr>
    </w:p>
    <w:p>
      <w:pPr>
        <w:ind w:right="20" w:firstLine="648"/>
        <w:spacing w:after="0" w:line="215"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as registered trademark of General Motors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Nissan Diesel Motor Co.,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Caterpillar, Inc. Cummins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Cummins Engine Company,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Eaton is a registered trademark of Eaton Corporation. Arvin Meritor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Meritor Technology, Inc. Case is a registered trademark of Case Corporation. Komatsu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Kabushiki Kaisha Komatsu Seisakusho Corporation Japan. The CIT Group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CIT Group Holdings, Inc. JPMorgan Chase is a registered trademark of JP Morgan Chase &amp; Co.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currently conducts business through numerous subsidiaries, all of which are wholly owned, directly or indirectly, by it. Its principal offices are located at 555 IH 35 South, New Braunfels, Texas 78130.</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a full-service, integrated retailer of premium transportation and construction equipment and related services. The Company’s Rush Truck Centers sell trucks manufactured by Peterbilt Motors Company (a division of PACCAR, Inc.), Volvo, International, GMC, Hino, UD, Ford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including retail sales of new and used trucks and construction equipment, aftermarket parts sales, service and repair facilities, and financing, leasing and rental, and insurance products.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45 Rush Truck Centers in Alabama, Arizona, California, Colorado, Florida, Georgia, New Mexico, North Carolina, Oklahoma, Tennessee and Texas.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first quarter of 2008. Management is not aware of any impairment charge that may be required; however, a change in economic conditions, if one occurs, could result in an impairment charge in the future.</w:t>
      </w:r>
    </w:p>
    <w:p>
      <w:pPr>
        <w:sectPr>
          <w:pgSz w:w="11900" w:h="16867"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Effective January 1, 2007, the Company adopted FIN 48. This interpretation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 SFAS 123(R) supersedes the Company’s previous accounting under Accounting Principles Board Opinion No. 25, “Accounting for Stock Issued to Employees” (“APB 25”) for periods beginning in 2006. In March 2005, the Securities and Exchange Commission issued Staff Accounting Bulletin No. 107 (“SAB 107”) relating to SFAS 123(R).</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adopted SFAS 123(R) using the modified prospective transition method, which requires the application of the accounting standard as of January 1, 2006. SFAS 123(R) requires companies to estimate the fair value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share-based payment awards on the date of grant using an option-pricing model. The value of the portion of the award that is ultimately expected to vest is recognized as expense over the requisite service periods in the Company’s Consolidated Statement of Income.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Upon adoption of SFAS 123(R), the</w:t>
      </w:r>
    </w:p>
    <w:p>
      <w:pPr>
        <w:sectPr>
          <w:pgSz w:w="11900" w:h="16838" w:orient="portrait"/>
          <w:cols w:equalWidth="0" w:num="1">
            <w:col w:w="11420"/>
          </w:cols>
          <w:pgMar w:left="240" w:top="341" w:right="239" w:bottom="0" w:gutter="0" w:footer="0" w:header="0"/>
        </w:sectPr>
      </w:pPr>
    </w:p>
    <w:bookmarkStart w:id="9" w:name="page10"/>
    <w:bookmarkEnd w:id="9"/>
    <w:p>
      <w:pPr>
        <w:ind w:right="500"/>
        <w:spacing w:after="0" w:line="277" w:lineRule="auto"/>
        <w:rPr>
          <w:sz w:val="20"/>
          <w:szCs w:val="20"/>
          <w:color w:val="auto"/>
        </w:rPr>
      </w:pPr>
      <w:r>
        <w:rPr>
          <w:rFonts w:ascii="Arial" w:cs="Arial" w:eastAsia="Arial" w:hAnsi="Arial"/>
          <w:sz w:val="18"/>
          <w:szCs w:val="18"/>
          <w:color w:val="auto"/>
        </w:rPr>
        <w:t>Company continues to use the Black-Scholes option-pricing model which was previously used for the Company’s pro forma information required under SFAS 123.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the three months ended March 31, 2008 and 2007.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17"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Three Months Ended</w:t>
      </w:r>
    </w:p>
    <w:p>
      <w:pPr>
        <w:jc w:val="center"/>
        <w:ind w:left="4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Parts and service</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29.1</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22.1</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3.2</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80.6</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83.2</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14.1</w:t>
            </w:r>
          </w:p>
        </w:tc>
        <w:tc>
          <w:tcPr>
            <w:tcW w:w="13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0.0</w:t>
            </w: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0" w:type="dxa"/>
            <w:vAlign w:val="bottom"/>
          </w:tcPr>
          <w:p>
            <w:pPr>
              <w:spacing w:after="0"/>
              <w:rPr>
                <w:sz w:val="19"/>
                <w:szCs w:val="19"/>
                <w:color w:val="auto"/>
              </w:rPr>
            </w:pPr>
          </w:p>
        </w:tc>
      </w:tr>
      <w:tr>
        <w:trPr>
          <w:trHeight w:val="419"/>
        </w:trPr>
        <w:tc>
          <w:tcPr>
            <w:tcW w:w="1300" w:type="dxa"/>
            <w:vAlign w:val="bottom"/>
          </w:tcPr>
          <w:p>
            <w:pPr>
              <w:spacing w:after="0"/>
              <w:rPr>
                <w:sz w:val="24"/>
                <w:szCs w:val="24"/>
                <w:color w:val="auto"/>
              </w:rPr>
            </w:pPr>
          </w:p>
        </w:tc>
        <w:tc>
          <w:tcPr>
            <w:tcW w:w="5200" w:type="dxa"/>
            <w:vAlign w:val="bottom"/>
          </w:tcPr>
          <w:p>
            <w:pPr>
              <w:ind w:left="4320"/>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thousands):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340" w:type="dxa"/>
            <w:vAlign w:val="bottom"/>
            <w:gridSpan w:val="4"/>
          </w:tcPr>
          <w:p>
            <w:pPr>
              <w:jc w:val="right"/>
              <w:ind w:right="214"/>
              <w:spacing w:after="0" w:line="142"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Truck unit sales:</w:t>
            </w: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New heavy-duty trucks</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1,266</w:t>
            </w:r>
          </w:p>
        </w:tc>
        <w:tc>
          <w:tcPr>
            <w:tcW w:w="8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2,030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1,439</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Total new truck unit sales</w:t>
            </w: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2,238</w:t>
            </w:r>
          </w:p>
        </w:tc>
        <w:tc>
          <w:tcPr>
            <w:tcW w:w="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3,469</w:t>
            </w:r>
          </w:p>
        </w:tc>
        <w:tc>
          <w:tcPr>
            <w:tcW w:w="300" w:type="dxa"/>
            <w:vAlign w:val="bottom"/>
            <w:vMerge w:val="continue"/>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Used truck unit sales</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8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1,077</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152.3</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240.2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New medium-duty trucks</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55.2</w:t>
            </w:r>
          </w:p>
        </w:tc>
        <w:tc>
          <w:tcPr>
            <w:tcW w:w="8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76.4</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new truck revenue</w:t>
            </w: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207.5</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316.6</w:t>
            </w:r>
          </w:p>
        </w:tc>
        <w:tc>
          <w:tcPr>
            <w:tcW w:w="3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Used truck revenue</w:t>
            </w: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revenue:(1)</w:t>
            </w: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8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104.9%</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101.7%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Absorption Rate. </w:t>
      </w:r>
      <w:r>
        <w:rPr>
          <w:rFonts w:ascii="Arial" w:cs="Arial" w:eastAsia="Arial" w:hAnsi="Arial"/>
          <w:sz w:val="17"/>
          <w:szCs w:val="17"/>
          <w:color w:val="auto"/>
        </w:rPr>
        <w:t>The management of the Company uses several performance metrics to evaluate the performance of its dealerships.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then. Management believes that maintaining an absorption rate in excess of 100% is critical to the Company’s ability to generate consistent earnings in a cyclical business. The Company’s truck dealerships achieved a 104.5% absorption rate in 2007 and 104.9% absorption rate for the first quarter of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2008 Compared to Three Months Ended March 31, 2007</w:t>
      </w:r>
    </w:p>
    <w:p>
      <w:pPr>
        <w:sectPr>
          <w:pgSz w:w="11900" w:h="16838" w:orient="portrait"/>
          <w:cols w:equalWidth="0" w:num="1">
            <w:col w:w="11460"/>
          </w:cols>
          <w:pgMar w:left="240" w:top="125" w:right="199" w:bottom="144" w:gutter="0" w:footer="0" w:header="0"/>
        </w:sectPr>
      </w:pPr>
    </w:p>
    <w:bookmarkStart w:id="10" w:name="page11"/>
    <w:bookmarkEnd w:id="10"/>
    <w:p>
      <w:pPr>
        <w:spacing w:after="0" w:line="13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heavy- and medium-duty truck markets remained soft in the first quarter of 2008. The Company believes that the current freight environment, rapid increases in diesel prices to record high levels and the tightening credit market will cause both Class 8 and medium-duty truck deliveries to remain soft throughout the remainder of 2008.</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It remains difficult to forecast future demand for trucks because of the current uncertainty with regard to U.S. economic conditions and the uncertainty regarding the magnitude of the pre-buy in anticipation of the 2010 emissions regulations. There have historically been large pre-buys of Class 8 trucks in the periods prior to the implementation of new emissions standards due to uncertainties regarding the price, performance and reliability of equipment designed to meet the new standards. The magnitude of the 2009 pre-buy in anticipation of the 2010 emissions regulations, if any, will largely depend upon the general economic conditions in the U.S., freight demand, and oil prices. A.C.T. Research Co., LLC (“A.C.T. Research”), a truck industry data and forecasting service provider, currently predicts retail sales of Class 8 trucks of approximately 140,000 units in 2008, a 10% decline from the number of deliveries in 2007, and 227,000 units in 2009.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 Research currently estimates retail sales of Class 4 through 7 trucks in the U.S. to be down approximately 11.4% in 2008 compared to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Company believes sales of Class 4 through 7 trucks in the U.S. will decline approximately 20 to 25% in 2008.</w:t>
      </w:r>
    </w:p>
    <w:p>
      <w:pPr>
        <w:spacing w:after="0" w:line="21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took actions in the first quarter of 2008 to reduce overhead expenses to a level more appropriate to serve the current market. The Company’s expense cutting efforts and the Company’s strategy of focusing on the less cyclical areas of the business softened the impact of the weak truck sales market in the first quarter of 2008. While U.S. Class 8 retail sales were down 41% in the first quarter of 2008 compared to the first quarter of 2007, the Company’s pretax earnings only declined by 25% for the same period. The Company’s performance in this challenging environment is a credit to the diligent efforts of employees to manage costs, focus on providing outstanding levels of customer service and remain focused on new growth opportunities.</w:t>
      </w:r>
    </w:p>
    <w:p>
      <w:pPr>
        <w:spacing w:after="0" w:line="15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Company’s parts, service and body shop sales remained flat in the first quarter of 2008 compared to the first quarter of 2007. The Company’s efforts to reduce overhead expenses contributed to an absorption rate of 104.9% in the first quarter of 2008, compared to 101.7% in the first quarter of 2007.</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Because of the weakening housing market in the Houston area, the Company’s construction equipment segment’s revenue remained flat in the first quarter of 2007 relative to the first quarter of 2008.</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is continuing its strategic focus to improve the quality of earnings by building a network that is diverse in product offerings, customer base and geography.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660" w:firstLine="648"/>
        <w:spacing w:after="0" w:line="286" w:lineRule="auto"/>
        <w:rPr>
          <w:sz w:val="20"/>
          <w:szCs w:val="20"/>
          <w:color w:val="auto"/>
        </w:rPr>
      </w:pPr>
      <w:r>
        <w:rPr>
          <w:rFonts w:ascii="Arial" w:cs="Arial" w:eastAsia="Arial" w:hAnsi="Arial"/>
          <w:sz w:val="17"/>
          <w:szCs w:val="17"/>
          <w:color w:val="auto"/>
        </w:rPr>
        <w:t>Revenues decreased $127.4 million, or 24%, in the first quarter of 2008 compared to the first quarter of 2007. Sales of new and used trucks decreased $126.2 million, or 33.4%, in the first quarter of 2008 compared to the first quarter of 2007. Uncertain economic conditions in the U.S. and decreased freight demand contributed to decreased demand for Class 8 and medium-duty trucks in the first quarter of 2008.</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Unit sales of new Class 8 trucks decreased 37.6% in the first quarter of 2008 compared to the first quarter of 2007. New Class 8 truck sales revenue decreased approximately $87.9 million, or 36.6%, in the first quarter of 2008 compared to the first quarter of 2007. </w:t>
      </w:r>
      <w:r>
        <w:rPr>
          <w:rFonts w:ascii="Arial" w:cs="Arial" w:eastAsia="Arial" w:hAnsi="Arial"/>
          <w:sz w:val="17"/>
          <w:szCs w:val="17"/>
          <w:color w:val="auto"/>
        </w:rPr>
        <w:t>The Class 8 truck sales market in the U.S</w:t>
      </w:r>
      <w:r>
        <w:rPr>
          <w:rFonts w:ascii="Arial" w:cs="Arial" w:eastAsia="Arial" w:hAnsi="Arial"/>
          <w:sz w:val="18"/>
          <w:szCs w:val="18"/>
          <w:color w:val="auto"/>
        </w:rPr>
        <w:t xml:space="preserve"> </w:t>
      </w:r>
      <w:r>
        <w:rPr>
          <w:rFonts w:ascii="Arial" w:cs="Arial" w:eastAsia="Arial" w:hAnsi="Arial"/>
          <w:sz w:val="17"/>
          <w:szCs w:val="17"/>
          <w:color w:val="auto"/>
        </w:rPr>
        <w:t>decreased 41% in the first quarter of 2008 compared to the first quarter of 2007 as estimated by A.C.T. Research Co., LLC (“A.C.T. Research”), a heavy-duty truck industry data and forecasting services provider. In 2007, the Company’s share of the U.S. Class 8 truck market increased to 4.6%. The Company expects its share to range between 4.1% and 4.5% of the U.S. Class 8 truck market in 2008, which would result in the sale of approximately 5,700 to 6,300 Class 8 trucks based on our current retail sales estimates of 140,000 units.</w:t>
      </w:r>
    </w:p>
    <w:p>
      <w:pPr>
        <w:spacing w:after="0" w:line="18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Unit sales of new medium-duty trucks decreased 32.5</w:t>
      </w:r>
      <w:r>
        <w:rPr>
          <w:rFonts w:ascii="Arial" w:cs="Arial" w:eastAsia="Arial" w:hAnsi="Arial"/>
          <w:sz w:val="17"/>
          <w:szCs w:val="17"/>
          <w:color w:val="auto"/>
        </w:rPr>
        <w:t>% in the first quarter of 2008 compared to the first quarter of 2007.</w:t>
      </w:r>
      <w:r>
        <w:rPr>
          <w:rFonts w:ascii="Arial" w:cs="Arial" w:eastAsia="Arial" w:hAnsi="Arial"/>
          <w:sz w:val="18"/>
          <w:szCs w:val="18"/>
          <w:color w:val="auto"/>
        </w:rPr>
        <w:t xml:space="preserve"> New medium-duty truck sales revenue decreased approximately $21.2 million, or 27.7%, in the first quarter of 2008 compared to the first quarter of 2007. A.C.T. Research currently expects an 11.4% decline in United States retail sales of Class 4, 5, 6, and 7 medium-duty trucks during 2008. However, the Company believes that U.S. retail sales of Class 4 through 7 trucks could be off more than 20% in 2008 relative to 2007. In 2007, the Company achieved a 2.2% share of the Class 4 through 7 truck sales market in the U.S. The Company expects its share to range between 2.1% and 2.2% of the U.S. Class 4 through 7 truck sales market in 2008, which would result in the sale of approximately 4,000 to 4,500 Class 4 through 7 trucks based on A.C.T. Research’s current 2008 U.S. retail sales estimates of 218,000 units.</w:t>
      </w:r>
    </w:p>
    <w:p>
      <w:pPr>
        <w:spacing w:after="0" w:line="18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Unit sales of used trucks decreased 16.4% in the first quarter of 2008 compared to the first quarter of 2007. Used truck average revenue per unit decreased by approximately 5.0%. In 2008, used truck sales volumes and prices will be primarily driven by general economic conditions, fuel prices and tightening credit. The Company expects to sell approximately 3,400 to 4,000 used trucks in 2008.</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Parts and service sales increased $0.3 million, or 0.2%, in the first quarter of 2008 compared to the first quarter of 2007. Parts and service sales were slightly below management’s expectations, which take into account general economic conditions, business development and price increases for parts and labor. The Company expects parts and service sales to achieve 3% to 6% growth during 2008.</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Sales of new and used construction equipment increased $0.2 million, or 1.2%, in the first quarter of 2008 compared to the first quarter of 2007. The Company is continuing to make a concerted effort to increase its market share in the Houston area. John Deere’s rolling twelve month average market share in the Houston area construction equipment market decreased slightly to 21.8% as of March 31, 2008 from a rolling twelve month average of 21.9% as of March 31, 2007.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2008, we expect new construction equipment unit sales to decrease approximately 7% to 10% in our area of responsibility to approximately 2,700 units.</w:t>
      </w:r>
    </w:p>
    <w:p>
      <w:pPr>
        <w:spacing w:after="0" w:line="23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Truck lease and rental revenues increased $1.0 million, or 7.9%, in the first quarter of 2008 compared to the first quarter of 2007. This increase in lease and rental revenue is primarily related to the increased number of units in the lease fleet and increased rental utilization in the first quarter of 2008</w:t>
      </w:r>
    </w:p>
    <w:p>
      <w:pPr>
        <w:sectPr>
          <w:pgSz w:w="11900" w:h="16975"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compared to the first quarter of 2007. The Company expects lease and rental revenue to increase approximately 2% to 5% in 2008 compared to 2007.</w:t>
      </w:r>
    </w:p>
    <w:p>
      <w:pPr>
        <w:spacing w:after="0" w:line="23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Finance and insurance revenues decreased $2.0 million, or 34.5%, in the first quarter of 2008 compared to the first quarter of 2007. The Company expects finance income from new Class 8 truck sales to decrease during 2008 compared to 2007 because of the expected decline in new Class 8 truck sales. Overall finance and insurance revenue historically fluctuates proportionately with the new Class 8 truck market. Finance and insurance revenues have limited direct costs and, therefore, contribute a disproportionate share of the Company’s operating profits.</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Other income decreased $0.7 million, or 36.5%, in the first quarter of 2008 compared to the first quarter of 2007.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Gross profit decreased $11.3 million, or 12.6%, in the first quarter of 2008 compared to the first quarter of 2007. Gross profit as a percentage of sales increased to 19.4% in the first quarter of 2008 from 16.8% in the first quarter of 2007. This increase is primarily a result of a change in our product sales mix. Truck sales, a lower margin revenue item, decreased as a percentage of total revenue to 62.3% in the first quarter of 2008 from 71.1% in the first quarter of 2007. Parts and service revenue, a higher margin revenue item, increased as a percentage of total revenue to 29.1% in the first quarter of 2008 from 22.1% in the first quarter of 2007.</w:t>
      </w:r>
    </w:p>
    <w:p>
      <w:pPr>
        <w:spacing w:after="0" w:line="18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Gross margins on Class 8 truck sales increased to 9.3% in the first quarter of 2008 from 8.5% in the first quarter of 2007. The Company’s 2008 gross margins on Class 8 trucks primarily increased due to the change in the mix of sales to non-fleet customers. For the remainder of 2008, the Company expects overall gross margins from Class 8 truck sales of approximately 7.0% to 8.0% due to the current Class 8 truck market and increased sales to fleet customers.</w:t>
      </w:r>
    </w:p>
    <w:p>
      <w:pPr>
        <w:spacing w:after="0" w:line="18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Gross margins on medium-duty truck sales increased to 6.0% in the first quarter of 2008 from 5.1% in the first quarter of 2007. For 2008, the Company expects overall gross margins from medium-duty truck sales of approximately 5.5% to 6.5%. The Company’s gross margins on medium-duty trucks are difficult to forecast accurately because gross margins vary significantly depending upon the mix of fleet and non-fleet purchasers and types of medium-duty trucks sold.</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Gross margins on used truck sales decreased to 7.0% in the first quarter of 2008 from 9.4% in the first quarter of 2007. This decrease in gross margins is primarily attributable to decreased demand for used trucks as a result of decreased freight demand and recent rapid increases in diesel fuel prices and tightening credit. The Company believes it will be able to continue to achieve margins of approximately 7.0% to 8.5% during the remainder of 2008.</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Gross margins from the Company’s parts, service and body shop operations decreased slightly to 41.6% in the first quarter of 2008 from 41.7% in the first quarter of 2007. Gross profit for the parts, service and body shop departments remained flat at $48.9 million in the first quarter of 2008 and the first quarter of 2007. The Company expects gross margins on parts, service and body shop operations of approximately 39.0% to 42.0% for the remainder of 2008.</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remained flat at 10.4% in the first quarter of 2008 and the first quarter of 2007. The Company expects 2008 gross margins on new and used construction equipment sales to remain in a range of approximately 10.0% to 11.0% as the Company attempts to increase its market share.</w:t>
      </w:r>
    </w:p>
    <w:p>
      <w:pPr>
        <w:spacing w:after="0" w:line="181"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 xml:space="preserve">Gross margins from truck lease and rental sales increased to 16.9% in the first quarter of 2008 from approximately 13.4% in the first quarter of 2007. </w:t>
      </w:r>
      <w:r>
        <w:rPr>
          <w:rFonts w:ascii="Arial" w:cs="Arial" w:eastAsia="Arial" w:hAnsi="Arial"/>
          <w:sz w:val="17"/>
          <w:szCs w:val="17"/>
          <w:color w:val="auto"/>
        </w:rPr>
        <w:t>The increase in the gross margin from lease and rental sales is primarily due to the increase in the utilization of the rental fleet.</w:t>
      </w:r>
      <w:r>
        <w:rPr>
          <w:rFonts w:ascii="Arial" w:cs="Arial" w:eastAsia="Arial" w:hAnsi="Arial"/>
          <w:sz w:val="18"/>
          <w:szCs w:val="18"/>
          <w:color w:val="auto"/>
        </w:rPr>
        <w:t xml:space="preserve"> The Company expects gross margins from lease and rental sales of approximately 15.0% to 18.0% during 2008.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Selling, general and administrative (“SG&amp;A”) expenses decreased $3.5 million, or 5.8%, in the first quarter of 2008 compared to the first quarter of 2007. SG&amp;A expenses as a percentage of sales was 14.1% in the first quarter of 2008 and 11.4% in the first quarter of 2007. SG&amp;A expenses as a percentage of sales have historically ranged from 10.0% to 15.0%. In 2008, the Company expects the selling portion of SG&amp;A expenses to be approximately 23% to 25% of truck and construction equipment gross profit. The selling portion of SG&amp;A varies based on the gross profit derived from truck sales. The Company took actions in the first quarter of 2008 to reduce overhead expenses to a level more appropriate to serve the current market. As a result of these expense reductions, the Company expects the same store general and administrative portion of SG&amp;A to remain relatively flat in 2008 compared to 2007. Overall, the Company expects the general and administrative portion of SG&amp;A to increase 3% to 5% in 2008 compared to 2007 due to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Net interest expense decreased $2.6 million, or 57.4%, in the first quarter of 2008 compared to the first quarter of 2007. This decrease is primarily due to the decrease in floor plan notes payable and lower floor plan interest rates. The Company expects net interest expense for the remainder of 2008 to decrease approximately 30.0% compared to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$5.5 million, or 26.3%, in the first quarter of 2008 compared to the first quarter of 2007</w:t>
      </w:r>
      <w:r>
        <w:rPr>
          <w:rFonts w:ascii="Arial" w:cs="Arial" w:eastAsia="Arial" w:hAnsi="Arial"/>
          <w:sz w:val="16"/>
          <w:szCs w:val="16"/>
          <w:color w:val="auto"/>
        </w:rPr>
        <w:t>.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believes that income from continuing operations in 2008 will decrease compared to 2007 based on factors described above.</w:t>
      </w:r>
    </w:p>
    <w:p>
      <w:pPr>
        <w:sectPr>
          <w:pgSz w:w="11900" w:h="16838" w:orient="portrait"/>
          <w:cols w:equalWidth="0" w:num="1">
            <w:col w:w="11420"/>
          </w:cols>
          <w:pgMar w:left="240" w:top="125" w:right="239" w:bottom="0" w:gutter="0" w:footer="0" w:header="0"/>
        </w:sectPr>
      </w:pPr>
    </w:p>
    <w:bookmarkStart w:id="12" w:name="page13"/>
    <w:bookmarkEnd w:id="12"/>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60" w:firstLine="648"/>
        <w:spacing w:after="0" w:line="299" w:lineRule="auto"/>
        <w:rPr>
          <w:sz w:val="20"/>
          <w:szCs w:val="20"/>
          <w:color w:val="auto"/>
        </w:rPr>
      </w:pPr>
      <w:r>
        <w:rPr>
          <w:rFonts w:ascii="Arial" w:cs="Arial" w:eastAsia="Arial" w:hAnsi="Arial"/>
          <w:sz w:val="16"/>
          <w:szCs w:val="16"/>
          <w:color w:val="auto"/>
        </w:rPr>
        <w:t xml:space="preserve">Income taxes decreased $2.2 million, or 27.3%, in the first quarter of 2008 compared to the first quarter of 2007. </w:t>
      </w:r>
      <w:r>
        <w:rPr>
          <w:rFonts w:ascii="Arial" w:cs="Arial" w:eastAsia="Arial" w:hAnsi="Arial"/>
          <w:sz w:val="15"/>
          <w:szCs w:val="15"/>
          <w:color w:val="auto"/>
        </w:rPr>
        <w:t>The Company provided for taxes at</w:t>
      </w:r>
      <w:r>
        <w:rPr>
          <w:rFonts w:ascii="Arial" w:cs="Arial" w:eastAsia="Arial" w:hAnsi="Arial"/>
          <w:sz w:val="16"/>
          <w:szCs w:val="16"/>
          <w:color w:val="auto"/>
        </w:rPr>
        <w:t xml:space="preserve"> </w:t>
      </w:r>
      <w:r>
        <w:rPr>
          <w:rFonts w:ascii="Arial" w:cs="Arial" w:eastAsia="Arial" w:hAnsi="Arial"/>
          <w:sz w:val="15"/>
          <w:szCs w:val="15"/>
          <w:color w:val="auto"/>
        </w:rPr>
        <w:t>an effective rate of 37.5% in the first quarter of 2008 and 37.5% in the first quarter of 2007. During the remainder of 2008, the Company expects to apply for</w:t>
      </w:r>
    </w:p>
    <w:p>
      <w:pPr>
        <w:ind w:right="540"/>
        <w:spacing w:after="0" w:line="263" w:lineRule="auto"/>
        <w:rPr>
          <w:sz w:val="20"/>
          <w:szCs w:val="20"/>
          <w:color w:val="auto"/>
        </w:rPr>
      </w:pPr>
      <w:r>
        <w:rPr>
          <w:rFonts w:ascii="Arial" w:cs="Arial" w:eastAsia="Arial" w:hAnsi="Arial"/>
          <w:sz w:val="18"/>
          <w:szCs w:val="18"/>
          <w:color w:val="auto"/>
        </w:rPr>
        <w:t>alternative fuel vehicle tax credits. These transactions will increase our SG&amp;A expense and reduce our effective tax rate and in turn reduce our federal income tax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the construction of new facilities and technology improvements. Historically, these cash requirements have been met through the retention of profits and borrowings under our floor plan arrangements. As of March 31, 2008, the Company had working capital of approximately $204.3 million, including $146.2 million in cash available to fund our operations.</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March 31, 2008.</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March 31, 2008, however, $6.2 million was pledged to secure various letters of credit related to self-insurance products, leaving $1.8 million available for future borrowings as of March 31, 2008.</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Titan Technology Partners is currently implementing SAP enterprise software and a new SAP dealership management system for the Company. The cost of the SAP software and implementation is estimated at $15.0 million. As of March 31, 2008, the Company had expenditures of $13.4 million related to the SAP project.</w:t>
      </w:r>
    </w:p>
    <w:p>
      <w:pPr>
        <w:spacing w:after="0" w:line="18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 xml:space="preserve">During the first quarter of 2008, the Company entered into an agreement to purchase the stock of Adams International Trucks, Inc. and an agreement to purchase certain assets of Peterbilt Carolina, Inc. These acquisitions were effective May 5, 2008. </w:t>
      </w:r>
      <w:r>
        <w:rPr>
          <w:rFonts w:ascii="Arial" w:cs="Arial" w:eastAsia="Arial" w:hAnsi="Arial"/>
          <w:sz w:val="17"/>
          <w:szCs w:val="17"/>
          <w:color w:val="auto"/>
        </w:rPr>
        <w:t>The net cost of these acquisitions to the Company was</w:t>
      </w:r>
      <w:r>
        <w:rPr>
          <w:rFonts w:ascii="Arial" w:cs="Arial" w:eastAsia="Arial" w:hAnsi="Arial"/>
          <w:sz w:val="18"/>
          <w:szCs w:val="18"/>
          <w:color w:val="auto"/>
        </w:rPr>
        <w:t xml:space="preserve"> </w:t>
      </w:r>
      <w:r>
        <w:rPr>
          <w:rFonts w:ascii="Arial" w:cs="Arial" w:eastAsia="Arial" w:hAnsi="Arial"/>
          <w:sz w:val="17"/>
          <w:szCs w:val="17"/>
          <w:color w:val="auto"/>
        </w:rPr>
        <w:t>approximately $40.0 million, with the purchase price financed with debt from third-party lenders and cash.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has no other material commitments for capital expenditures as of March 31, 2008. However, the Company will continue to purchase vehicles that are necessary to operate its lease and rental division. Furthermore, management will continue to authorize capital expenditures for improvement and expansion of dealership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Cash and cash equivalents decreased by $40.8 million during the three months ended March 31, 2008 and increased by $0.5 million during the three months ended March 31, 2007.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quarter of 2008, operating activities resulted in net cash used in operations of $11.6 million. Cash used in operating activities was primarily impacted by the decrease in accounts payable, the decrease in accrued expenses and the increase in receivables. During the first quarter of 2007, operating activities resulted in net cash provided by operations of $34.9 million.</w:t>
      </w:r>
    </w:p>
    <w:p>
      <w:pPr>
        <w:spacing w:after="0" w:line="187"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Generally, floor plan borrowings are required by all vehicle and construction equipment dealers for the purchase of new vehicles and construction equipment, and our agreements with our floor plan providers require us to repay amounts borrowed for the purchase of such vehicles and equipment immediately after they are sold. As a result, changes in floor plan notes payable are generally linked to changes in new vehicle and construction equipment inventory and, therefore, are an integral part of understanding changes in our working capital and operating cash flow. Consequently, as required by Regulation G with respect to Non-GAAP financial information, set forth below is a reconciliation of cash flow from operating activities as reported in our consolidated statement of cash flows, as if all changes in floor plan notes payable were classified as an operating activity (in thousands).</w:t>
      </w:r>
    </w:p>
    <w:p>
      <w:pPr>
        <w:spacing w:after="0" w:line="157"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shd w:val="clear" w:color="auto" w:fill="CCEEFF"/>
          </w:tcPr>
          <w:p>
            <w:pPr>
              <w:spacing w:after="0" w:line="182" w:lineRule="exact"/>
              <w:rPr>
                <w:sz w:val="20"/>
                <w:szCs w:val="20"/>
                <w:color w:val="auto"/>
              </w:rPr>
            </w:pPr>
            <w:r>
              <w:rPr>
                <w:rFonts w:ascii="Arial" w:cs="Arial" w:eastAsia="Arial" w:hAnsi="Arial"/>
                <w:sz w:val="18"/>
                <w:szCs w:val="18"/>
                <w:i w:val="1"/>
                <w:iCs w:val="1"/>
                <w:color w:val="auto"/>
                <w:w w:val="94"/>
              </w:rPr>
              <w:t>Reconciliation of cash (used in) provided by operating activities to adjusted cash (used</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 provided by operating activities:</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 as reported</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(Draws) payments on floor plan notes payable, net as reported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14,019</w:t>
            </w:r>
          </w:p>
        </w:tc>
        <w:tc>
          <w:tcPr>
            <w:tcW w:w="3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8"/>
              </w:rPr>
              <w:t>Net cash provided by operating activities (including all floor plan notes payable), as</w:t>
            </w:r>
          </w:p>
        </w:tc>
        <w:tc>
          <w:tcPr>
            <w:tcW w:w="240" w:type="dxa"/>
            <w:vAlign w:val="bottom"/>
            <w:vMerge w:val="restart"/>
          </w:tcPr>
          <w:p>
            <w:pPr>
              <w:spacing w:after="0"/>
              <w:rPr>
                <w:sz w:val="17"/>
                <w:szCs w:val="17"/>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2,378</w:t>
            </w:r>
          </w:p>
        </w:tc>
        <w:tc>
          <w:tcPr>
            <w:tcW w:w="280" w:type="dxa"/>
            <w:vAlign w:val="bottom"/>
            <w:vMerge w:val="restart"/>
          </w:tcPr>
          <w:p>
            <w:pPr>
              <w:spacing w:after="0"/>
              <w:rPr>
                <w:sz w:val="17"/>
                <w:szCs w:val="17"/>
                <w:color w:val="auto"/>
              </w:rPr>
            </w:pPr>
          </w:p>
        </w:tc>
        <w:tc>
          <w:tcPr>
            <w:tcW w:w="320" w:type="dxa"/>
            <w:vAlign w:val="bottom"/>
            <w:vMerge w:val="restart"/>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23,843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adjusted</w:t>
            </w:r>
          </w:p>
        </w:tc>
        <w:tc>
          <w:tcPr>
            <w:tcW w:w="240" w:type="dxa"/>
            <w:vAlign w:val="bottom"/>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Cash flows used in investing activities consist primarily of cash used for capital expenditures and purchase of investments net of proceeds from the sale of investments. During the first quarter of 2008, the Company used $36.9 million in investing activities. The Company purchased investments of $355.6 million which was offset by proceeds from the sale of these investments of $325.3 million. See Note 6 of Notes to Consolidated Financial Statements for an explanation of these investments. Capital expenditures consisted of purchases of property and equipment, and improvements to our existing dealership facilities of $6.8 million. Property and equipment purchases during the first quarter of 2008 consisted of $1.3 million for additional units for the rental and</w:t>
      </w:r>
    </w:p>
    <w:p>
      <w:pPr>
        <w:sectPr>
          <w:pgSz w:w="11900" w:h="16928" w:orient="portrait"/>
          <w:cols w:equalWidth="0" w:num="1">
            <w:col w:w="11400"/>
          </w:cols>
          <w:pgMar w:left="240" w:top="341" w:right="259" w:bottom="0" w:gutter="0" w:footer="0" w:header="0"/>
        </w:sectPr>
      </w:pPr>
    </w:p>
    <w:bookmarkStart w:id="13" w:name="page14"/>
    <w:bookmarkEnd w:id="13"/>
    <w:p>
      <w:pPr>
        <w:ind w:right="60"/>
        <w:spacing w:after="0" w:line="259" w:lineRule="auto"/>
        <w:rPr>
          <w:sz w:val="20"/>
          <w:szCs w:val="20"/>
          <w:color w:val="auto"/>
        </w:rPr>
      </w:pPr>
      <w:r>
        <w:rPr>
          <w:rFonts w:ascii="Arial" w:cs="Arial" w:eastAsia="Arial" w:hAnsi="Arial"/>
          <w:sz w:val="18"/>
          <w:szCs w:val="18"/>
          <w:color w:val="auto"/>
        </w:rPr>
        <w:t>leasing operations, which was directly offset by borrowings of long-term debt. The Company expects to purchase trucks worth approximately $38.0 million for its leasing operations in 2008, depending on customer demand. During 2008, the Company expects to make capital expenditures for recurring items such as computers, shop equipment and vehicles of approximately $9.0 million to $12.0 million in addition to $3.0 million for the SAP software implementation described above.</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first quarter of 2007, cash used in investing activities was $24.7 million. Capital expenditures consisted of purchases of property and equipment, and improvements to our existing dealership facilities of $18.6 million. Property and equipment purchases during the first quarter of 2007 consisted of $8.9 million of additional units for the rental and leasing operations, which was directly offset by borrowings of long-term debt. Cash used in business acquisitions was $7.0 million during the first quarter of 2007.</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Cash provided by financing activities was $7.8 million during the first quarter of 2008. The Company had borrowings of long-term debt of $4.4 million and repayments of long-term debt of $10.0 million during the first quarter of 2008. The Company had net draws of floor plan notes payable of $14.0 million during the first quarter of 2008. The borrowings of long-term debt were primarily related to refinancing of real estate.</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Cash used in financing activities was $9.7 million during the first quarter of 2007. The Company had borrowings of long-term debt of $11.6 million and repayments of long-term debt of $8.6 million during the first quarter of 2007. The Company had net payments of floor plan notes payable of $11.0 million during the first quarter of 2007. The borrowings of long-term debt were primarily related to the increase in the lease and rental fleet.</w:t>
      </w:r>
    </w:p>
    <w:p>
      <w:pPr>
        <w:spacing w:after="0" w:line="16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Substantially all of the Company’s truck purchases are made on terms requiring payment within 15 days or less from the date the trucks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and working capital advances with monthly adjustments to the interest due on outstanding advances. </w:t>
      </w:r>
      <w:r>
        <w:rPr>
          <w:rFonts w:ascii="Arial" w:cs="Arial" w:eastAsia="Arial" w:hAnsi="Arial"/>
          <w:sz w:val="15"/>
          <w:szCs w:val="15"/>
          <w:color w:val="auto"/>
        </w:rPr>
        <w:t>On March 31, 2008, the Company had approximately $268.3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under its floor plan financing agreement with GE Capital.</w:t>
      </w:r>
    </w:p>
    <w:p>
      <w:pPr>
        <w:spacing w:after="0" w:line="21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In January 2008, the Company entered into a loan agreement with Chase to replace the CitiCapital facility that it previously used to finance equipment purchases.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w:t>
      </w:r>
    </w:p>
    <w:p>
      <w:pPr>
        <w:spacing w:after="0" w:line="2"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the Chase floor plan arrangement. The Company makes principal payments for sold inventory to Chase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w:t>
      </w:r>
    </w:p>
    <w:p>
      <w:pPr>
        <w:spacing w:after="0" w:line="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used construction equipment are made 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 following the sale. The loans are collateralized by a lien on the construction equipment. As of March 31, 2008, the Company’s floor plan arrangement with Chase permitted the financing of up to $20.0 million in construction equipment. On March 31, 2008, the Company had $5.8 million outstanding under its floor plan financing arrangements with John Deere and $13.8 million outstanding under its floor plan financing arrangement with Chase.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On March 31, 2008, the Company’s backlog of truck orders was approximately $255.6 million compared to a backlog of truck orders of approximately $238.5 million on March 31, 2007. The Company includes only confirmed orders in its backlog. The Company sells the majority of its new trucks by customer special order, with the remainder sold out of inventory. The delivery time for a custom-ordered truck varies depending on the truck specifications and demand for the particular model ordered; however, due to the decreased demand for trucks, delivery times for heavy-duty trucks have decreased significantly from delivery times during periods of peak demand. As a result, purchasers of heavy-duty trucks do not need to place orders several months in advance and our backlog has significantly decreased for such periods of peak demand.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ectPr>
          <w:pgSz w:w="11900" w:h="16838" w:orient="portrait"/>
          <w:cols w:equalWidth="0" w:num="1">
            <w:col w:w="11380"/>
          </w:cols>
          <w:pgMar w:left="240" w:top="125" w:right="279" w:bottom="167" w:gutter="0" w:footer="0" w:header="0"/>
        </w:sectPr>
      </w:pPr>
    </w:p>
    <w:bookmarkStart w:id="14" w:name="page15"/>
    <w:bookmarkEnd w:id="14"/>
    <w:p>
      <w:pPr>
        <w:ind w:firstLine="648"/>
        <w:spacing w:after="0" w:line="293"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to a high of approximately 291,000 in 2006.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420" w:firstLine="648"/>
        <w:spacing w:after="0" w:line="288"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January 1,</w:t>
      </w:r>
    </w:p>
    <w:p>
      <w:pPr>
        <w:spacing w:after="0" w:line="261" w:lineRule="auto"/>
        <w:rPr>
          <w:sz w:val="20"/>
          <w:szCs w:val="20"/>
          <w:color w:val="auto"/>
        </w:rPr>
      </w:pPr>
      <w:r>
        <w:rPr>
          <w:rFonts w:ascii="Arial" w:cs="Arial" w:eastAsia="Arial" w:hAnsi="Arial"/>
          <w:sz w:val="18"/>
          <w:szCs w:val="18"/>
          <w:color w:val="auto"/>
        </w:rPr>
        <w:t>2007. The 2007 emission guidelines caused the heavy-duty truck industry to experience a significant increase in demand for trucks during 2005, 2006 and the first quarter of 2007 which has been followed by a decrease in demand for heavy-duty trucks.</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Even stricter EPA emissions guidelines regarding nitrous oxides are scheduled to go into effect for all diesel engines built subsequent to January 1, 2010. The 2010 emissions guidelines may create an increase in demand for heavy- and medium-duty trucks in 2009. The magnitude of any pre-buy will be largely dependent upon general economic conditions in the U.S. The EPA has also proposed regulations requiring emissions controls systems on 2010 and later heavy- and medium-duty trucks to be monitored for malfunctions via an onboard diagnostic system similar to those required in passenger vehicles since the mid-1990s, which could also impact demand for trucks.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Company believes that the relatively moderate rates of inflation over the last few years have not had a significant impact on revenues or profitability. The Company does not expect inflation to have any near-term material effects on the sale of its products and services.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is exposed to some market risk through interest rates related to our floor plan borrowing arrangements, variable rate debt and discount rates related to finance sales. Floor plan borrowings are based on LIBOR and are used to meet working capital needs. As of March 31, 2008, the Company had floor plan borrowings of approximately $287.7 million. Assuming an increase in LIBOR of 100 basis points, interest expense could increase by approximately $2.9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$146.2 million on March 31, 2008. These funds are generally invested in highly liquid money market accounts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interest income could correspondingly increase or decrease by approximately $1.5 million.</w:t>
      </w:r>
    </w:p>
    <w:p>
      <w:pPr>
        <w:spacing w:after="0" w:line="1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7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As of March 31, 2008, the Company holds $30.3 million of auction rate securities with underlying tax-exempt municipal bonds with stated maturities of 16 to 25 years. If the Company determines that the fair value of these securities has temporarily increased or decreased by 10%, the Company’s equity could correspondingly increase or decrease by approximately $3.0 million. </w:t>
      </w:r>
      <w:r>
        <w:rPr>
          <w:rFonts w:ascii="Arial" w:cs="Arial" w:eastAsia="Arial" w:hAnsi="Arial"/>
          <w:sz w:val="16"/>
          <w:szCs w:val="16"/>
          <w:color w:val="auto"/>
        </w:rPr>
        <w:t xml:space="preserve">If it is determined that the fair value of these securities is other-than-temporarily impaired by 10%, we could record a loss in our Consolidated Statements of Operations </w:t>
      </w:r>
      <w:r>
        <w:rPr>
          <w:rFonts w:ascii="Arial" w:cs="Arial" w:eastAsia="Arial" w:hAnsi="Arial"/>
          <w:sz w:val="17"/>
          <w:szCs w:val="17"/>
          <w:color w:val="auto"/>
        </w:rPr>
        <w:t>of approximately $3.0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2008 to provide reasonable assurance that information required to be disclosed in the reports filed or submitted under the Securities Exchange Act of 1934 is</w:t>
      </w:r>
    </w:p>
    <w:p>
      <w:pPr>
        <w:spacing w:after="0" w:line="2" w:lineRule="exact"/>
        <w:rPr>
          <w:sz w:val="20"/>
          <w:szCs w:val="20"/>
          <w:color w:val="auto"/>
        </w:rPr>
      </w:pPr>
    </w:p>
    <w:p>
      <w:pPr>
        <w:ind w:right="8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9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March 31, 2008 that has materially affected, or is reasonably likely to materially affect, the Company’s internal control over financial reporting.</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of our 2007 Annual Report on Form 10-K describes some of the risks and uncertainties associated with our business which have the potential to materially affect our business, financial condition or results of operations. Other than the risk factors listed below, we do not believe that there have been any material changes to the risk factors previously disclosed in our 2007 Annual Report on Form 10-K.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Negative conditions in global credit markets may impair our investments in auction rate securities.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Auction rate securities (“ARS”) are long-term debt instruments with interest rates reset through periodic short-term auctions. Holders of ARS can either sell into the auction or bid based on a desired interest rate or hold and accept the reset rate. If there are insufficient buyers, then the auction fails and holders are unable to liquidate their investment through the auction. A failed auction is not a default of the debt instrument, but does set a new interest rate in accordance with the original terms of the debt instrument. The result of a failed auction is that the ARS continues to pay interest in accordance with its terms; however, liquidity for holders is limited until there is a successful auction or until such time as another market for ARS develops. ARS are generally callable at any time by the issuer. Auctions continue to be held as scheduled until the ARS matures or until it is called.</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a result of the recent conditions in the global credit markets, we have been unable to liquidate our holdings of certain ARS because the amount of securities submitted for sale has exceeded the amount of purchase orders for such securities and the auctions failed. For failed auctions, we continue to earn interest on these investments at the contractual rate. In the event we need to access these funds, we will not be able to do so until a future auction is successful, the issuer redeems the securities, a buyer is found outside of the auction process or the securities mature. If these ARS are unable to successfully clear at future auctions or issuers do not redeem the securities, we may be required to adjust the carrying value of the securities and record an impairment charge. If we determine that the fair value of these ARS is temporarily impaired, we would record a temporary impairment within other comprehensive income, a component of stockholders’ equity. If it is determined that the fair value of these securities is other than temporarily impaired, we would record a loss in our Consolidated Statements of Operations, which could materially adversely impact our results of operations and financial condition. Additionally, it may become necessary to classify failed ARS holdings as long-term investments in our Consolidated Balance Sheets in future periods.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2008, we had approximately $30.3 million of investments in 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first quarter of 2008, nor did it repurchase any shares of its Class A Common Stock or Class B Common Stock during the first quarter of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1004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Borders>
              <w:top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Restated Articles of Incorporation of the Registrant (incorporated herein by reference to Exhibit 3.1 of the Company’s Annual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340" w:type="dxa"/>
            <w:vAlign w:val="bottom"/>
            <w:gridSpan w:val="2"/>
          </w:tcPr>
          <w:p>
            <w:pPr>
              <w:ind w:left="300"/>
              <w:spacing w:after="0"/>
              <w:rPr>
                <w:sz w:val="20"/>
                <w:szCs w:val="20"/>
                <w:color w:val="auto"/>
              </w:rPr>
            </w:pPr>
            <w:r>
              <w:rPr>
                <w:rFonts w:ascii="Arial" w:cs="Arial" w:eastAsia="Arial" w:hAnsi="Arial"/>
                <w:sz w:val="18"/>
                <w:szCs w:val="18"/>
                <w:color w:val="auto"/>
              </w:rPr>
              <w:t>Form 10-K (File No. 000-20797) for the year ended December 31, 2004)</w:t>
            </w:r>
          </w:p>
        </w:tc>
        <w:tc>
          <w:tcPr>
            <w:tcW w:w="0" w:type="dxa"/>
            <w:vAlign w:val="bottom"/>
          </w:tcPr>
          <w:p>
            <w:pPr>
              <w:spacing w:after="0"/>
              <w:rPr>
                <w:sz w:val="1"/>
                <w:szCs w:val="1"/>
                <w:color w:val="auto"/>
              </w:rPr>
            </w:pPr>
          </w:p>
        </w:tc>
      </w:tr>
      <w:tr>
        <w:trPr>
          <w:trHeight w:val="418"/>
        </w:trPr>
        <w:tc>
          <w:tcPr>
            <w:tcW w:w="1080" w:type="dxa"/>
            <w:vAlign w:val="bottom"/>
            <w:gridSpan w:val="2"/>
          </w:tcPr>
          <w:p>
            <w:pPr>
              <w:jc w:val="right"/>
              <w:ind w:right="590"/>
              <w:spacing w:after="0"/>
              <w:rPr>
                <w:sz w:val="20"/>
                <w:szCs w:val="20"/>
                <w:color w:val="auto"/>
              </w:rPr>
            </w:pPr>
            <w:r>
              <w:rPr>
                <w:rFonts w:ascii="Arial" w:cs="Arial" w:eastAsia="Arial" w:hAnsi="Arial"/>
                <w:sz w:val="18"/>
                <w:szCs w:val="18"/>
                <w:color w:val="auto"/>
              </w:rPr>
              <w:t>3.2</w:t>
            </w:r>
          </w:p>
        </w:tc>
        <w:tc>
          <w:tcPr>
            <w:tcW w:w="10340" w:type="dxa"/>
            <w:vAlign w:val="bottom"/>
            <w:gridSpan w:val="2"/>
          </w:tcPr>
          <w:p>
            <w:pPr>
              <w:ind w:left="300"/>
              <w:spacing w:after="0"/>
              <w:rPr>
                <w:sz w:val="20"/>
                <w:szCs w:val="20"/>
                <w:color w:val="auto"/>
              </w:rPr>
            </w:pPr>
            <w:r>
              <w:rPr>
                <w:rFonts w:ascii="Arial" w:cs="Arial" w:eastAsia="Arial" w:hAnsi="Arial"/>
                <w:sz w:val="18"/>
                <w:szCs w:val="18"/>
                <w:color w:val="auto"/>
                <w:w w:val="92"/>
              </w:rPr>
              <w:t>Articles of Amendment to the Restated Articles of Incorporation of Rush Enterprises, Inc. (incorporated herein by reference to Exhibit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340" w:type="dxa"/>
            <w:vAlign w:val="bottom"/>
            <w:gridSpan w:val="2"/>
          </w:tcPr>
          <w:p>
            <w:pPr>
              <w:ind w:left="300"/>
              <w:spacing w:after="0"/>
              <w:rPr>
                <w:sz w:val="20"/>
                <w:szCs w:val="20"/>
                <w:color w:val="auto"/>
              </w:rPr>
            </w:pPr>
            <w:r>
              <w:rPr>
                <w:rFonts w:ascii="Arial" w:cs="Arial" w:eastAsia="Arial" w:hAnsi="Arial"/>
                <w:sz w:val="18"/>
                <w:szCs w:val="18"/>
                <w:color w:val="auto"/>
              </w:rPr>
              <w:t>of the Company’s Current Report on Form 8-K (File No. 000-20797) filed September 20, 2007).</w:t>
            </w:r>
          </w:p>
        </w:tc>
        <w:tc>
          <w:tcPr>
            <w:tcW w:w="0" w:type="dxa"/>
            <w:vAlign w:val="bottom"/>
          </w:tcPr>
          <w:p>
            <w:pPr>
              <w:spacing w:after="0"/>
              <w:rPr>
                <w:sz w:val="1"/>
                <w:szCs w:val="1"/>
                <w:color w:val="auto"/>
              </w:rPr>
            </w:pPr>
          </w:p>
        </w:tc>
      </w:tr>
      <w:tr>
        <w:trPr>
          <w:trHeight w:val="418"/>
        </w:trPr>
        <w:tc>
          <w:tcPr>
            <w:tcW w:w="1080" w:type="dxa"/>
            <w:vAlign w:val="bottom"/>
            <w:gridSpan w:val="2"/>
          </w:tcPr>
          <w:p>
            <w:pPr>
              <w:jc w:val="right"/>
              <w:ind w:right="590"/>
              <w:spacing w:after="0"/>
              <w:rPr>
                <w:sz w:val="20"/>
                <w:szCs w:val="20"/>
                <w:color w:val="auto"/>
              </w:rPr>
            </w:pPr>
            <w:r>
              <w:rPr>
                <w:rFonts w:ascii="Arial" w:cs="Arial" w:eastAsia="Arial" w:hAnsi="Arial"/>
                <w:sz w:val="18"/>
                <w:szCs w:val="18"/>
                <w:color w:val="auto"/>
              </w:rPr>
              <w:t>3.3</w:t>
            </w:r>
          </w:p>
        </w:tc>
        <w:tc>
          <w:tcPr>
            <w:tcW w:w="10340" w:type="dxa"/>
            <w:vAlign w:val="bottom"/>
            <w:gridSpan w:val="2"/>
          </w:tcPr>
          <w:p>
            <w:pPr>
              <w:ind w:left="300"/>
              <w:spacing w:after="0"/>
              <w:rPr>
                <w:sz w:val="20"/>
                <w:szCs w:val="20"/>
                <w:color w:val="auto"/>
              </w:rPr>
            </w:pPr>
            <w:r>
              <w:rPr>
                <w:rFonts w:ascii="Arial" w:cs="Arial" w:eastAsia="Arial" w:hAnsi="Arial"/>
                <w:sz w:val="18"/>
                <w:szCs w:val="18"/>
                <w:color w:val="auto"/>
                <w:w w:val="90"/>
              </w:rPr>
              <w:t>Rush Enterprises, Inc. Amended and Restated Bylaws (incorporated herein by reference to Exhibit 3.1 of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340" w:type="dxa"/>
            <w:vAlign w:val="bottom"/>
            <w:gridSpan w:val="2"/>
          </w:tcPr>
          <w:p>
            <w:pPr>
              <w:ind w:left="300"/>
              <w:spacing w:after="0"/>
              <w:rPr>
                <w:sz w:val="20"/>
                <w:szCs w:val="20"/>
                <w:color w:val="auto"/>
              </w:rPr>
            </w:pPr>
            <w:r>
              <w:rPr>
                <w:rFonts w:ascii="Arial" w:cs="Arial" w:eastAsia="Arial" w:hAnsi="Arial"/>
                <w:sz w:val="18"/>
                <w:szCs w:val="18"/>
                <w:color w:val="auto"/>
              </w:rPr>
              <w:t>Form 8-K (File No. 000-20797) filed May 24, 2007).</w:t>
            </w:r>
          </w:p>
        </w:tc>
        <w:tc>
          <w:tcPr>
            <w:tcW w:w="0" w:type="dxa"/>
            <w:vAlign w:val="bottom"/>
          </w:tcPr>
          <w:p>
            <w:pPr>
              <w:spacing w:after="0"/>
              <w:rPr>
                <w:sz w:val="1"/>
                <w:szCs w:val="1"/>
                <w:color w:val="auto"/>
              </w:rPr>
            </w:pPr>
          </w:p>
        </w:tc>
      </w:tr>
    </w:tbl>
    <w:p>
      <w:pPr>
        <w:sectPr>
          <w:pgSz w:w="11900" w:h="16884" w:orient="portrait"/>
          <w:cols w:equalWidth="0" w:num="1">
            <w:col w:w="11420"/>
          </w:cols>
          <w:pgMar w:left="240" w:top="729" w:right="239" w:bottom="0" w:gutter="0" w:footer="0" w:header="0"/>
        </w:sectPr>
      </w:pPr>
    </w:p>
    <w:bookmarkStart w:id="16" w:name="page17"/>
    <w:bookmarkEnd w:id="1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tcPr>
          <w:p>
            <w:pPr>
              <w:ind w:left="400"/>
              <w:spacing w:after="0"/>
              <w:rPr>
                <w:sz w:val="20"/>
                <w:szCs w:val="20"/>
                <w:color w:val="auto"/>
              </w:rPr>
            </w:pPr>
            <w:r>
              <w:rPr>
                <w:rFonts w:ascii="Arial" w:cs="Arial" w:eastAsia="Arial" w:hAnsi="Arial"/>
                <w:sz w:val="18"/>
                <w:szCs w:val="18"/>
                <w:color w:val="auto"/>
                <w:w w:val="90"/>
              </w:rPr>
              <w:t>Certification of CEO pursuant to Rules 13a-14(a) and 15d-14(a) adopted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tcPr>
          <w:p>
            <w:pPr>
              <w:ind w:left="400"/>
              <w:spacing w:after="0"/>
              <w:rPr>
                <w:sz w:val="20"/>
                <w:szCs w:val="20"/>
                <w:color w:val="auto"/>
              </w:rPr>
            </w:pPr>
            <w:r>
              <w:rPr>
                <w:rFonts w:ascii="Arial" w:cs="Arial" w:eastAsia="Arial" w:hAnsi="Arial"/>
                <w:sz w:val="18"/>
                <w:szCs w:val="18"/>
                <w:color w:val="auto"/>
                <w:w w:val="90"/>
              </w:rPr>
              <w:t>Certification of CFO pursuant to Rules 13a-14(a) and 15d-14(a) adopted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tcPr>
          <w:p>
            <w:pPr>
              <w:ind w:left="40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tcPr>
          <w:p>
            <w:pPr>
              <w:ind w:left="40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RUSH ENTERPRISES,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May 9, 2008</w:t>
            </w:r>
          </w:p>
        </w:tc>
        <w:tc>
          <w:tcPr>
            <w:tcW w:w="3180" w:type="dxa"/>
            <w:vAlign w:val="bottom"/>
            <w:vMerge w:val="restart"/>
          </w:tcPr>
          <w:p>
            <w:pPr>
              <w:ind w:left="25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May 9, 2008</w:t>
            </w:r>
          </w:p>
        </w:tc>
        <w:tc>
          <w:tcPr>
            <w:tcW w:w="3180" w:type="dxa"/>
            <w:vAlign w:val="bottom"/>
          </w:tcPr>
          <w:p>
            <w:pPr>
              <w:ind w:left="25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940" w:type="dxa"/>
            <w:vAlign w:val="bottom"/>
            <w:gridSpan w:val="2"/>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80" w:type="dxa"/>
            <w:vAlign w:val="bottom"/>
          </w:tcPr>
          <w:p>
            <w:pPr>
              <w:jc w:val="right"/>
              <w:ind w:right="59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80" w:type="dxa"/>
            <w:vAlign w:val="bottom"/>
          </w:tcPr>
          <w:p>
            <w:pPr>
              <w:jc w:val="center"/>
              <w:ind w:left="1574"/>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120" w:type="dxa"/>
            <w:vAlign w:val="bottom"/>
            <w:gridSpan w:val="3"/>
            <w:vMerge w:val="restart"/>
          </w:tcPr>
          <w:p>
            <w:pPr>
              <w:ind w:left="2660"/>
              <w:spacing w:after="0"/>
              <w:rPr>
                <w:sz w:val="20"/>
                <w:szCs w:val="20"/>
                <w:color w:val="auto"/>
              </w:rPr>
            </w:pPr>
            <w:r>
              <w:rPr>
                <w:rFonts w:ascii="Arial" w:cs="Arial" w:eastAsia="Arial" w:hAnsi="Arial"/>
                <w:sz w:val="14"/>
                <w:szCs w:val="14"/>
                <w:b w:val="1"/>
                <w:bCs w:val="1"/>
                <w:color w:val="auto"/>
              </w:rPr>
              <w:t>Exhibit Title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16"/>
                <w:szCs w:val="16"/>
                <w:color w:val="auto"/>
              </w:rPr>
            </w:pPr>
          </w:p>
        </w:tc>
        <w:tc>
          <w:tcPr>
            <w:tcW w:w="1016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5"/>
              </w:rPr>
              <w:t>Certification of CEO pursuant to Rules 13a-14(a) and 15d-14(a) adopted pursuant to Section 302 of the Sarbanes-Oxley Act of 2002.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5"/>
              </w:rPr>
              <w:t>31.2*</w:t>
            </w:r>
          </w:p>
        </w:tc>
        <w:tc>
          <w:tcPr>
            <w:tcW w:w="10400" w:type="dxa"/>
            <w:vAlign w:val="bottom"/>
            <w:gridSpan w:val="5"/>
          </w:tcPr>
          <w:p>
            <w:pPr>
              <w:ind w:left="240"/>
              <w:spacing w:after="0"/>
              <w:rPr>
                <w:sz w:val="20"/>
                <w:szCs w:val="20"/>
                <w:color w:val="auto"/>
              </w:rPr>
            </w:pPr>
            <w:r>
              <w:rPr>
                <w:rFonts w:ascii="Arial" w:cs="Arial" w:eastAsia="Arial" w:hAnsi="Arial"/>
                <w:sz w:val="18"/>
                <w:szCs w:val="18"/>
                <w:color w:val="auto"/>
                <w:w w:val="96"/>
              </w:rPr>
              <w:t>Certification of CFO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3"/>
          </w:tcPr>
          <w:p>
            <w:pPr>
              <w:jc w:val="center"/>
              <w:spacing w:after="0"/>
              <w:rPr>
                <w:sz w:val="20"/>
                <w:szCs w:val="20"/>
                <w:color w:val="auto"/>
              </w:rPr>
            </w:pPr>
            <w:r>
              <w:rPr>
                <w:rFonts w:ascii="Arial" w:cs="Arial" w:eastAsia="Arial" w:hAnsi="Arial"/>
                <w:sz w:val="18"/>
                <w:szCs w:val="18"/>
                <w:color w:val="auto"/>
              </w:rPr>
              <w:t>32.1**</w:t>
            </w:r>
          </w:p>
        </w:tc>
        <w:tc>
          <w:tcPr>
            <w:tcW w:w="10400" w:type="dxa"/>
            <w:vAlign w:val="bottom"/>
            <w:gridSpan w:val="5"/>
          </w:tcPr>
          <w:p>
            <w:pPr>
              <w:ind w:left="240"/>
              <w:spacing w:after="0"/>
              <w:rPr>
                <w:sz w:val="20"/>
                <w:szCs w:val="20"/>
                <w:color w:val="auto"/>
              </w:rPr>
            </w:pPr>
            <w:r>
              <w:rPr>
                <w:rFonts w:ascii="Arial" w:cs="Arial" w:eastAsia="Arial" w:hAnsi="Arial"/>
                <w:sz w:val="18"/>
                <w:szCs w:val="18"/>
                <w:color w:val="auto"/>
                <w:w w:val="99"/>
              </w:rPr>
              <w:t>Certification of CEO pursuant to 18 U.S.C. Section 1350 as adopted pursuant to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gridSpan w:val="3"/>
          </w:tcPr>
          <w:p>
            <w:pPr>
              <w:jc w:val="center"/>
              <w:spacing w:after="0"/>
              <w:rPr>
                <w:sz w:val="20"/>
                <w:szCs w:val="20"/>
                <w:color w:val="auto"/>
              </w:rPr>
            </w:pPr>
            <w:r>
              <w:rPr>
                <w:rFonts w:ascii="Arial" w:cs="Arial" w:eastAsia="Arial" w:hAnsi="Arial"/>
                <w:sz w:val="18"/>
                <w:szCs w:val="18"/>
                <w:color w:val="auto"/>
              </w:rPr>
              <w:t>32.2**</w:t>
            </w:r>
          </w:p>
        </w:tc>
        <w:tc>
          <w:tcPr>
            <w:tcW w:w="10400" w:type="dxa"/>
            <w:vAlign w:val="bottom"/>
            <w:gridSpan w:val="5"/>
          </w:tcPr>
          <w:p>
            <w:pPr>
              <w:ind w:left="240"/>
              <w:spacing w:after="0"/>
              <w:rPr>
                <w:sz w:val="20"/>
                <w:szCs w:val="20"/>
                <w:color w:val="auto"/>
              </w:rPr>
            </w:pPr>
            <w:r>
              <w:rPr>
                <w:rFonts w:ascii="Arial" w:cs="Arial" w:eastAsia="Arial" w:hAnsi="Arial"/>
                <w:sz w:val="18"/>
                <w:szCs w:val="18"/>
                <w:color w:val="auto"/>
                <w:w w:val="99"/>
              </w:rPr>
              <w:t>Certification of CFO pursuant to 18 U.S.C. Section 1350 as adopted pursuant to Section 906 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32"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8"/>
        <w:spacing w:after="0" w:line="277"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26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80" w:firstLine="656"/>
        <w:spacing w:after="0" w:line="342" w:lineRule="auto"/>
        <w:tabs>
          <w:tab w:leader="none" w:pos="1268"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40" w:firstLine="656"/>
        <w:spacing w:after="0" w:line="264"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700" w:firstLine="656"/>
        <w:spacing w:after="0" w:line="308" w:lineRule="auto"/>
        <w:tabs>
          <w:tab w:leader="none" w:pos="1268"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656"/>
        <w:spacing w:after="0" w:line="277"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May 9, 2008</w:t>
            </w:r>
          </w:p>
        </w:tc>
        <w:tc>
          <w:tcPr>
            <w:tcW w:w="2700" w:type="dxa"/>
            <w:vAlign w:val="bottom"/>
          </w:tcPr>
          <w:p>
            <w:pPr>
              <w:ind w:left="2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70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8"/>
        <w:spacing w:after="0" w:line="277"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26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279"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80" w:firstLine="656"/>
        <w:spacing w:after="0" w:line="342" w:lineRule="auto"/>
        <w:tabs>
          <w:tab w:leader="none" w:pos="1268"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40" w:firstLine="656"/>
        <w:spacing w:after="0" w:line="264" w:lineRule="auto"/>
        <w:tabs>
          <w:tab w:leader="none" w:pos="1279"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3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700" w:firstLine="656"/>
        <w:spacing w:after="0" w:line="308" w:lineRule="auto"/>
        <w:tabs>
          <w:tab w:leader="none" w:pos="1268"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656"/>
        <w:spacing w:after="0" w:line="277" w:lineRule="auto"/>
        <w:tabs>
          <w:tab w:leader="none" w:pos="127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May 9, 2008</w:t>
            </w:r>
          </w:p>
        </w:tc>
        <w:tc>
          <w:tcPr>
            <w:tcW w:w="7720" w:type="dxa"/>
            <w:vAlign w:val="bottom"/>
            <w:gridSpan w:val="2"/>
          </w:tcPr>
          <w:p>
            <w:pPr>
              <w:ind w:left="2100"/>
              <w:spacing w:after="0"/>
              <w:rPr>
                <w:sz w:val="20"/>
                <w:szCs w:val="20"/>
                <w:color w:val="auto"/>
              </w:rPr>
            </w:pPr>
            <w:r>
              <w:rPr>
                <w:rFonts w:ascii="Arial" w:cs="Arial" w:eastAsia="Arial" w:hAnsi="Arial"/>
                <w:sz w:val="18"/>
                <w:szCs w:val="18"/>
                <w:color w:val="auto"/>
              </w:rPr>
              <w:t>By:   /S/ STEVEN L. KELLER</w:t>
            </w:r>
          </w:p>
        </w:tc>
        <w:tc>
          <w:tcPr>
            <w:tcW w:w="4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348"/>
        </w:trPr>
        <w:tc>
          <w:tcPr>
            <w:tcW w:w="370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50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2008,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100"/>
              <w:spacing w:after="0"/>
              <w:rPr>
                <w:sz w:val="20"/>
                <w:szCs w:val="20"/>
                <w:color w:val="auto"/>
              </w:rPr>
            </w:pPr>
            <w:r>
              <w:rPr>
                <w:rFonts w:ascii="Arial" w:cs="Arial" w:eastAsia="Arial" w:hAnsi="Arial"/>
                <w:sz w:val="18"/>
                <w:szCs w:val="18"/>
                <w:color w:val="auto"/>
              </w:rPr>
              <w:t>/S/ W.M. “RUSTY” RUSH</w:t>
            </w:r>
          </w:p>
        </w:tc>
      </w:tr>
      <w:tr>
        <w:trPr>
          <w:trHeight w:val="195"/>
        </w:trPr>
        <w:tc>
          <w:tcPr>
            <w:tcW w:w="440" w:type="dxa"/>
            <w:vAlign w:val="bottom"/>
          </w:tcPr>
          <w:p>
            <w:pPr>
              <w:spacing w:after="0" w:line="195" w:lineRule="exact"/>
              <w:rPr>
                <w:sz w:val="20"/>
                <w:szCs w:val="20"/>
                <w:color w:val="auto"/>
              </w:rPr>
            </w:pPr>
            <w:r>
              <w:rPr>
                <w:rFonts w:ascii="Arial" w:cs="Arial" w:eastAsia="Arial" w:hAnsi="Arial"/>
                <w:sz w:val="18"/>
                <w:szCs w:val="18"/>
                <w:color w:val="auto"/>
                <w:w w:val="79"/>
              </w:rPr>
              <w:t>Name:</w:t>
            </w:r>
          </w:p>
        </w:tc>
        <w:tc>
          <w:tcPr>
            <w:tcW w:w="140" w:type="dxa"/>
            <w:vAlign w:val="bottom"/>
            <w:tcBorders>
              <w:top w:val="single" w:sz="8" w:color="auto"/>
            </w:tcBorders>
          </w:tcPr>
          <w:p>
            <w:pPr>
              <w:spacing w:after="0"/>
              <w:rPr>
                <w:sz w:val="16"/>
                <w:szCs w:val="16"/>
                <w:color w:val="auto"/>
              </w:rPr>
            </w:pPr>
          </w:p>
        </w:tc>
        <w:tc>
          <w:tcPr>
            <w:tcW w:w="50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20"/>
              <w:spacing w:after="0"/>
              <w:rPr>
                <w:sz w:val="20"/>
                <w:szCs w:val="20"/>
                <w:color w:val="auto"/>
              </w:rPr>
            </w:pPr>
            <w:r>
              <w:rPr>
                <w:rFonts w:ascii="Arial" w:cs="Arial" w:eastAsia="Arial" w:hAnsi="Arial"/>
                <w:sz w:val="18"/>
                <w:szCs w:val="18"/>
                <w:color w:val="auto"/>
              </w:rPr>
              <w:t>May 9, 2008</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2008,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spacing w:after="0"/>
              <w:rPr>
                <w:sz w:val="20"/>
                <w:szCs w:val="20"/>
                <w:color w:val="auto"/>
              </w:rPr>
            </w:pPr>
            <w:r>
              <w:rPr>
                <w:rFonts w:ascii="Arial" w:cs="Arial" w:eastAsia="Arial" w:hAnsi="Arial"/>
                <w:sz w:val="18"/>
                <w:szCs w:val="18"/>
                <w:color w:val="auto"/>
              </w:rPr>
              <w:t>May 9, 2008</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2019-12-14T08:08:05Z</dcterms:created>
  <dcterms:modified xsi:type="dcterms:W3CDTF">2019-12-14T08:08:05Z</dcterms:modified>
</cp:coreProperties>
</file>