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80"/>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0" w:lineRule="exact"/>
        <w:rPr>
          <w:sz w:val="20"/>
          <w:szCs w:val="20"/>
          <w:color w:val="auto"/>
        </w:rPr>
      </w:pPr>
    </w:p>
    <w:p>
      <w:pPr>
        <w:ind w:left="1500" w:right="339" w:hanging="918"/>
        <w:spacing w:after="0" w:line="237"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9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2980"/>
        <w:spacing w:after="0"/>
        <w:tabs>
          <w:tab w:leader="none" w:pos="6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Commission File Number 0-20797</w:t>
      </w:r>
    </w:p>
    <w:p>
      <w:pPr>
        <w:spacing w:after="0" w:line="173" w:lineRule="exact"/>
        <w:rPr>
          <w:sz w:val="20"/>
          <w:szCs w:val="20"/>
          <w:color w:val="auto"/>
        </w:rPr>
      </w:pPr>
    </w:p>
    <w:p>
      <w:pPr>
        <w:jc w:val="center"/>
        <w:ind w:right="-180"/>
        <w:spacing w:after="0"/>
        <w:rPr>
          <w:sz w:val="20"/>
          <w:szCs w:val="20"/>
          <w:color w:val="auto"/>
        </w:rPr>
      </w:pPr>
      <w:r>
        <w:rPr>
          <w:rFonts w:ascii="Arial" w:cs="Arial" w:eastAsia="Arial" w:hAnsi="Arial"/>
          <w:sz w:val="43"/>
          <w:szCs w:val="43"/>
          <w:b w:val="1"/>
          <w:bCs w:val="1"/>
          <w:color w:val="auto"/>
        </w:rPr>
        <w:t>RUSH ENTERPRISES, INC.</w:t>
      </w:r>
    </w:p>
    <w:p>
      <w:pPr>
        <w:spacing w:after="0" w:line="5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22" w:right="1440" w:bottom="711" w:gutter="0" w:footer="0" w:header="0"/>
        </w:sectPr>
      </w:pPr>
    </w:p>
    <w:p>
      <w:pPr>
        <w:spacing w:after="0" w:line="20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74-1733016</w:t>
      </w:r>
    </w:p>
    <w:p>
      <w:pPr>
        <w:spacing w:after="0" w:line="23" w:lineRule="exact"/>
        <w:rPr>
          <w:sz w:val="20"/>
          <w:szCs w:val="20"/>
          <w:color w:val="auto"/>
        </w:rPr>
      </w:pPr>
    </w:p>
    <w:p>
      <w:pPr>
        <w:jc w:val="center"/>
        <w:ind w:right="1179"/>
        <w:spacing w:after="0"/>
        <w:rPr>
          <w:sz w:val="20"/>
          <w:szCs w:val="20"/>
          <w:color w:val="auto"/>
        </w:rPr>
      </w:pPr>
      <w:r>
        <w:rPr>
          <w:rFonts w:ascii="Arial" w:cs="Arial" w:eastAsia="Arial" w:hAnsi="Arial"/>
          <w:sz w:val="16"/>
          <w:szCs w:val="16"/>
          <w:color w:val="auto"/>
        </w:rPr>
        <w:t>(I.R.S. Employer Identification No.)</w:t>
      </w:r>
    </w:p>
    <w:p>
      <w:pPr>
        <w:spacing w:after="0" w:line="409" w:lineRule="exact"/>
        <w:rPr>
          <w:sz w:val="20"/>
          <w:szCs w:val="20"/>
          <w:color w:val="auto"/>
        </w:rPr>
      </w:pPr>
    </w:p>
    <w:p>
      <w:pPr>
        <w:sectPr>
          <w:pgSz w:w="11900" w:h="16838" w:orient="portrait"/>
          <w:cols w:equalWidth="0" w:num="2">
            <w:col w:w="5720" w:space="720"/>
            <w:col w:w="3779"/>
          </w:cols>
          <w:pgMar w:left="240" w:top="122" w:right="1440" w:bottom="711" w:gutter="0" w:footer="0" w:header="0"/>
          <w:type w:val="continuous"/>
        </w:sectPr>
      </w:pPr>
    </w:p>
    <w:p>
      <w:pPr>
        <w:jc w:val="center"/>
        <w:ind w:right="-180"/>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New Braunfels, Texas 78130</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(Zip Code)</w:t>
      </w:r>
    </w:p>
    <w:p>
      <w:pPr>
        <w:spacing w:after="0" w:line="17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(830) 626-5200</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8" w:lineRule="exact"/>
        <w:rPr>
          <w:sz w:val="20"/>
          <w:szCs w:val="20"/>
          <w:color w:val="auto"/>
        </w:rPr>
      </w:pPr>
    </w:p>
    <w:p>
      <w:pPr>
        <w:jc w:val="center"/>
        <w:ind w:right="-160"/>
        <w:spacing w:after="0" w:line="207" w:lineRule="exact"/>
        <w:tabs>
          <w:tab w:leader="none" w:pos="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7"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6" w:lineRule="exact"/>
        <w:rPr>
          <w:sz w:val="20"/>
          <w:szCs w:val="20"/>
          <w:color w:val="auto"/>
        </w:rPr>
      </w:pPr>
    </w:p>
    <w:p>
      <w:pPr>
        <w:jc w:val="center"/>
        <w:ind w:right="-160"/>
        <w:spacing w:after="0" w:line="207" w:lineRule="exact"/>
        <w:tabs>
          <w:tab w:leader="none" w:pos="2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19"/>
          </w:cols>
          <w:pgMar w:left="240" w:top="122" w:right="1440" w:bottom="711" w:gutter="0" w:footer="0" w:header="0"/>
          <w:type w:val="continuous"/>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3" w:lineRule="exact"/>
        <w:rPr>
          <w:sz w:val="20"/>
          <w:szCs w:val="20"/>
          <w:color w:val="auto"/>
        </w:rPr>
      </w:pPr>
    </w:p>
    <w:p>
      <w:pPr>
        <w:sectPr>
          <w:pgSz w:w="11900" w:h="16838" w:orient="portrait"/>
          <w:cols w:equalWidth="0" w:num="4">
            <w:col w:w="2080" w:space="420"/>
            <w:col w:w="1420" w:space="420"/>
            <w:col w:w="3340" w:space="260"/>
            <w:col w:w="2279"/>
          </w:cols>
          <w:pgMar w:left="240" w:top="122" w:right="1440" w:bottom="711" w:gutter="0" w:footer="0" w:header="0"/>
          <w:type w:val="continuous"/>
        </w:sectPr>
      </w:pPr>
    </w:p>
    <w:p>
      <w:pPr>
        <w:jc w:val="center"/>
        <w:ind w:right="599"/>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77" w:lineRule="exact"/>
        <w:rPr>
          <w:sz w:val="20"/>
          <w:szCs w:val="20"/>
          <w:color w:val="auto"/>
        </w:rPr>
      </w:pPr>
    </w:p>
    <w:p>
      <w:pPr>
        <w:jc w:val="center"/>
        <w:ind w:right="-160"/>
        <w:spacing w:after="0" w:line="207" w:lineRule="exact"/>
        <w:tabs>
          <w:tab w:leader="none" w:pos="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Indicated below is the number of shares outstanding of each of the issuer’s classes of common stock, as of August 5, 2011.</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5"/>
              </w:rPr>
              <w:t>Number of</w:t>
            </w:r>
          </w:p>
        </w:tc>
      </w:tr>
      <w:tr>
        <w:trPr>
          <w:trHeight w:val="216"/>
        </w:trPr>
        <w:tc>
          <w:tcPr>
            <w:tcW w:w="4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84"/>
              </w:rPr>
              <w:t>Shares</w:t>
            </w:r>
          </w:p>
        </w:tc>
      </w:tr>
      <w:tr>
        <w:trPr>
          <w:trHeight w:val="230"/>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Title of Class</w:t>
            </w:r>
          </w:p>
        </w:tc>
        <w:tc>
          <w:tcPr>
            <w:tcW w:w="480" w:type="dxa"/>
            <w:vAlign w:val="bottom"/>
          </w:tcPr>
          <w:p>
            <w:pPr>
              <w:spacing w:after="0"/>
              <w:rPr>
                <w:sz w:val="20"/>
                <w:szCs w:val="20"/>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r>
      <w:tr>
        <w:trPr>
          <w:trHeight w:val="195"/>
        </w:trPr>
        <w:tc>
          <w:tcPr>
            <w:tcW w:w="4600" w:type="dxa"/>
            <w:vAlign w:val="bottom"/>
          </w:tcPr>
          <w:p>
            <w:pPr>
              <w:jc w:val="center"/>
              <w:spacing w:after="0" w:line="195" w:lineRule="exact"/>
              <w:rPr>
                <w:sz w:val="20"/>
                <w:szCs w:val="20"/>
                <w:color w:val="auto"/>
              </w:rPr>
            </w:pPr>
            <w:r>
              <w:rPr>
                <w:rFonts w:ascii="Arial" w:cs="Arial" w:eastAsia="Arial" w:hAnsi="Arial"/>
                <w:sz w:val="18"/>
                <w:szCs w:val="18"/>
                <w:color w:val="auto"/>
                <w:w w:val="89"/>
              </w:rPr>
              <w:t>Class A Common Stock, $.01 Par Value</w:t>
            </w:r>
          </w:p>
        </w:tc>
        <w:tc>
          <w:tcPr>
            <w:tcW w:w="480" w:type="dxa"/>
            <w:vAlign w:val="bottom"/>
          </w:tcPr>
          <w:p>
            <w:pPr>
              <w:spacing w:after="0"/>
              <w:rPr>
                <w:sz w:val="16"/>
                <w:szCs w:val="16"/>
                <w:color w:val="auto"/>
              </w:rPr>
            </w:pPr>
          </w:p>
        </w:tc>
        <w:tc>
          <w:tcPr>
            <w:tcW w:w="4640" w:type="dxa"/>
            <w:vAlign w:val="bottom"/>
          </w:tcPr>
          <w:p>
            <w:pPr>
              <w:jc w:val="center"/>
              <w:spacing w:after="0" w:line="195" w:lineRule="exact"/>
              <w:rPr>
                <w:sz w:val="20"/>
                <w:szCs w:val="20"/>
                <w:color w:val="auto"/>
              </w:rPr>
            </w:pPr>
            <w:r>
              <w:rPr>
                <w:rFonts w:ascii="Arial" w:cs="Arial" w:eastAsia="Arial" w:hAnsi="Arial"/>
                <w:sz w:val="18"/>
                <w:szCs w:val="18"/>
                <w:color w:val="auto"/>
                <w:w w:val="88"/>
              </w:rPr>
              <w:t>27,214,202</w:t>
            </w:r>
          </w:p>
        </w:tc>
      </w:tr>
      <w:tr>
        <w:trPr>
          <w:trHeight w:val="230"/>
        </w:trPr>
        <w:tc>
          <w:tcPr>
            <w:tcW w:w="4600" w:type="dxa"/>
            <w:vAlign w:val="bottom"/>
          </w:tcPr>
          <w:p>
            <w:pPr>
              <w:jc w:val="center"/>
              <w:spacing w:after="0"/>
              <w:rPr>
                <w:sz w:val="20"/>
                <w:szCs w:val="20"/>
                <w:color w:val="auto"/>
              </w:rPr>
            </w:pPr>
            <w:r>
              <w:rPr>
                <w:rFonts w:ascii="Arial" w:cs="Arial" w:eastAsia="Arial" w:hAnsi="Arial"/>
                <w:sz w:val="18"/>
                <w:szCs w:val="18"/>
                <w:color w:val="auto"/>
                <w:w w:val="89"/>
              </w:rPr>
              <w:t>Class B Common Stock, $.01 Par Value</w:t>
            </w:r>
          </w:p>
        </w:tc>
        <w:tc>
          <w:tcPr>
            <w:tcW w:w="5120" w:type="dxa"/>
            <w:vAlign w:val="bottom"/>
            <w:gridSpan w:val="2"/>
          </w:tcPr>
          <w:p>
            <w:pPr>
              <w:jc w:val="center"/>
              <w:ind w:left="390"/>
              <w:spacing w:after="0"/>
              <w:rPr>
                <w:sz w:val="20"/>
                <w:szCs w:val="20"/>
                <w:color w:val="auto"/>
              </w:rPr>
            </w:pPr>
            <w:r>
              <w:rPr>
                <w:rFonts w:ascii="Arial" w:cs="Arial" w:eastAsia="Arial" w:hAnsi="Arial"/>
                <w:sz w:val="18"/>
                <w:szCs w:val="18"/>
                <w:color w:val="auto"/>
                <w:w w:val="88"/>
              </w:rPr>
              <w:t>10,726,072</w:t>
            </w:r>
          </w:p>
        </w:tc>
      </w:tr>
      <w:tr>
        <w:trPr>
          <w:trHeight w:val="237"/>
        </w:trPr>
        <w:tc>
          <w:tcPr>
            <w:tcW w:w="4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711"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00" w:type="dxa"/>
            <w:vAlign w:val="bottom"/>
            <w:gridSpan w:val="12"/>
          </w:tcPr>
          <w:p>
            <w:pPr>
              <w:jc w:val="center"/>
              <w:ind w:right="172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4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60" w:type="dxa"/>
            <w:vAlign w:val="bottom"/>
            <w:gridSpan w:val="16"/>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600" w:type="dxa"/>
            <w:vAlign w:val="bottom"/>
            <w:gridSpan w:val="11"/>
            <w:vMerge w:val="restart"/>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3060" w:type="dxa"/>
            <w:vAlign w:val="bottom"/>
            <w:tcBorders>
              <w:bottom w:val="single" w:sz="8" w:color="0000EE"/>
            </w:tcBorders>
            <w:gridSpan w:val="16"/>
            <w:vMerge w:val="continue"/>
          </w:tcPr>
          <w:p>
            <w:pPr>
              <w:spacing w:after="0"/>
              <w:rPr>
                <w:sz w:val="14"/>
                <w:szCs w:val="14"/>
                <w:color w:val="auto"/>
              </w:rPr>
            </w:pPr>
          </w:p>
        </w:tc>
        <w:tc>
          <w:tcPr>
            <w:tcW w:w="5600" w:type="dxa"/>
            <w:vAlign w:val="bottom"/>
            <w:gridSpan w:val="11"/>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6400" w:type="dxa"/>
            <w:vAlign w:val="bottom"/>
            <w:gridSpan w:val="15"/>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 June 30, 2011 (unaudited) and December 31, 2010</w:t>
              </w:r>
            </w:hyperlink>
          </w:p>
        </w:tc>
        <w:tc>
          <w:tcPr>
            <w:tcW w:w="226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Income — For the Three and Six Months Ended June 30, 2011 and 2010</w:t>
              </w:r>
            </w:hyperlink>
          </w:p>
        </w:tc>
        <w:tc>
          <w:tcPr>
            <w:tcW w:w="100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6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24"/>
          </w:tcPr>
          <w:p>
            <w:pPr>
              <w:spacing w:after="0"/>
              <w:rPr>
                <w:rFonts w:ascii="Arial" w:cs="Arial" w:eastAsia="Arial" w:hAnsi="Arial"/>
                <w:sz w:val="18"/>
                <w:szCs w:val="18"/>
                <w:color w:val="0000EE"/>
                <w:w w:val="96"/>
              </w:rPr>
            </w:pPr>
            <w:hyperlink w:anchor="page6">
              <w:r>
                <w:rPr>
                  <w:rFonts w:ascii="Arial" w:cs="Arial" w:eastAsia="Arial" w:hAnsi="Arial"/>
                  <w:sz w:val="18"/>
                  <w:szCs w:val="18"/>
                  <w:color w:val="0000EE"/>
                  <w:w w:val="96"/>
                </w:rPr>
                <w:t>Consolidated Statements of Cash Flows — For the Six Months Ended June 30, 2011 and 2010 (unaudited)</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60" w:type="dxa"/>
            <w:vAlign w:val="bottom"/>
            <w:tcBorders>
              <w:top w:val="single" w:sz="8" w:color="0000EE"/>
            </w:tcBorders>
            <w:gridSpan w:val="2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6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14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Item 4. Controls and Procedures</w:t>
              </w:r>
            </w:hyperlink>
          </w:p>
        </w:tc>
        <w:tc>
          <w:tcPr>
            <w:tcW w:w="614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2760" w:type="dxa"/>
            <w:vAlign w:val="bottom"/>
            <w:tcBorders>
              <w:bottom w:val="single" w:sz="8" w:color="0000EE"/>
            </w:tcBorders>
            <w:gridSpan w:val="1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5900" w:type="dxa"/>
            <w:vAlign w:val="bottom"/>
            <w:gridSpan w:val="12"/>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Borders>
              <w:top w:val="single" w:sz="8" w:color="0000EE"/>
            </w:tcBorders>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6580" w:type="dxa"/>
            <w:vAlign w:val="bottom"/>
            <w:gridSpan w:val="1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2. Unregistered Sales of Equity Securities and Use of Proceeds</w:t>
              </w:r>
            </w:hyperlink>
          </w:p>
        </w:tc>
        <w:tc>
          <w:tcPr>
            <w:tcW w:w="356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3. Defaults Upon Senior Securities</w:t>
              </w:r>
            </w:hyperlink>
          </w:p>
        </w:tc>
        <w:tc>
          <w:tcPr>
            <w:tcW w:w="558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2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5. Other Information</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Borders>
              <w:top w:val="single" w:sz="8" w:color="0000EE"/>
            </w:tcBorders>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6. Exhibits</w:t>
              </w:r>
            </w:hyperlink>
          </w:p>
        </w:tc>
        <w:tc>
          <w:tcPr>
            <w:tcW w:w="6600" w:type="dxa"/>
            <w:vAlign w:val="bottom"/>
            <w:gridSpan w:val="1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27"/>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4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Exhibit 31.1</w:t>
            </w:r>
          </w:p>
        </w:tc>
        <w:tc>
          <w:tcPr>
            <w:tcW w:w="7520" w:type="dxa"/>
            <w:vAlign w:val="bottom"/>
            <w:gridSpan w:val="21"/>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Exhibit 31.2</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Exhibit 32.1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Exhibit 32.2</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EX-101 INSTANCE DOCUMENT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48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7"/>
              </w:rPr>
              <w:t>EX-101 SCHEMA DOCUMENT</w:t>
            </w:r>
          </w:p>
        </w:tc>
        <w:tc>
          <w:tcPr>
            <w:tcW w:w="6140" w:type="dxa"/>
            <w:vAlign w:val="bottom"/>
            <w:gridSpan w:val="13"/>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60" w:type="dxa"/>
            <w:vAlign w:val="bottom"/>
            <w:gridSpan w:val="12"/>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78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5"/>
              </w:rPr>
              <w:t>EX-101 CALCULATION LINKBASE DOCUMENT</w:t>
            </w:r>
          </w:p>
        </w:tc>
        <w:tc>
          <w:tcPr>
            <w:tcW w:w="484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26"/>
          </w:tcPr>
          <w:p>
            <w:pPr>
              <w:spacing w:after="0" w:line="196" w:lineRule="exact"/>
              <w:rPr>
                <w:sz w:val="20"/>
                <w:szCs w:val="20"/>
                <w:color w:val="auto"/>
              </w:rPr>
            </w:pPr>
            <w:r>
              <w:rPr>
                <w:rFonts w:ascii="Arial" w:cs="Arial" w:eastAsia="Arial" w:hAnsi="Arial"/>
                <w:sz w:val="18"/>
                <w:szCs w:val="18"/>
                <w:color w:val="0000EE"/>
              </w:rPr>
              <w:t>EX-101 LABELS LINKBASE DOCUMENT</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2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7240" w:type="dxa"/>
            <w:vAlign w:val="bottom"/>
            <w:gridSpan w:val="8"/>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7240" w:type="dxa"/>
            <w:vAlign w:val="bottom"/>
            <w:gridSpan w:val="8"/>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8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5"/>
              </w:rPr>
              <w:t>JUNE 30, 2011 AND DECEMBER 31, 2010</w:t>
            </w:r>
          </w:p>
        </w:tc>
        <w:tc>
          <w:tcPr>
            <w:tcW w:w="7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40" w:type="dxa"/>
            <w:vAlign w:val="bottom"/>
            <w:gridSpan w:val="4"/>
          </w:tcPr>
          <w:p>
            <w:pPr>
              <w:jc w:val="center"/>
              <w:ind w:right="820"/>
              <w:spacing w:after="0"/>
              <w:rPr>
                <w:sz w:val="20"/>
                <w:szCs w:val="20"/>
                <w:color w:val="auto"/>
              </w:rPr>
            </w:pPr>
            <w:r>
              <w:rPr>
                <w:rFonts w:ascii="Arial" w:cs="Arial" w:eastAsia="Arial" w:hAnsi="Arial"/>
                <w:sz w:val="18"/>
                <w:szCs w:val="18"/>
                <w:b w:val="1"/>
                <w:bCs w:val="1"/>
                <w:color w:val="auto"/>
                <w:w w:val="89"/>
              </w:rPr>
              <w:t>(In Thousands, Except Shares)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146,285</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70,743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43,513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451,887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7,350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687,290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558,807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475,385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445,919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Goodwill,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176,329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150,388</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Other assets, net</w:t>
            </w:r>
          </w:p>
        </w:tc>
        <w:tc>
          <w:tcPr>
            <w:tcW w:w="1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4,668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1,350,300</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1,167,933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240" w:type="dxa"/>
            <w:vAlign w:val="bottom"/>
            <w:gridSpan w:val="8"/>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Floor plan notes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352,551</w:t>
            </w:r>
          </w:p>
        </w:tc>
        <w:tc>
          <w:tcPr>
            <w:tcW w:w="200" w:type="dxa"/>
            <w:vAlign w:val="bottom"/>
          </w:tcPr>
          <w:p>
            <w:pPr>
              <w:spacing w:after="0"/>
              <w:rPr>
                <w:sz w:val="18"/>
                <w:szCs w:val="18"/>
                <w:color w:val="auto"/>
              </w:rPr>
            </w:pP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237,810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57,933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8,935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48,918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78,042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69,036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546,379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415,029</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206,887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189,850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32,608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72,452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63,540</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40" w:type="dxa"/>
            <w:vAlign w:val="bottom"/>
            <w:gridSpan w:val="8"/>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240" w:type="dxa"/>
            <w:vAlign w:val="bottom"/>
            <w:gridSpan w:val="8"/>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Preferred stock, par value $.01 per share; 1,000,000 shares authorized; 0 shares outstanding</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40" w:type="dxa"/>
            <w:vAlign w:val="bottom"/>
            <w:gridSpan w:val="8"/>
            <w:shd w:val="clear" w:color="auto" w:fill="CCEEFF"/>
          </w:tcPr>
          <w:p>
            <w:pPr>
              <w:ind w:left="400"/>
              <w:spacing w:after="0"/>
              <w:rPr>
                <w:sz w:val="20"/>
                <w:szCs w:val="20"/>
                <w:color w:val="auto"/>
              </w:rPr>
            </w:pPr>
            <w:r>
              <w:rPr>
                <w:rFonts w:ascii="Arial" w:cs="Arial" w:eastAsia="Arial" w:hAnsi="Arial"/>
                <w:sz w:val="18"/>
                <w:szCs w:val="18"/>
                <w:color w:val="auto"/>
              </w:rPr>
              <w:t>in 2011 and 2010</w:t>
            </w:r>
          </w:p>
        </w:tc>
        <w:tc>
          <w:tcPr>
            <w:tcW w:w="1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240" w:type="dxa"/>
            <w:vAlign w:val="bottom"/>
            <w:gridSpan w:val="8"/>
          </w:tcPr>
          <w:p>
            <w:pPr>
              <w:ind w:left="200"/>
              <w:spacing w:after="0" w:line="201" w:lineRule="exact"/>
              <w:rPr>
                <w:sz w:val="20"/>
                <w:szCs w:val="20"/>
                <w:color w:val="auto"/>
              </w:rPr>
            </w:pPr>
            <w:r>
              <w:rPr>
                <w:rFonts w:ascii="Arial" w:cs="Arial" w:eastAsia="Arial" w:hAnsi="Arial"/>
                <w:sz w:val="18"/>
                <w:szCs w:val="18"/>
                <w:color w:val="auto"/>
                <w:w w:val="94"/>
              </w:rPr>
              <w:t>Common stock, par value $.01 per share; 60,000,000 class A shares and 20,000,000 class B</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400"/>
              <w:spacing w:after="0"/>
              <w:rPr>
                <w:sz w:val="20"/>
                <w:szCs w:val="20"/>
                <w:color w:val="auto"/>
              </w:rPr>
            </w:pPr>
            <w:r>
              <w:rPr>
                <w:rFonts w:ascii="Arial" w:cs="Arial" w:eastAsia="Arial" w:hAnsi="Arial"/>
                <w:sz w:val="18"/>
                <w:szCs w:val="18"/>
                <w:color w:val="auto"/>
                <w:w w:val="92"/>
              </w:rPr>
              <w:t>shares authorized; 27,155,861 class A shares and 10,725,472 class B shares outstanding in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40" w:type="dxa"/>
            <w:vAlign w:val="bottom"/>
            <w:gridSpan w:val="8"/>
          </w:tcPr>
          <w:p>
            <w:pPr>
              <w:ind w:left="400"/>
              <w:spacing w:after="0"/>
              <w:rPr>
                <w:sz w:val="20"/>
                <w:szCs w:val="20"/>
                <w:color w:val="auto"/>
              </w:rPr>
            </w:pPr>
            <w:r>
              <w:rPr>
                <w:rFonts w:ascii="Arial" w:cs="Arial" w:eastAsia="Arial" w:hAnsi="Arial"/>
                <w:sz w:val="18"/>
                <w:szCs w:val="18"/>
                <w:color w:val="auto"/>
                <w:w w:val="95"/>
              </w:rPr>
              <w:t>2011; and 26,798,707 class A shares and 10,700,044 class B shares outstanding in 2010</w:t>
            </w: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202,940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Treasury stock, at cost: 1,639,843 class B shares</w:t>
            </w: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(17,948)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306,736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tcPr>
          <w:p>
            <w:pPr>
              <w:ind w:left="200"/>
              <w:spacing w:after="0"/>
              <w:rPr>
                <w:sz w:val="20"/>
                <w:szCs w:val="20"/>
                <w:color w:val="auto"/>
              </w:rPr>
            </w:pPr>
            <w:r>
              <w:rPr>
                <w:rFonts w:ascii="Arial" w:cs="Arial" w:eastAsia="Arial" w:hAnsi="Arial"/>
                <w:sz w:val="18"/>
                <w:szCs w:val="18"/>
                <w:color w:val="auto"/>
              </w:rPr>
              <w:t>Accumulated other comprehensive loss, net of tax</w:t>
            </w: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4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464,919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240" w:type="dxa"/>
            <w:vAlign w:val="bottom"/>
            <w:gridSpan w:val="8"/>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1,350,300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1,167,933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016"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016"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6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20" w:type="dxa"/>
            <w:vAlign w:val="bottom"/>
          </w:tcPr>
          <w:p>
            <w:pPr>
              <w:spacing w:after="0"/>
              <w:rPr>
                <w:sz w:val="24"/>
                <w:szCs w:val="24"/>
                <w:color w:val="auto"/>
              </w:rPr>
            </w:pPr>
          </w:p>
        </w:tc>
        <w:tc>
          <w:tcPr>
            <w:tcW w:w="40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auto"/>
            </w:tcBorders>
            <w:gridSpan w:val="8"/>
          </w:tcPr>
          <w:p>
            <w:pPr>
              <w:jc w:val="center"/>
              <w:spacing w:after="0" w:line="196" w:lineRule="exact"/>
              <w:rPr>
                <w:sz w:val="20"/>
                <w:szCs w:val="20"/>
                <w:color w:val="auto"/>
              </w:rPr>
            </w:pPr>
            <w:r>
              <w:rPr>
                <w:rFonts w:ascii="Arial" w:cs="Arial" w:eastAsia="Arial" w:hAnsi="Arial"/>
                <w:sz w:val="18"/>
                <w:szCs w:val="18"/>
                <w:b w:val="1"/>
                <w:bCs w:val="1"/>
                <w:color w:val="auto"/>
              </w:rPr>
              <w:t>CONSOLIDATED STATEMENTS OF INCOME</w:t>
            </w:r>
          </w:p>
        </w:tc>
        <w:tc>
          <w:tcPr>
            <w:tcW w:w="5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11"/>
          </w:tcPr>
          <w:p>
            <w:pPr>
              <w:jc w:val="center"/>
              <w:ind w:right="58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24"/>
                <w:szCs w:val="24"/>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ind w:left="400"/>
              <w:spacing w:after="0"/>
              <w:rPr>
                <w:sz w:val="20"/>
                <w:szCs w:val="20"/>
                <w:color w:val="auto"/>
              </w:rPr>
            </w:pPr>
            <w:r>
              <w:rPr>
                <w:rFonts w:ascii="Arial" w:cs="Arial" w:eastAsia="Arial" w:hAnsi="Arial"/>
                <w:sz w:val="18"/>
                <w:szCs w:val="18"/>
                <w:color w:val="auto"/>
              </w:rPr>
              <w:t>New and used truck sales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466,585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191,309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744,115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371,913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Parts and service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170,387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118,529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315,947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220,357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ind w:left="400"/>
              <w:spacing w:after="0"/>
              <w:rPr>
                <w:sz w:val="20"/>
                <w:szCs w:val="20"/>
                <w:color w:val="auto"/>
              </w:rPr>
            </w:pPr>
            <w:r>
              <w:rPr>
                <w:rFonts w:ascii="Arial" w:cs="Arial" w:eastAsia="Arial" w:hAnsi="Arial"/>
                <w:sz w:val="18"/>
                <w:szCs w:val="18"/>
                <w:color w:val="auto"/>
              </w:rPr>
              <w:t>Lease and rental</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20,563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16,255</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39,548</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30,287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Finance and insurance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2,047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ind w:left="40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1,699</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3,764</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661,982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329,839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1,108,086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629,127</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New and used truck sales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436,163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174,817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695,068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341,163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ind w:left="400"/>
              <w:spacing w:after="0"/>
              <w:rPr>
                <w:sz w:val="20"/>
                <w:szCs w:val="20"/>
                <w:color w:val="auto"/>
              </w:rPr>
            </w:pPr>
            <w:r>
              <w:rPr>
                <w:rFonts w:ascii="Arial" w:cs="Arial" w:eastAsia="Arial" w:hAnsi="Arial"/>
                <w:sz w:val="18"/>
                <w:szCs w:val="18"/>
                <w:color w:val="auto"/>
              </w:rPr>
              <w:t>Parts and service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103,453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72,222</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192,165</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134,851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Lease and rental</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13,621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32,953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25,871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4020" w:type="dxa"/>
            <w:vAlign w:val="bottom"/>
            <w:gridSpan w:val="4"/>
          </w:tcPr>
          <w:p>
            <w:pPr>
              <w:ind w:left="400"/>
              <w:spacing w:after="0"/>
              <w:rPr>
                <w:sz w:val="20"/>
                <w:szCs w:val="20"/>
                <w:color w:val="auto"/>
              </w:rPr>
            </w:pPr>
            <w:r>
              <w:rPr>
                <w:rFonts w:ascii="Arial" w:cs="Arial" w:eastAsia="Arial" w:hAnsi="Arial"/>
                <w:sz w:val="18"/>
                <w:szCs w:val="18"/>
                <w:color w:val="auto"/>
              </w:rPr>
              <w:t>Total cost of products sold</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556,472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260,660</w:t>
            </w:r>
          </w:p>
        </w:tc>
        <w:tc>
          <w:tcPr>
            <w:tcW w:w="18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920,186</w:t>
            </w: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501,885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105,510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69,179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187,900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79,655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55,148</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145,001</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105,285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3,676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8,721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Gain (loss) on sale of assets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432</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10,362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34,610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1,397</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2,800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6"/>
              </w:rPr>
              <w:t>Income from continuing operations before taxes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8,965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31,810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3,549</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12,025</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5,416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19,785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Income from discontinued operations, net of tax</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12,518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5,688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Earnings per common share — Basic:</w:t>
            </w: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 — Diluted: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0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37,292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37,727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020" w:type="dxa"/>
            <w:vAlign w:val="bottom"/>
            <w:gridSpan w:val="4"/>
          </w:tcPr>
          <w:p>
            <w:pPr>
              <w:ind w:left="20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39,015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4"/>
          </w:tcPr>
          <w:p>
            <w:pPr>
              <w:jc w:val="right"/>
              <w:ind w:right="380"/>
              <w:spacing w:after="0"/>
              <w:rPr>
                <w:sz w:val="20"/>
                <w:szCs w:val="20"/>
                <w:color w:val="auto"/>
              </w:rPr>
            </w:pPr>
            <w:r>
              <w:rPr>
                <w:rFonts w:ascii="Arial" w:cs="Arial" w:eastAsia="Arial" w:hAnsi="Arial"/>
                <w:sz w:val="18"/>
                <w:szCs w:val="18"/>
                <w:color w:val="auto"/>
              </w:rPr>
              <w:t>38,189</w:t>
            </w: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38,929</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38,014</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640" w:type="dxa"/>
            <w:vAlign w:val="bottom"/>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560" w:type="dxa"/>
            <w:vAlign w:val="bottom"/>
            <w:gridSpan w:val="4"/>
          </w:tcPr>
          <w:p>
            <w:pPr>
              <w:jc w:val="center"/>
              <w:ind w:right="340"/>
              <w:spacing w:after="0" w:line="196" w:lineRule="exact"/>
              <w:rPr>
                <w:sz w:val="20"/>
                <w:szCs w:val="20"/>
                <w:color w:val="auto"/>
              </w:rPr>
            </w:pPr>
            <w:r>
              <w:rPr>
                <w:rFonts w:ascii="Arial" w:cs="Arial" w:eastAsia="Arial" w:hAnsi="Arial"/>
                <w:sz w:val="18"/>
                <w:szCs w:val="18"/>
                <w:b w:val="1"/>
                <w:bCs w:val="1"/>
                <w:color w:val="auto"/>
                <w:w w:val="98"/>
              </w:rPr>
              <w:t>CONSOLIDATED STATEMENTS OF CASH FLOWS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1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1"/>
              </w:rPr>
              <w:t>(In Thousands)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19,785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6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26,108</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21,312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Gain on sale of property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300" w:type="dxa"/>
            <w:vAlign w:val="bottom"/>
            <w:gridSpan w:val="6"/>
          </w:tcPr>
          <w:p>
            <w:pPr>
              <w:ind w:left="600"/>
              <w:spacing w:after="0" w:line="201" w:lineRule="exact"/>
              <w:rPr>
                <w:sz w:val="20"/>
                <w:szCs w:val="20"/>
                <w:color w:val="auto"/>
              </w:rPr>
            </w:pPr>
            <w:r>
              <w:rPr>
                <w:rFonts w:ascii="Arial" w:cs="Arial" w:eastAsia="Arial" w:hAnsi="Arial"/>
                <w:sz w:val="18"/>
                <w:szCs w:val="18"/>
                <w:color w:val="auto"/>
              </w:rPr>
              <w:t>Stock-based compensation expense related to stock options and employee stock</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gridSpan w:val="6"/>
          </w:tcPr>
          <w:p>
            <w:pPr>
              <w:ind w:left="800"/>
              <w:spacing w:after="0"/>
              <w:rPr>
                <w:sz w:val="20"/>
                <w:szCs w:val="20"/>
                <w:color w:val="auto"/>
              </w:rPr>
            </w:pPr>
            <w:r>
              <w:rPr>
                <w:rFonts w:ascii="Arial" w:cs="Arial" w:eastAsia="Arial" w:hAnsi="Arial"/>
                <w:sz w:val="18"/>
                <w:szCs w:val="18"/>
                <w:color w:val="auto"/>
              </w:rPr>
              <w:t>purchases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3,874</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Provision for deferred income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600"/>
              <w:spacing w:after="0"/>
              <w:rPr>
                <w:sz w:val="20"/>
                <w:szCs w:val="20"/>
                <w:color w:val="auto"/>
              </w:rPr>
            </w:pPr>
            <w:r>
              <w:rPr>
                <w:rFonts w:ascii="Arial" w:cs="Arial" w:eastAsia="Arial" w:hAnsi="Arial"/>
                <w:sz w:val="18"/>
                <w:szCs w:val="18"/>
                <w:color w:val="auto"/>
              </w:rPr>
              <w:t>Excess tax benefits from stock-based 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(1,145)</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Change in accounts receivable,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(26,966)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600"/>
              <w:spacing w:after="0"/>
              <w:rPr>
                <w:sz w:val="20"/>
                <w:szCs w:val="20"/>
                <w:color w:val="auto"/>
              </w:rPr>
            </w:pPr>
            <w:r>
              <w:rPr>
                <w:rFonts w:ascii="Arial" w:cs="Arial" w:eastAsia="Arial" w:hAnsi="Arial"/>
                <w:sz w:val="18"/>
                <w:szCs w:val="18"/>
                <w:color w:val="auto"/>
              </w:rPr>
              <w:t>Change in inventories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(93,554)</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(43,902)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Change in prepaid expenses and other,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600"/>
              <w:spacing w:after="0"/>
              <w:rPr>
                <w:sz w:val="20"/>
                <w:szCs w:val="20"/>
                <w:color w:val="auto"/>
              </w:rPr>
            </w:pPr>
            <w:r>
              <w:rPr>
                <w:rFonts w:ascii="Arial" w:cs="Arial" w:eastAsia="Arial" w:hAnsi="Arial"/>
                <w:sz w:val="18"/>
                <w:szCs w:val="18"/>
                <w:color w:val="auto"/>
              </w:rPr>
              <w:t>Change in trade accounts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10,985</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16,084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Change in accrued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300" w:type="dxa"/>
            <w:vAlign w:val="bottom"/>
            <w:gridSpan w:val="6"/>
          </w:tcPr>
          <w:p>
            <w:pPr>
              <w:ind w:left="800"/>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(36,011)</w:t>
            </w: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Acquisition of property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(60,805)</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(28,558)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10,474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Business acquisitions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(60,038)</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(32,450)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Change in other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300" w:type="dxa"/>
            <w:vAlign w:val="bottom"/>
            <w:gridSpan w:val="6"/>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(109,832)</w:t>
            </w:r>
          </w:p>
        </w:tc>
        <w:tc>
          <w:tcPr>
            <w:tcW w:w="22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(62,881)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Draws on floor plan notes payable,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114,741</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44,504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45,943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Principal payments on long-term debt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(33,252)</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(24,806)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(7,562)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Debt issuance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300" w:type="dxa"/>
            <w:vAlign w:val="bottom"/>
            <w:gridSpan w:val="6"/>
          </w:tcPr>
          <w:p>
            <w:pPr>
              <w:ind w:left="200"/>
              <w:spacing w:after="0" w:line="201" w:lineRule="exact"/>
              <w:rPr>
                <w:sz w:val="20"/>
                <w:szCs w:val="20"/>
                <w:color w:val="auto"/>
              </w:rPr>
            </w:pPr>
            <w:r>
              <w:rPr>
                <w:rFonts w:ascii="Arial" w:cs="Arial" w:eastAsia="Arial" w:hAnsi="Arial"/>
                <w:sz w:val="18"/>
                <w:szCs w:val="18"/>
                <w:color w:val="auto"/>
                <w:w w:val="99"/>
              </w:rPr>
              <w:t>Proceeds from issuance of shares relating to employee stock options and employee stock</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gridSpan w:val="6"/>
          </w:tcPr>
          <w:p>
            <w:pPr>
              <w:ind w:left="400"/>
              <w:spacing w:after="0"/>
              <w:rPr>
                <w:sz w:val="20"/>
                <w:szCs w:val="20"/>
                <w:color w:val="auto"/>
              </w:rPr>
            </w:pPr>
            <w:r>
              <w:rPr>
                <w:rFonts w:ascii="Arial" w:cs="Arial" w:eastAsia="Arial" w:hAnsi="Arial"/>
                <w:sz w:val="18"/>
                <w:szCs w:val="18"/>
                <w:color w:val="auto"/>
              </w:rPr>
              <w:t>purchases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2,178</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123,152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44,079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30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(22,691)</w:t>
            </w:r>
          </w:p>
        </w:tc>
        <w:tc>
          <w:tcPr>
            <w:tcW w:w="22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(13,316)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168,976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149,095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300" w:type="dxa"/>
            <w:vAlign w:val="bottom"/>
            <w:gridSpan w:val="6"/>
            <w:vMerge w:val="continue"/>
          </w:tcPr>
          <w:p>
            <w:pPr>
              <w:spacing w:after="0"/>
              <w:rPr>
                <w:sz w:val="24"/>
                <w:szCs w:val="24"/>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146,285</w:t>
            </w:r>
          </w:p>
        </w:tc>
        <w:tc>
          <w:tcPr>
            <w:tcW w:w="36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135,779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200"/>
              <w:spacing w:after="0"/>
              <w:rPr>
                <w:sz w:val="20"/>
                <w:szCs w:val="20"/>
                <w:color w:val="auto"/>
              </w:rPr>
            </w:pPr>
            <w:r>
              <w:rPr>
                <w:rFonts w:ascii="Arial" w:cs="Arial" w:eastAsia="Arial" w:hAnsi="Arial"/>
                <w:sz w:val="18"/>
                <w:szCs w:val="18"/>
                <w:color w:val="auto"/>
              </w:rPr>
              <w:t>Cash paid during the period for: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gridSpan w:val="6"/>
            <w:vMerge w:val="restart"/>
          </w:tcPr>
          <w:p>
            <w:pPr>
              <w:ind w:left="400"/>
              <w:spacing w:after="0"/>
              <w:rPr>
                <w:sz w:val="20"/>
                <w:szCs w:val="20"/>
                <w:color w:val="auto"/>
              </w:rPr>
            </w:pPr>
            <w:r>
              <w:rPr>
                <w:rFonts w:ascii="Arial" w:cs="Arial" w:eastAsia="Arial" w:hAnsi="Arial"/>
                <w:sz w:val="18"/>
                <w:szCs w:val="18"/>
                <w:color w:val="auto"/>
              </w:rPr>
              <w:t>Income taxes, net of refunds</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gridSpan w:val="6"/>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Noncash investing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6"/>
          </w:tcPr>
          <w:p>
            <w:pPr>
              <w:ind w:left="600"/>
              <w:spacing w:after="0"/>
              <w:rPr>
                <w:sz w:val="20"/>
                <w:szCs w:val="20"/>
                <w:color w:val="auto"/>
              </w:rPr>
            </w:pPr>
            <w:r>
              <w:rPr>
                <w:rFonts w:ascii="Arial" w:cs="Arial" w:eastAsia="Arial" w:hAnsi="Arial"/>
                <w:sz w:val="18"/>
                <w:szCs w:val="18"/>
                <w:color w:val="auto"/>
              </w:rPr>
              <w:t>Assets acquired under capital leases</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6,903</w:t>
            </w:r>
          </w:p>
        </w:tc>
        <w:tc>
          <w:tcPr>
            <w:tcW w:w="3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2010. Results of operations for interim periods are not necessarily indicative of results that may be expected for any other interim periods or the full fiscal year.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02"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Goodwill is the excess of the purchase price over the fair value of identifiable net assets acquired in business combinations accounted for under the purchase method. The Company does not amortize goodwill,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that its reporting unit is its operating segment, the Truck segment, which is the level at which segment management regularly reviews operating results and makes resource allocation decisions. The Construction Equipment segment is no longer reported as a separate business segment because the Company sold its John Deere construction equipment business in the third quarter of 2010. See Note 11 for further discussion of the sale of the construction equipment business.</w:t>
      </w:r>
    </w:p>
    <w:p>
      <w:pPr>
        <w:spacing w:after="0" w:line="137"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and liabilities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5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Goodwill is tested for impairment during the fourth quarter of each year, or more frequently when events or changes in circumstances indicate that the asset might be impaired, and no impairment write down was required in the fourth quarter of 2010. However, the Company cannot predict the occurrence of certain events that might adversely affect the reported value of goodwill in the future. Such events may include, but are not limited to, the discontinuance of operations by certain manufacturers the Company represents, strategic decisions made in response to economic and competitive conditions or another significant decrease in general economic conditions in the United States.</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sets forth the change in the carrying amount of goodwill for the Company for the period ended June 30, 2011:</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150,388</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Acquisition of Asbury Automotive Atlanta, L.L.C.(See Note 9)</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24,824</w:t>
            </w: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Heintzelman’s Truck Center (See Note 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7"/>
        </w:trPr>
        <w:tc>
          <w:tcPr>
            <w:tcW w:w="8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176,329</w:t>
            </w:r>
          </w:p>
        </w:tc>
      </w:tr>
      <w:tr>
        <w:trPr>
          <w:trHeight w:val="20"/>
        </w:trPr>
        <w:tc>
          <w:tcPr>
            <w:tcW w:w="8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 Commitments and Contingencies</w:t>
      </w:r>
    </w:p>
    <w:p>
      <w:pPr>
        <w:spacing w:after="0" w:line="189"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commercial vehicles.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The Company provides for an allowance for repossession losses and early repayment penalties that it may be liable for under finance contracts sold without recourse.</w:t>
      </w:r>
    </w:p>
    <w:p>
      <w:pPr>
        <w:spacing w:after="0" w:line="13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4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 2006, the Company signed an agreement with Titan Technology Partners to implement SAP enterprise software and a new SAP dealership management system. The cost of the SAP software and implementation is estimated at approximately $41.0 million, of which $40.0 million was expended at June 30, 2011.</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 Earnings Per Share</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the computation of basic and diluted earnings per share from continuing operations: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6"/>
          </w:tcPr>
          <w:p>
            <w:pPr>
              <w:jc w:val="right"/>
              <w:ind w:right="480"/>
              <w:spacing w:after="0"/>
              <w:rPr>
                <w:sz w:val="20"/>
                <w:szCs w:val="20"/>
                <w:color w:val="auto"/>
              </w:rPr>
            </w:pPr>
            <w:r>
              <w:rPr>
                <w:rFonts w:ascii="Arial" w:cs="Arial" w:eastAsia="Arial" w:hAnsi="Arial"/>
                <w:sz w:val="18"/>
                <w:szCs w:val="18"/>
                <w:color w:val="auto"/>
                <w:w w:val="89"/>
              </w:rPr>
              <w:t>Three Months Ended June 30,</w:t>
            </w:r>
          </w:p>
        </w:tc>
        <w:tc>
          <w:tcPr>
            <w:tcW w:w="120" w:type="dxa"/>
            <w:vAlign w:val="bottom"/>
          </w:tcPr>
          <w:p>
            <w:pPr>
              <w:spacing w:after="0"/>
              <w:rPr>
                <w:sz w:val="20"/>
                <w:szCs w:val="20"/>
                <w:color w:val="auto"/>
              </w:rPr>
            </w:pPr>
          </w:p>
        </w:tc>
        <w:tc>
          <w:tcPr>
            <w:tcW w:w="2280" w:type="dxa"/>
            <w:vAlign w:val="bottom"/>
            <w:gridSpan w:val="5"/>
          </w:tcPr>
          <w:p>
            <w:pPr>
              <w:jc w:val="right"/>
              <w:ind w:right="260"/>
              <w:spacing w:after="0"/>
              <w:rPr>
                <w:sz w:val="20"/>
                <w:szCs w:val="20"/>
                <w:color w:val="auto"/>
              </w:rPr>
            </w:pPr>
            <w:r>
              <w:rPr>
                <w:rFonts w:ascii="Arial" w:cs="Arial" w:eastAsia="Arial" w:hAnsi="Arial"/>
                <w:sz w:val="18"/>
                <w:szCs w:val="18"/>
                <w:color w:val="auto"/>
                <w:w w:val="90"/>
              </w:rPr>
              <w:t>Six Months Ended June 30,</w:t>
            </w:r>
          </w:p>
        </w:tc>
        <w:tc>
          <w:tcPr>
            <w:tcW w:w="0" w:type="dxa"/>
            <w:vAlign w:val="bottom"/>
          </w:tcPr>
          <w:p>
            <w:pPr>
              <w:spacing w:after="0"/>
              <w:rPr>
                <w:sz w:val="1"/>
                <w:szCs w:val="1"/>
                <w:color w:val="auto"/>
              </w:rPr>
            </w:pPr>
          </w:p>
        </w:tc>
      </w:tr>
      <w:tr>
        <w:trPr>
          <w:trHeight w:val="210"/>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200"/>
              <w:spacing w:after="0" w:line="201" w:lineRule="exact"/>
              <w:rPr>
                <w:sz w:val="20"/>
                <w:szCs w:val="20"/>
                <w:color w:val="auto"/>
              </w:rPr>
            </w:pPr>
            <w:r>
              <w:rPr>
                <w:rFonts w:ascii="Arial" w:cs="Arial" w:eastAsia="Arial" w:hAnsi="Arial"/>
                <w:sz w:val="18"/>
                <w:szCs w:val="18"/>
                <w:color w:val="auto"/>
                <w:w w:val="97"/>
              </w:rPr>
              <w:t>Numerator for basic and diluted earnings per share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00"/>
              <w:spacing w:after="0"/>
              <w:rPr>
                <w:sz w:val="20"/>
                <w:szCs w:val="20"/>
                <w:color w:val="auto"/>
              </w:rPr>
            </w:pPr>
            <w:r>
              <w:rPr>
                <w:rFonts w:ascii="Arial" w:cs="Arial" w:eastAsia="Arial" w:hAnsi="Arial"/>
                <w:sz w:val="18"/>
                <w:szCs w:val="18"/>
                <w:color w:val="auto"/>
              </w:rPr>
              <w:t>Income from continuing operations available to</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400"/>
              <w:spacing w:after="0"/>
              <w:rPr>
                <w:sz w:val="20"/>
                <w:szCs w:val="20"/>
                <w:color w:val="auto"/>
              </w:rPr>
            </w:pPr>
            <w:r>
              <w:rPr>
                <w:rFonts w:ascii="Arial" w:cs="Arial" w:eastAsia="Arial" w:hAnsi="Arial"/>
                <w:sz w:val="18"/>
                <w:szCs w:val="18"/>
                <w:color w:val="auto"/>
              </w:rPr>
              <w:t>common shareholders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12,518,000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5,416,000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19,785,000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7,338,000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400"/>
              <w:spacing w:after="0" w:line="201" w:lineRule="exact"/>
              <w:rPr>
                <w:sz w:val="20"/>
                <w:szCs w:val="20"/>
                <w:color w:val="auto"/>
              </w:rPr>
            </w:pPr>
            <w:r>
              <w:rPr>
                <w:rFonts w:ascii="Arial" w:cs="Arial" w:eastAsia="Arial" w:hAnsi="Arial"/>
                <w:sz w:val="18"/>
                <w:szCs w:val="18"/>
                <w:color w:val="auto"/>
              </w:rPr>
              <w:t>Denominator for basic earnings per share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60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37,831,211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37,291,659</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37,726,829</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37,231,524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600"/>
              <w:spacing w:after="0" w:line="201" w:lineRule="exact"/>
              <w:rPr>
                <w:sz w:val="20"/>
                <w:szCs w:val="20"/>
                <w:color w:val="auto"/>
              </w:rPr>
            </w:pPr>
            <w:r>
              <w:rPr>
                <w:rFonts w:ascii="Arial" w:cs="Arial" w:eastAsia="Arial" w:hAnsi="Arial"/>
                <w:sz w:val="18"/>
                <w:szCs w:val="18"/>
                <w:color w:val="auto"/>
                <w:w w:val="94"/>
              </w:rPr>
              <w:t>Employee and director stock options and restricted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800"/>
              <w:spacing w:after="0"/>
              <w:rPr>
                <w:sz w:val="20"/>
                <w:szCs w:val="20"/>
                <w:color w:val="auto"/>
              </w:rPr>
            </w:pPr>
            <w:r>
              <w:rPr>
                <w:rFonts w:ascii="Arial" w:cs="Arial" w:eastAsia="Arial" w:hAnsi="Arial"/>
                <w:sz w:val="18"/>
                <w:szCs w:val="18"/>
                <w:color w:val="auto"/>
              </w:rPr>
              <w:t>share awards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1,183,785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897,669</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1,202,492</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782,900</w:t>
            </w: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Denominator for diluted earnings per share —</w:t>
            </w: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3"/>
              </w:rPr>
              <w:t>adjusted weighted average shares outstanding and</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assumed conversions</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39,014,996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38,189,328</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38,929,321</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38,014,424</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w w:val="99"/>
              </w:rPr>
              <w:t>Basic earnings from continuing operations per common</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0"/>
              <w:spacing w:after="0"/>
              <w:rPr>
                <w:sz w:val="20"/>
                <w:szCs w:val="20"/>
                <w:color w:val="auto"/>
              </w:rPr>
            </w:pPr>
            <w:r>
              <w:rPr>
                <w:rFonts w:ascii="Arial" w:cs="Arial" w:eastAsia="Arial" w:hAnsi="Arial"/>
                <w:sz w:val="18"/>
                <w:szCs w:val="18"/>
                <w:color w:val="auto"/>
              </w:rPr>
              <w:t>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Diluted earnings from continuing operations per common</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and common share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Options to purchase shares of common stock that were outstanding for the three months and six months ended June 30, 2011 and 2010 that were not included in the computation of diluted earnings per share because the effect would have been anti-dilutive are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2740" w:type="dxa"/>
            <w:vAlign w:val="bottom"/>
            <w:gridSpan w:val="5"/>
          </w:tcPr>
          <w:p>
            <w:pPr>
              <w:ind w:left="100"/>
              <w:spacing w:after="0"/>
              <w:rPr>
                <w:sz w:val="20"/>
                <w:szCs w:val="20"/>
                <w:color w:val="auto"/>
              </w:rPr>
            </w:pPr>
            <w:r>
              <w:rPr>
                <w:rFonts w:ascii="Arial" w:cs="Arial" w:eastAsia="Arial" w:hAnsi="Arial"/>
                <w:sz w:val="18"/>
                <w:szCs w:val="18"/>
                <w:color w:val="auto"/>
              </w:rPr>
              <w:t>Three Months Ended June 30,</w:t>
            </w:r>
          </w:p>
        </w:tc>
        <w:tc>
          <w:tcPr>
            <w:tcW w:w="2400" w:type="dxa"/>
            <w:vAlign w:val="bottom"/>
            <w:gridSpan w:val="4"/>
          </w:tcPr>
          <w:p>
            <w:pPr>
              <w:jc w:val="right"/>
              <w:ind w:right="260"/>
              <w:spacing w:after="0"/>
              <w:rPr>
                <w:sz w:val="20"/>
                <w:szCs w:val="20"/>
                <w:color w:val="auto"/>
              </w:rPr>
            </w:pPr>
            <w:r>
              <w:rPr>
                <w:rFonts w:ascii="Arial" w:cs="Arial" w:eastAsia="Arial" w:hAnsi="Arial"/>
                <w:sz w:val="18"/>
                <w:szCs w:val="18"/>
                <w:color w:val="auto"/>
                <w:w w:val="96"/>
              </w:rPr>
              <w:t>Six Months Ended June 30,</w:t>
            </w:r>
          </w:p>
        </w:tc>
      </w:tr>
      <w:tr>
        <w:trPr>
          <w:trHeight w:val="210"/>
        </w:trPr>
        <w:tc>
          <w:tcPr>
            <w:tcW w:w="4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498,600</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990,330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498,600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990,330</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 anti-dilutive securities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498,600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6"/>
              </w:rPr>
              <w:t>990,330</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498,600</w:t>
            </w: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990,330</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016"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16"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and Expense Information</w:t>
      </w:r>
    </w:p>
    <w:p>
      <w:pPr>
        <w:spacing w:after="0" w:line="18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accounts for stock-based compensation in accordance with Accounting Standards Codification (“ASC”) 718-10, “Compensation —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and included in selling, general and administrative expense, was $1.3 million for the three months ended June 30, 2011, and $1.1 million for the three months ended June 30, 2010. Stock-based compensation expense, included in selling, general and administrative expense, for the six months ended June 30, 2011, was $3.9 million and for the six months ended June 30, 2010, was $2.9 million. As of June 30, 2011, there was $9.0 million of total unrecognized compensation cost related to non-vested share-based compensation arrangements to be recognized over a weighted-average period of 3.5 years.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02"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Certain methods and assumptions were used by the Company in estimating the fair value of financial instruments at June 30, 2011. The carrying value of current assets and current liabilities approximates the fair value due to the short maturity of these items.</w:t>
      </w:r>
    </w:p>
    <w:p>
      <w:pPr>
        <w:spacing w:after="0" w:line="8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48"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24"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As of June 30, 2011, the Company held auction rate securities with underlying tax-exempt municipal bonds that mature in 2030 that have a fair value of $6.6 million and a cost basis of $7.6 million. These bonds have credit wrap insurance and a credit rating of Aa3 by Moody’s.</w:t>
      </w:r>
    </w:p>
    <w:p>
      <w:pPr>
        <w:spacing w:after="0" w:line="154"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As of June 30, 2011, the Company has valued these investments at fair value. The Company used observable inputs to determine fair value, including consideration of broker quotes, the overall quality of the underlying municipality, the credit quality of the insurance company, observable transactions, as well as successful subsequent auctions. Accordingly, the Company has considered this fair value to be a Level 2 valuation under ASC 820-10, “Fair Value Measurements and Disclosures.” The Company recorded a pre-tax impairment charge of $1.0 million on these investments as of June 30, 2011. The Company believes that the impairment is temporary and has recognized the impairment in accumulated other comprehensive loss.</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table below presents disclosures about the financial instruments measured at fair value on a recurring basis in the Company’s financial statements as of June 30, 2011 and December 31, 2010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8"/>
                <w:szCs w:val="18"/>
                <w:b w:val="1"/>
                <w:bCs w:val="1"/>
                <w:color w:val="auto"/>
              </w:rPr>
              <w:t>At June 30, 2011</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5"/>
              </w:rPr>
              <w:t>Cost Basis</w:t>
            </w: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Fair Value Estimated Using</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center"/>
              <w:ind w:left="130"/>
              <w:spacing w:after="0" w:line="191" w:lineRule="exact"/>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1"/>
              </w:rPr>
              <w:t>Level 2</w:t>
            </w:r>
          </w:p>
        </w:tc>
        <w:tc>
          <w:tcPr>
            <w:tcW w:w="200" w:type="dxa"/>
            <w:vAlign w:val="bottom"/>
          </w:tcPr>
          <w:p>
            <w:pPr>
              <w:spacing w:after="0"/>
              <w:rPr>
                <w:sz w:val="16"/>
                <w:szCs w:val="16"/>
                <w:color w:val="auto"/>
              </w:rPr>
            </w:pPr>
          </w:p>
        </w:tc>
        <w:tc>
          <w:tcPr>
            <w:tcW w:w="7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Inputs</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7,575</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6,628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8"/>
                <w:szCs w:val="18"/>
                <w:b w:val="1"/>
                <w:bCs w:val="1"/>
                <w:color w:val="auto"/>
              </w:rPr>
              <w:t>At December 31, 2010</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5"/>
              </w:rPr>
              <w:t>Cost Basis</w:t>
            </w:r>
          </w:p>
        </w:tc>
        <w:tc>
          <w:tcPr>
            <w:tcW w:w="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Fair Value Estimated Using</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center"/>
              <w:ind w:left="130"/>
              <w:spacing w:after="0" w:line="191" w:lineRule="exact"/>
              <w:rPr>
                <w:sz w:val="20"/>
                <w:szCs w:val="20"/>
                <w:color w:val="auto"/>
              </w:rPr>
            </w:pPr>
            <w:r>
              <w:rPr>
                <w:rFonts w:ascii="Arial" w:cs="Arial" w:eastAsia="Arial" w:hAnsi="Arial"/>
                <w:sz w:val="18"/>
                <w:szCs w:val="18"/>
                <w:b w:val="1"/>
                <w:bCs w:val="1"/>
                <w:color w:val="auto"/>
                <w:w w:val="91"/>
              </w:rPr>
              <w:t>Level 1</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1"/>
              </w:rPr>
              <w:t>Level 2</w:t>
            </w:r>
          </w:p>
        </w:tc>
        <w:tc>
          <w:tcPr>
            <w:tcW w:w="200" w:type="dxa"/>
            <w:vAlign w:val="bottom"/>
          </w:tcPr>
          <w:p>
            <w:pPr>
              <w:spacing w:after="0"/>
              <w:rPr>
                <w:sz w:val="16"/>
                <w:szCs w:val="16"/>
                <w:color w:val="auto"/>
              </w:rPr>
            </w:pPr>
          </w:p>
        </w:tc>
        <w:tc>
          <w:tcPr>
            <w:tcW w:w="76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Inputs</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7,575</w:t>
            </w:r>
          </w:p>
        </w:tc>
        <w:tc>
          <w:tcPr>
            <w:tcW w:w="9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Swap Agreements</w:t>
      </w:r>
    </w:p>
    <w:p>
      <w:pPr>
        <w:spacing w:after="0" w:line="185"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24"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At June 30, 2011, the Company had an aggregate $45.0 million notional amount of interest rate swap contracts, which have been designated as cash flow hedges, to pay fixed rates of interest and receive a floating interest rate based on LIBOR. The fixed interest rates specified in the interest rate swap contracts become effective on or about January 1, 2012. The Company’s interest rate swaps qualify for cash flow hedge accounting treatment. Unrealized gains or losses are recorded in accumulated other comprehensive loss. Realized gains and losses will be recognized in interest expense, if they occur. Amounts to be received or paid under the contracts will be recognized as interest expense over the life of the contracts. The Company did not have any interest rate swap contracts in place as of June 30, 2010. There was no ineffectiveness for these swaps during the quarter ended June 30, 2011.</w:t>
      </w:r>
    </w:p>
    <w:p>
      <w:pPr>
        <w:spacing w:after="0" w:line="14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fair value of cash flow swaps is calculated as the present value of expected future cash flows, determined on the basis of forward interest rates and present value factors. As such, the carrying amounts for these swaps are designated to be Level 2 fair values and totaled $1.2 million as of June 30, 2011. The carrying value of these swaps is included in Other Long-Term Liabilities on the accompanying Consolidated Balance Sheet as of June 30, 2011.</w:t>
      </w:r>
    </w:p>
    <w:p>
      <w:pPr>
        <w:spacing w:after="0" w:line="146"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As of June 30, 2011, the Company was party to derivative financial instruments as described in the following table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Fixed</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Notional</w:t>
            </w: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Interest</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Agreement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Amount</w:t>
            </w:r>
          </w:p>
        </w:tc>
        <w:tc>
          <w:tcPr>
            <w:tcW w:w="36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44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260" w:type="dxa"/>
            <w:vAlign w:val="bottom"/>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5.075%</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2015</w:t>
            </w: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4,536</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5.075%</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July 1, 2015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7,847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1,517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6,109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5,616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864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8,352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2,894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Fair values of derivative instruments are on the accompanying Consolidated Balance Sheet as of June 30, 2011 (in thousands):</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Derivatives Designated</w:t>
            </w:r>
          </w:p>
        </w:tc>
        <w:tc>
          <w:tcPr>
            <w:tcW w:w="180" w:type="dxa"/>
            <w:vAlign w:val="bottom"/>
          </w:tcPr>
          <w:p>
            <w:pPr>
              <w:spacing w:after="0"/>
              <w:rPr>
                <w:sz w:val="20"/>
                <w:szCs w:val="20"/>
                <w:color w:val="auto"/>
              </w:rPr>
            </w:pPr>
          </w:p>
        </w:tc>
        <w:tc>
          <w:tcPr>
            <w:tcW w:w="3220" w:type="dxa"/>
            <w:vAlign w:val="bottom"/>
            <w:gridSpan w:val="4"/>
          </w:tcPr>
          <w:p>
            <w:pPr>
              <w:ind w:left="820"/>
              <w:spacing w:after="0"/>
              <w:rPr>
                <w:sz w:val="20"/>
                <w:szCs w:val="20"/>
                <w:color w:val="auto"/>
              </w:rPr>
            </w:pPr>
            <w:r>
              <w:rPr>
                <w:rFonts w:ascii="Arial" w:cs="Arial" w:eastAsia="Arial" w:hAnsi="Arial"/>
                <w:sz w:val="18"/>
                <w:szCs w:val="18"/>
                <w:b w:val="1"/>
                <w:bCs w:val="1"/>
                <w:color w:val="auto"/>
              </w:rPr>
              <w:t>Asset Derivatives</w:t>
            </w:r>
          </w:p>
        </w:tc>
        <w:tc>
          <w:tcPr>
            <w:tcW w:w="25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Liability Derivatives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b w:val="1"/>
                <w:bCs w:val="1"/>
                <w:color w:val="auto"/>
              </w:rPr>
              <w:t>as Hedging Instruments</w:t>
            </w:r>
          </w:p>
        </w:tc>
        <w:tc>
          <w:tcPr>
            <w:tcW w:w="180" w:type="dxa"/>
            <w:vAlign w:val="bottom"/>
          </w:tcPr>
          <w:p>
            <w:pPr>
              <w:spacing w:after="0"/>
              <w:rPr>
                <w:sz w:val="18"/>
                <w:szCs w:val="18"/>
                <w:color w:val="auto"/>
              </w:rPr>
            </w:pPr>
          </w:p>
        </w:tc>
        <w:tc>
          <w:tcPr>
            <w:tcW w:w="20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87"/>
              </w:rPr>
              <w:t>Balance Sheet Location</w:t>
            </w:r>
          </w:p>
        </w:tc>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Fair Value</w:t>
            </w:r>
          </w:p>
        </w:tc>
        <w:tc>
          <w:tcPr>
            <w:tcW w:w="26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Balance Sheet Location</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Fair Value</w:t>
            </w:r>
          </w:p>
        </w:tc>
        <w:tc>
          <w:tcPr>
            <w:tcW w:w="80" w:type="dxa"/>
            <w:vAlign w:val="bottom"/>
          </w:tcPr>
          <w:p>
            <w:pPr>
              <w:spacing w:after="0"/>
              <w:rPr>
                <w:sz w:val="18"/>
                <w:szCs w:val="18"/>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Other Long-Term Liabilities</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1,153</w:t>
            </w: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 Segment Information</w:t>
      </w:r>
    </w:p>
    <w:p>
      <w:pPr>
        <w:spacing w:after="0" w:line="18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as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37"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Construction Equipment segment is no longer reported as a separate business segment because the Company sold the assets of its John Deere construction equipment business. See Note 11 for further discussion of the sale of the construction equipment business. The assets of the construction equipment business of $28.6 million have been included in the All Other segment assets in the table below for the period ended June 30, 2010.</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evaluates performance based on income before income taxes not including extraordinary items.</w:t>
      </w:r>
    </w:p>
    <w:p>
      <w:pPr>
        <w:spacing w:after="0" w:line="185"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The Company accounted for intersegment sales and transfers as if the sales or transfers were to third parties, that is, at current market prices. There were no material intersegment sales during the quarters or six months ended June 30, 2011 and 2010.</w:t>
      </w:r>
    </w:p>
    <w:p>
      <w:pPr>
        <w:spacing w:after="0" w:line="83"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from continuing operations and segment assets for the periods ended June 30, 2011 and 2010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Truck</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9"/>
              </w:rPr>
              <w:t>Segment</w:t>
            </w:r>
          </w:p>
        </w:tc>
        <w:tc>
          <w:tcPr>
            <w:tcW w:w="10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All Other</w:t>
            </w:r>
          </w:p>
        </w:tc>
        <w:tc>
          <w:tcPr>
            <w:tcW w:w="16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Totals</w:t>
            </w:r>
          </w:p>
        </w:tc>
      </w:tr>
      <w:tr>
        <w:trPr>
          <w:trHeight w:val="210"/>
        </w:trPr>
        <w:tc>
          <w:tcPr>
            <w:tcW w:w="5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June 30, 2011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657,490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4,492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661,982</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20,521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20,190</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Segment assets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1,324,548</w:t>
            </w:r>
          </w:p>
        </w:tc>
        <w:tc>
          <w:tcPr>
            <w:tcW w:w="10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25,752</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1,350,300</w:t>
            </w:r>
          </w:p>
        </w:tc>
      </w:tr>
      <w:tr>
        <w:trPr>
          <w:trHeight w:val="202"/>
        </w:trPr>
        <w:tc>
          <w:tcPr>
            <w:tcW w:w="5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six months ended June 30, 2011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1,099,630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8,456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1,108,086</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continuing operations before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32,606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31,810</w:t>
            </w:r>
          </w:p>
        </w:tc>
      </w:tr>
      <w:tr>
        <w:trPr>
          <w:trHeight w:val="432"/>
        </w:trPr>
        <w:tc>
          <w:tcPr>
            <w:tcW w:w="526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June 30, 2010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325,673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329,839</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8,965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1,049,053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53,480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1,102,533</w:t>
            </w:r>
          </w:p>
        </w:tc>
      </w:tr>
      <w:tr>
        <w:trPr>
          <w:trHeight w:val="432"/>
        </w:trPr>
        <w:tc>
          <w:tcPr>
            <w:tcW w:w="5260" w:type="dxa"/>
            <w:vAlign w:val="bottom"/>
          </w:tcPr>
          <w:p>
            <w:pPr>
              <w:spacing w:after="0"/>
              <w:rPr>
                <w:sz w:val="20"/>
                <w:szCs w:val="20"/>
                <w:color w:val="auto"/>
              </w:rPr>
            </w:pPr>
            <w:r>
              <w:rPr>
                <w:rFonts w:ascii="Arial" w:cs="Arial" w:eastAsia="Arial" w:hAnsi="Arial"/>
                <w:sz w:val="18"/>
                <w:szCs w:val="18"/>
                <w:i w:val="1"/>
                <w:iCs w:val="1"/>
                <w:color w:val="auto"/>
              </w:rPr>
              <w:t>As of and for the six months ended June 30, 2010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621,431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629,127</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Segment income (loss) from continuing operations before taxes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12,347</w:t>
            </w: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12,036</w:t>
            </w:r>
          </w:p>
        </w:tc>
      </w:tr>
    </w:tbl>
    <w:p>
      <w:pPr>
        <w:spacing w:after="0" w:line="160"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 Income Taxes</w:t>
      </w:r>
    </w:p>
    <w:p>
      <w:pPr>
        <w:spacing w:after="0" w:line="202"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included accruals for unrecognized income tax benefits totaling $1.5 million as a component of accrued liabilities as of June 30, 2011, and December 31, 2010. The unrecognized tax benefits of $1.5 million at June 30, 2011, if recognized, would impact the Company’s effective tax rate. An unfavorable settlement would require a charge to income tax expense and a favorable resolution would be recognized as a reduction to income tax expense. As of June 30, 2011, the Company has accrued interest of $130,000 related to unrecognized tax benefits in the current provision for income taxes. No amounts were accrued for penalties.</w:t>
      </w:r>
    </w:p>
    <w:p>
      <w:pPr>
        <w:spacing w:after="0" w:line="11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does not anticipate a significant change in the amount of unrecognized tax benefits in the next 12 months. As of June 30, 2011, the tax years ended December 31, 2008 through 2010 remained subject to audit by federal tax authorities and the tax years ended December 31, 2006 through 2010, remained subject to audit by state tax authorities.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 Acquisitions</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following acquisitions were considered business combinations accounted for under ASC 805 “Business Combinations.” Pro forma information is not included in accordance with ASC 805 since no acquisitions were considered material individually or in the aggregate.</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March 14, 2011, the Company acquired certain assets of Asbury Automotive Atlanta L.L.C., a subsidiary of Asbury Automotive Group, Inc., which operates commercial truck and bus dealerships in the metro Atlanta area under the “Nalley Motor Trucks” name. The acquisition includes the International, Hino, Isuzu, UD, IC Bus and Workhorse franchises in metro Atlanta, dealership locations in Atlanta and Doraville and a collision center in Atlanta.</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These locations are operating as Rush Truck Centers and offer commercial vehicles manufactured by International, Hino, Isuzu, UD, IC Bus and Workhorse Custom Chassis in addition to parts, service, body shop, financing and insurance capabilities. The transaction was valued at approximately $55.3 million, with the purchase price paid in cash. The operations of Nalley Motor Trucks are included in the accompanying consolidated financial statements from the date of the acquisition. The preliminary purchase price was allocated based on the fair values of the assets at the date of acquisition as follows (in thousands):</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March 31,</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June 30,</w:t>
            </w:r>
          </w:p>
        </w:tc>
      </w:tr>
      <w:tr>
        <w:trPr>
          <w:trHeight w:val="230"/>
        </w:trPr>
        <w:tc>
          <w:tcPr>
            <w:tcW w:w="5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400" w:type="dxa"/>
            <w:vAlign w:val="bottom"/>
          </w:tcPr>
          <w:p>
            <w:pPr>
              <w:spacing w:after="0"/>
              <w:rPr>
                <w:sz w:val="20"/>
                <w:szCs w:val="20"/>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7"/>
              </w:rPr>
              <w:t>Adjustment</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11,841</w:t>
            </w:r>
          </w:p>
        </w:tc>
        <w:tc>
          <w:tcPr>
            <w:tcW w:w="4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(1,970)</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9,871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22,854</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24,824</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594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55,287</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55,287</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As the value of certain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The adjustment to the purchase price allocation in the current quarter relates to the finalization of real estate appraisals for property acquired. All of the goodwill acquired in the Nalley Motor Trucks acquisition will be amortized over 15 years for tax purposes.</w:t>
      </w: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February 21, 2011, the Company acquired certain assets of Heintzelman’s Truck Center, which consisted of a Ford commercial vehicle dealership in Orlando, Florida. The Company is operating the facility as a full-service Rush Truck Center offering Ford trucks, parts, service, leasing, financing and insurance. The transaction was valued at approximately $4.7 million, with the purchase price paid in cash. The operations of Heintzelman’s Truck Center are included in the accompanying consolidated financial statements from the date of the acquisition. The preliminary purchase price was allocated based on the fair values of the assets at the date of acquisition as follows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223"/>
        </w:trPr>
        <w:tc>
          <w:tcPr>
            <w:tcW w:w="86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4,664</w:t>
            </w:r>
          </w:p>
        </w:tc>
      </w:tr>
      <w:tr>
        <w:trPr>
          <w:trHeight w:val="20"/>
        </w:trPr>
        <w:tc>
          <w:tcPr>
            <w:tcW w:w="8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firstLine="389"/>
        <w:spacing w:after="0" w:line="302" w:lineRule="auto"/>
        <w:rPr>
          <w:sz w:val="20"/>
          <w:szCs w:val="20"/>
          <w:color w:val="auto"/>
        </w:rPr>
      </w:pPr>
      <w:r>
        <w:rPr>
          <w:rFonts w:ascii="Arial" w:cs="Arial" w:eastAsia="Arial" w:hAnsi="Arial"/>
          <w:sz w:val="16"/>
          <w:szCs w:val="16"/>
          <w:color w:val="auto"/>
        </w:rPr>
        <w:t>As the value of certain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All of the goodwill acquired in the Heintzelman’s Truck Center acquisition will be amortized over 15 years for tax purposes.</w:t>
      </w:r>
    </w:p>
    <w:p>
      <w:pPr>
        <w:spacing w:after="0" w:line="11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May 24, 2010, the Company acquired certain assets of Lake City Companies, LLC and certain of its subsidiaries and affiliates (collectively, “Lake City International”). The transaction, including the real estate, was valued at approximately $71.0 million. The final purchase price was allocated based on the fair values of the assets at the date of acquisition as follows (in thousands):</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and equipment, including real estate</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48,790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9,298</w:t>
            </w:r>
          </w:p>
        </w:tc>
      </w:tr>
      <w:tr>
        <w:trPr>
          <w:trHeight w:val="223"/>
        </w:trPr>
        <w:tc>
          <w:tcPr>
            <w:tcW w:w="8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71,029</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 Comprehensive Income</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provides a reconciliation of net income to comprehensive income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w w:val="98"/>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19,785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cash flow swaps, net of tax</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20" w:type="dxa"/>
            <w:vAlign w:val="bottom"/>
          </w:tcPr>
          <w:p>
            <w:pPr>
              <w:ind w:left="200"/>
              <w:spacing w:after="0" w:line="201" w:lineRule="exact"/>
              <w:rPr>
                <w:sz w:val="20"/>
                <w:szCs w:val="20"/>
                <w:color w:val="auto"/>
              </w:rPr>
            </w:pPr>
            <w:r>
              <w:rPr>
                <w:rFonts w:ascii="Arial" w:cs="Arial" w:eastAsia="Arial" w:hAnsi="Arial"/>
                <w:sz w:val="18"/>
                <w:szCs w:val="18"/>
                <w:color w:val="auto"/>
                <w:w w:val="96"/>
              </w:rPr>
              <w:t>Unrealized loss on available-for-sale securities, net of</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400"/>
              <w:spacing w:after="0"/>
              <w:rPr>
                <w:sz w:val="20"/>
                <w:szCs w:val="20"/>
                <w:color w:val="auto"/>
              </w:rPr>
            </w:pPr>
            <w:r>
              <w:rPr>
                <w:rFonts w:ascii="Arial" w:cs="Arial" w:eastAsia="Arial" w:hAnsi="Arial"/>
                <w:sz w:val="18"/>
                <w:szCs w:val="18"/>
                <w:color w:val="auto"/>
              </w:rPr>
              <w:t>tax</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11,360</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11 — Discontinued Operations</w:t>
            </w: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September 9, 2010, the Company sold the assets of its John Deere construction equipment business, including its Rush Equipment Centers in Houston and Beaumont, Texas, to Doggett Heavy Machinery Services, LLC. The results of operations of the construction equipment business have been classified as discontinued operations in the Company’s consolidated statements of income, and excluded from business segment information.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660" w:type="dxa"/>
            <w:vAlign w:val="bottom"/>
            <w:gridSpan w:val="13"/>
          </w:tcPr>
          <w:p>
            <w:pPr>
              <w:ind w:left="380"/>
              <w:spacing w:after="0"/>
              <w:rPr>
                <w:sz w:val="20"/>
                <w:szCs w:val="20"/>
                <w:color w:val="auto"/>
              </w:rPr>
            </w:pPr>
            <w:r>
              <w:rPr>
                <w:rFonts w:ascii="Arial" w:cs="Arial" w:eastAsia="Arial" w:hAnsi="Arial"/>
                <w:sz w:val="18"/>
                <w:szCs w:val="18"/>
                <w:color w:val="auto"/>
                <w:w w:val="92"/>
              </w:rPr>
              <w:t>Net sales and earnings before income taxes related to the discontinued business were as follows (in thousands):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8"/>
              </w:rPr>
              <w:t>Three months ended</w:t>
            </w:r>
          </w:p>
        </w:tc>
        <w:tc>
          <w:tcPr>
            <w:tcW w:w="200" w:type="dxa"/>
            <w:vAlign w:val="bottom"/>
          </w:tcPr>
          <w:p>
            <w:pPr>
              <w:spacing w:after="0"/>
              <w:rPr>
                <w:sz w:val="24"/>
                <w:szCs w:val="24"/>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18,210</w:t>
            </w:r>
          </w:p>
        </w:tc>
      </w:tr>
      <w:tr>
        <w:trPr>
          <w:trHeight w:val="439"/>
        </w:trPr>
        <w:tc>
          <w:tcPr>
            <w:tcW w:w="34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4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Results of operations from discontinued operations before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r>
      <w:tr>
        <w:trPr>
          <w:trHeight w:val="216"/>
        </w:trPr>
        <w:tc>
          <w:tcPr>
            <w:tcW w:w="34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92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r>
      <w:tr>
        <w:trPr>
          <w:trHeight w:val="425"/>
        </w:trPr>
        <w:tc>
          <w:tcPr>
            <w:tcW w:w="34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Basic earnings per common share from discontinued</w:t>
            </w: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operations, net of tax</w:t>
            </w:r>
          </w:p>
        </w:tc>
        <w:tc>
          <w:tcPr>
            <w:tcW w:w="92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02"/>
        </w:trPr>
        <w:tc>
          <w:tcPr>
            <w:tcW w:w="340" w:type="dxa"/>
            <w:vAlign w:val="bottom"/>
          </w:tcPr>
          <w:p>
            <w:pPr>
              <w:spacing w:after="0"/>
              <w:rPr>
                <w:sz w:val="17"/>
                <w:szCs w:val="17"/>
                <w:color w:val="auto"/>
              </w:rPr>
            </w:pPr>
          </w:p>
        </w:tc>
        <w:tc>
          <w:tcPr>
            <w:tcW w:w="4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Diluted earnings per common share and common share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equivalents from discontinued operations, net of tax</w:t>
            </w:r>
          </w:p>
        </w:tc>
        <w:tc>
          <w:tcPr>
            <w:tcW w:w="92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 New Accounting Pronouncements</w:t>
      </w:r>
    </w:p>
    <w:p>
      <w:pPr>
        <w:spacing w:after="0" w:line="189"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June 2011, the Financial Accounting Standards Board (“FASB”) amended the guidance for the presentation of comprehensive income. The amended guidance eliminates certain options for presenting comprehensive income but does not change which components of comprehensive income are recognized in net income or other comprehensive income. The amended guidance is intended to enhance comparability between entities that report under generally accepted accounting principles and those that report under international financial reporting standards. This guidance will be effective for the Company’s interim period ending March 31, 2012. The Company has determined that this new guidance will not have a material impact on its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2010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35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02" w:lineRule="exact"/>
        <w:rPr>
          <w:sz w:val="20"/>
          <w:szCs w:val="20"/>
          <w:color w:val="auto"/>
        </w:rPr>
      </w:pPr>
    </w:p>
    <w:p>
      <w:pPr>
        <w:jc w:val="both"/>
        <w:ind w:left="340" w:right="159"/>
        <w:spacing w:after="0" w:line="268"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PACCAR, Inc. GMC</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General Motors Corporation. Hino</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Hino Motors, Ltd. UD</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UD Truck North America, Ltd. Isuzu</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Isuzu Motors Limited. John Deere</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Deere &amp; Company. Kenworth</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PACCAR, Inc. doing business as Kenworth Truck Company. Volvo</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Volvo Trademark Holding AB. Freightliner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Freightliner Corporation. Mack</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Mack Trucks, Inc. Navistar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Navistar International Corporation. Caterpillar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Caterpillar, Inc. PacLease</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PACCAR Leasing Corporation. CitiCapital</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Citicorp. Ford</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Ford Motor Company. Cummins</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Cummins Intellectual Property, Inc. Eaton</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Eaton Corporation. Arvin Meritor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Meritor Technology</w:t>
      </w:r>
      <w:r>
        <w:rPr>
          <w:rFonts w:ascii="Arial" w:cs="Arial" w:eastAsia="Arial" w:hAnsi="Arial"/>
          <w:sz w:val="17"/>
          <w:szCs w:val="17"/>
          <w:color w:val="auto"/>
        </w:rPr>
        <w:t>,</w:t>
      </w:r>
      <w:r>
        <w:rPr>
          <w:rFonts w:ascii="Arial" w:cs="Arial" w:eastAsia="Arial" w:hAnsi="Arial"/>
          <w:sz w:val="17"/>
          <w:szCs w:val="17"/>
          <w:i w:val="1"/>
          <w:iCs w:val="1"/>
          <w:color w:val="auto"/>
        </w:rPr>
        <w:t xml:space="preserve"> Inc. JPMorgan Chase</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JP Morgan Chase &amp; Co. SAP</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SAP Aktiengesellschaft. International</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Navistar International Transportation Corp. Blue Bird</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Blue Bird Investment Corporation. Autocar</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Shem, LLC. IC Bus</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IC Bus, LLC. Collins Bus Corporation</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Collins Bus Corporation. Fuso</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Mitsubishi Fuso Truck and Bus Corporation. Workhorse</w:t>
      </w:r>
      <w:r>
        <w:rPr>
          <w:rFonts w:ascii="Arial" w:cs="Arial" w:eastAsia="Arial" w:hAnsi="Arial"/>
          <w:sz w:val="14"/>
          <w:szCs w:val="14"/>
          <w:color w:val="auto"/>
        </w:rPr>
        <w:t>®</w:t>
      </w:r>
      <w:r>
        <w:rPr>
          <w:rFonts w:ascii="Arial" w:cs="Arial" w:eastAsia="Arial" w:hAnsi="Arial"/>
          <w:sz w:val="17"/>
          <w:szCs w:val="17"/>
          <w:i w:val="1"/>
          <w:iCs w:val="1"/>
          <w:color w:val="auto"/>
        </w:rPr>
        <w:t xml:space="preserve"> is a registered trademark of Workhorse Custom Chassis, LLC.</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UD,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16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more than 60 Rush Truck Centers in Alabama, Arizona, California, Colorado, Florida, Georgia, Idaho, New Mexico, North Carolina, Oklahoma, Oregon, Tennessee, Texas and Utah.</w:t>
      </w:r>
    </w:p>
    <w:p>
      <w:pPr>
        <w:spacing w:after="0" w:line="146"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31"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Construction Equipment Segment will no longer be reported as a separate business segment because the Company sold its John Deere construction equipment business in September 2010. Operating results of the Construction Equipment Segment have been classified as discontinued operations in the financial statements and related discussion and analysis below.</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9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of new and used commercial vehicles and construction equipment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97"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an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200" w:lineRule="exact"/>
        <w:rPr>
          <w:sz w:val="20"/>
          <w:szCs w:val="20"/>
          <w:color w:val="auto"/>
        </w:rPr>
      </w:pPr>
    </w:p>
    <w:p>
      <w:pPr>
        <w:spacing w:after="0" w:line="3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13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Management is not aware of any impairment charge that may currently be required; however, a change in economic conditions, if one occurs, could result in an impairment charge in future periods.</w:t>
      </w:r>
    </w:p>
    <w:p>
      <w:pPr>
        <w:spacing w:after="0" w:line="13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the discontinuance of operations by certain manufacturers the Company represents, strategic decisions made in response to economic and competitive conditions or the impact of the current economic environment.</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19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Finance income related to the sale of a unit is recognized when the finance contract is sold to a finance company. The Company arranges financing for customers through various institutions and receives financing fees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w:t>
      </w:r>
    </w:p>
    <w:p>
      <w:pPr>
        <w:spacing w:after="0" w:line="114"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 may be charged back for unearned financing or insurance contract fees in the event of early termination of the contracts by customers. In the case of finance contracts, a customer may prepay, or fail to pay, thereby terminating the underlying contract. Revenues from these fees are recorded at the time of the sale of a unit and a reserve for future amounts which might be charged back is established based on historical chargeback results and the termination provisions of the applicable contracts, including the impact of refinance and default rates on retail finance contracts and cancellation rates on other insurance products. The Company’s finance and insurance revenue recognition accounting methodology contains uncertainties because it requires management to make assumptions and to apply judgment to estimate future charge-backs. The Company’s estimate of future charge-backs is based primarily on historical experience. The actual amount of historical charge-backs has not been materially different than the Company’s estimates.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 Accruals</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53"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Income Taxes</w:t>
      </w:r>
    </w:p>
    <w:p>
      <w:pPr>
        <w:spacing w:after="0" w:line="19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61"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6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Income.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160"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7"/>
          <w:szCs w:val="17"/>
          <w:b w:val="1"/>
          <w:bCs w:val="1"/>
          <w:color w:val="auto"/>
        </w:rPr>
        <w:t>.</w:t>
      </w:r>
      <w:r>
        <w:rPr>
          <w:rFonts w:ascii="Arial" w:cs="Arial" w:eastAsia="Arial" w:hAnsi="Arial"/>
          <w:sz w:val="17"/>
          <w:szCs w:val="17"/>
          <w:color w:val="auto"/>
        </w:rPr>
        <w:t xml:space="preserve"> If the interest rate swaps become ineffective, portions of these interest rate swaps would be reported as a component of interest expense in the accompanying Consolidated Statements of Income.</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ended June 30, 2011 and 2010.</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 certain financial data as a percentage of total revenues: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8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70.5%</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Parts and service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36.0</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Finance and insurance</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0.6</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0.5</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revenues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Gross profit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16.8</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0.4</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w w:val="98"/>
              </w:rPr>
              <w:t>Income from continuing operations before income taxes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rate (revenue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w w:val="93"/>
              </w:rPr>
              <w:t>Three Months Ended</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w w:val="97"/>
              </w:rPr>
              <w:t>Six Months Ended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6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210"/>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2010</w:t>
            </w:r>
          </w:p>
        </w:tc>
        <w:tc>
          <w:tcPr>
            <w:tcW w:w="42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2010</w:t>
            </w:r>
          </w:p>
        </w:tc>
        <w:tc>
          <w:tcPr>
            <w:tcW w:w="4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Change</w:t>
            </w: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813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190.7%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3,708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1,782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108.1%</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795</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748.6%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703.8%</w:t>
            </w:r>
          </w:p>
        </w:tc>
      </w:tr>
      <w:tr>
        <w:trPr>
          <w:trHeight w:val="27"/>
        </w:trPr>
        <w:tc>
          <w:tcPr>
            <w:tcW w:w="2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new vehicle unit sales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3,225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Used vehicles</w:t>
            </w:r>
          </w:p>
        </w:tc>
        <w:tc>
          <w:tcPr>
            <w:tcW w:w="14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1,156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889</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2,263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1,575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r>
      <w:tr>
        <w:trPr>
          <w:trHeight w:val="216"/>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New heavy-duty vehicles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104.7</w:t>
            </w:r>
          </w:p>
        </w:tc>
        <w:tc>
          <w:tcPr>
            <w:tcW w:w="4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187.0%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473.7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222.9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112.5%</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New light-duty vehicles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684.6%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688.9%</w:t>
            </w:r>
          </w:p>
        </w:tc>
      </w:tr>
      <w:tr>
        <w:trPr>
          <w:trHeight w:val="27"/>
        </w:trPr>
        <w:tc>
          <w:tcPr>
            <w:tcW w:w="2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new vehicle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310.9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108.6%</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Used vehicle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35.5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33.5%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93.8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60.1</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56.1%</w:t>
            </w:r>
          </w:p>
        </w:tc>
      </w:tr>
      <w:tr>
        <w:trPr>
          <w:trHeight w:val="216"/>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vehicle revenue:</w:t>
            </w:r>
            <w:r>
              <w:rPr>
                <w:rFonts w:ascii="Arial" w:cs="Arial" w:eastAsia="Arial" w:hAnsi="Arial"/>
                <w:sz w:val="15"/>
                <w:szCs w:val="15"/>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w:t>
            </w:r>
          </w:p>
        </w:tc>
      </w:tr>
      <w:tr>
        <w:trPr>
          <w:trHeight w:val="432"/>
        </w:trPr>
        <w:tc>
          <w:tcPr>
            <w:tcW w:w="2780" w:type="dxa"/>
            <w:vAlign w:val="bottom"/>
          </w:tcPr>
          <w:p>
            <w:pPr>
              <w:spacing w:after="0"/>
              <w:rPr>
                <w:sz w:val="20"/>
                <w:szCs w:val="20"/>
                <w:color w:val="auto"/>
              </w:rPr>
            </w:pPr>
            <w:r>
              <w:rPr>
                <w:rFonts w:ascii="Arial" w:cs="Arial" w:eastAsia="Arial" w:hAnsi="Arial"/>
                <w:sz w:val="18"/>
                <w:szCs w:val="18"/>
                <w:b w:val="1"/>
                <w:bCs w:val="1"/>
                <w:color w:val="auto"/>
              </w:rPr>
              <w:t>Absorption rate:</w:t>
            </w:r>
          </w:p>
        </w:tc>
        <w:tc>
          <w:tcPr>
            <w:tcW w:w="14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112.9%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104.3%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111.1%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100.8%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r>
    </w:tbl>
    <w:p>
      <w:pPr>
        <w:spacing w:after="0" w:line="107"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sales of truck bodies, trailers and other new equipment.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Performance Indicator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Absorption Rate</w:t>
      </w:r>
    </w:p>
    <w:p>
      <w:pPr>
        <w:spacing w:after="0" w:line="185"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Management uses several performance metrics to evaluate the performance of its commercial vehicle dealerships, and considers Rush Truck Centers’ “absorption rate” to be of critical importance. Absorption rate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rate was approximately 80%. The Company has made a concerted effort to increase its absorption rate since 1999. The Company’s truck dealerships achieved a 112.9% absorption rate for the second quarter of 2011 and a 111.1% absorption rate for the six months ended June 30, 2011.</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June 30, 2011 Compared to Three Months Ended June 30, 2010</w:t>
      </w:r>
    </w:p>
    <w:p>
      <w:pPr>
        <w:spacing w:after="0" w:line="202"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Demand for the Company’s product and service offerings remained strong in the second quarter of 2011. The Company continues to expect 2012 and 2013 to be growth years for the U.S. Class 8 truck industry. However, renewed economic concern and the possibility of slower than expected recovery within automotive, manufacturing and construction sectors could result in a more cautious Class 8 truck growth cycle, possibly extending the cycle over a longer period of time with more gradual increases in truck sales. The Company continues to make progress integrating its Mountain West and Southeast region dealerships into its Navistar Division, now at 15 full service dealerships with 2 dedicated collision centers. The acquisitions of these dealerships and collision centers, which occurred during 2010 and the first quarter of 2011, produced a positive impact on revenue growth and net income this quarter.</w:t>
      </w:r>
    </w:p>
    <w:p>
      <w:pPr>
        <w:spacing w:after="0" w:line="15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increased deliveries of Class 8 trucks by 190.7% in the second quarter of 2011 compared to the second quarter of 2010. The Company and industry analysts expect a strong recovery in commercial vehicle retail sales in 2011, 2012 and 2013. A.C.T. Research Co., LLC (“A.C.T. Research”), a truck industry data and forecasting service provider, currently predicts U.S. retail sales of Class 8 trucks of approximately 183,000 units in 2011, and 243,500 units in 2012, compared to 110,109 units in 2010. The Company believes that if U.S. Class 8 new truck orders continue at the pace set in recent months, 2011 U.S. Class 8 truck sales should reach approximately 180,000 units.</w:t>
      </w:r>
    </w:p>
    <w:p>
      <w:pPr>
        <w:spacing w:after="0" w:line="153"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The Company increased deliveries of new medium-duty vehicles by 90.4% in the second quarter of 2011, compared to the second quarter of last year. A.C.T. Research currently predicts U.S. retail sales of Class 4, 5, 6, and 7 medium-duty commercial vehicles of approximately 146,000 units in 2011, a 24.2% increase from the number of deliveries in 2010, and 163,000 units in 2012.</w:t>
      </w:r>
    </w:p>
    <w:p>
      <w:pPr>
        <w:spacing w:after="0" w:line="12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Company’s overall parts, service and body shop sales increased 43.8% in the second quarter of 2011 compared to the second quarter of 2010. The Company achieved a very strong absorption rate of 112.9% for the quarter.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85"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Revenues increased $332.1 million, or 100.7%, in the second quarter of 2011 compared to the second quarter of 2010. Sales of new and used commercial vehicles increased $275.3 million, or 143.9%, in the second quarter of 2011 compared to the second quarter of 2010. Demand for commercial vehicles has increased as general economic conditions in the United States have improved and credit is being made available on reasonable terms to a wider range of buyers. Our parts, service and body shop revenues increased 43.8% in the second quarter of 2011 compared to 2010, primarily due to increased maintenance and repair as commercial vehicle utilization continues to increase and acquisitions made by the Company in 2010 and the first quarter of 2011.</w:t>
      </w:r>
    </w:p>
    <w:p>
      <w:pPr>
        <w:spacing w:after="0" w:line="138"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sold 2,363 heavy-duty trucks in the second quarter of 2011, a 190.7% increase compared to 813 heavy-duty trucks in the second quarter of 2010. According to A.C.T. Research, the U.S. Class 8 truck market increased 55.0% in the second quarter of 2011 compared to the second quarter of 2010. The Company’s share of the U.S. Class 8 truck retail sales market was approximately 4.3% in 2010. The Company expects its market share to range between 4.5% and 5.0% of U.S. Class 8 truck sales in 2011. This market share percentage would result in the sale of approximately 8,200 to 9,100 of Class 8 trucks in 2011 based on A.C.T. Research’s current estimate that U.S. retail sales will increase to 183,000 units in 2011. The Company’s ability to sell this many trucks may be limited by manufacturer and component suppliers’ ability to maintain or increase production over current levels to meet customer demand.</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sold 1,514 medium-duty commercial vehicles, including 398 buses, in the second quarter of 2011. This represented a 90.4% increase compared to 795 medium-duty commercial vehicles, including 105 buses, in the second quarter of 2010. A.C.T. Research estimates that unit sales of Class 4 through 7 commercial vehicles in the U.S. increased approximately 34.0% in the second quarter of 2011 compared to the second quarter of 2010. In 2010, the Company achieved a 2.5% share of the Class 4 through 7 commercial vehicle sales market in the U.S. As a result of acquisitions that occurred during 2010 and the first quarter of 2011, the Company expects its market share to range between 3.3% and 3.8% of U.S. Class 4 through 7 commercial vehicle sales in 2011. This market share percentage would result in the sale of approximately 4,800 to 5,500 of Class 4 through 7 commercial vehicles in 2011 based on A.C.T. Research’s current U.S. retail sales estimates of 146,000 units.</w:t>
      </w:r>
    </w:p>
    <w:p>
      <w:pPr>
        <w:spacing w:after="0" w:line="152"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The Company sold 1,156 used commercial vehicles in the second quarter of 2011, a 30.0% increase compared to 889 used commercial vehicles in the second quarter of 2010. The Company expects to sell approximately 4,200 to 4,500 used commercial vehicles in 2011. The Company expects used commercial vehicle sales to be largely dependent upon our ability to acquire quality used commercial vehicles and maintain an adequate used commercial vehicle inventory throughout 2011.</w:t>
      </w:r>
    </w:p>
    <w:p>
      <w:pPr>
        <w:spacing w:after="0" w:line="13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Parts and service sales increased $51.9 million, or 43.8%, in the second quarter of 2011 compared to the second quarter of 2010. As commercial vehicle utilization remains high, the Company expects parts, service and body shop sales to continue to remain strong through 2011.</w:t>
      </w:r>
    </w:p>
    <w:p>
      <w:pPr>
        <w:spacing w:after="0" w:line="141"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Truck lease and rental revenues increased $4.3 million, or 26.5%, in the second quarter of 2011 compared to the second quarter of 2010. The increase in lease and rental revenue is consistent with management’s expectations, which are based upon the increased number of units put into service in the lease and rental fleet during 2010 and increased rental fleet utilization. The Company expects lease and rental revenue to increase 17% to 20% during 2011, compared to 2010 based on the increase of units in the lease and rental fleet and the acquisition of Lake City International in May 2010.</w:t>
      </w:r>
    </w:p>
    <w:p>
      <w:pPr>
        <w:spacing w:after="0" w:line="14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Finance and insurance revenues increased $0.7 million, or 34.0%, in the second quarter of 2011 compared to the second quarter of 2010. The increase in finance and insurance revenue is a direct result of the increase in new and used commercial vehicle sales. The Company expects finance and insurance revenue to fluctuate proportionately with the Company’s new and used commercial vehicle sales in 2011. Finance and insurance revenues have limited direct costs and, therefore, contribute a disproportionate share of the Company’s operating profits.</w:t>
      </w:r>
    </w:p>
    <w:p>
      <w:pPr>
        <w:spacing w:after="0" w:line="14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Other revenue remained flat at $1.7 million in the second quarter of 2011 and the second quarter of 2010. Other revenue consists primarily of the gain on sale realized on trucks from the lease and rental fleet, document fees related to commercial vehicle sales, mineral royalties and purchase discounts.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Gross profit increased $36.3 million, or 52.5%, in the second quarter of 2011, compared to the second quarter of 2010. Gross profit as a percentage of sales decreased to 15.9% in the second quarter of 2011 from 21.0% in the second quarter of 2010. This decrease in gross profit as a percentage of sales is primarily a result of a change in our product sales mix. Commercial vehicle sales, a lower margin revenue item, increased as a percentage of total revenue to 70.5% in 2011, from 58.0% in 2010. Parts and service revenue, a higher margin revenue item, decreased as a percentage of total revenue to 25.7% in 2011, from 35.9% in 2010.</w:t>
      </w:r>
    </w:p>
    <w:p>
      <w:pPr>
        <w:spacing w:after="0" w:line="11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Gross margins on Class 8 truck sales decreased to 6.7% in the second quarter of 2011, from 8.1% in the second quarter of 2010. The decrease in gross margins is primarily related to the increase in sales to fleet customers compared to the second quarter of 2010. In 2011, the Company expects overall gross margins from Class 8 truck sales of approximately 6.5% to 7.5%.</w:t>
      </w:r>
    </w:p>
    <w:p>
      <w:pPr>
        <w:spacing w:after="0" w:line="125" w:lineRule="exact"/>
        <w:rPr>
          <w:sz w:val="20"/>
          <w:szCs w:val="20"/>
          <w:color w:val="auto"/>
        </w:rPr>
      </w:pPr>
    </w:p>
    <w:p>
      <w:pPr>
        <w:jc w:val="both"/>
        <w:ind w:left="340" w:right="179" w:firstLine="389"/>
        <w:spacing w:after="0" w:line="297" w:lineRule="auto"/>
        <w:rPr>
          <w:sz w:val="20"/>
          <w:szCs w:val="20"/>
          <w:color w:val="auto"/>
        </w:rPr>
      </w:pPr>
      <w:r>
        <w:rPr>
          <w:rFonts w:ascii="Arial" w:cs="Arial" w:eastAsia="Arial" w:hAnsi="Arial"/>
          <w:sz w:val="16"/>
          <w:szCs w:val="16"/>
          <w:color w:val="auto"/>
        </w:rPr>
        <w:t>Gross margins on medium-duty commercial vehicle sales decreased to 4.3% in the second quarter of 2011, from 5.7% in the second quarter of 2010. Gross margins on medium-duty commercial vehicles are difficult to forecast accurately because gross margins vary significantly depending upon the mix of fleet and non-fleet purchasers and types of medium-duty commercial vehicles sold. For 2011, the Company expects overall gross margins from medium-duty commercial vehicle sales of approximately 5.5% to 6.2%, but this will largely depend upon general economic conditions and the mix of purchasers and types of vehicles sold.</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Gross margins on used commercial vehicle sales decreased to 10.2% in the second quarter of 2011, from 14.7% in the second quarter of 2010. The Company expects margins on used commercial vehicles to remain approximately 10.0% during 2011, but this will largely depend upon general economic conditions and the availability of quality used vehicles.</w:t>
      </w:r>
    </w:p>
    <w:p>
      <w:pPr>
        <w:spacing w:after="0" w:line="15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Gross margins from the Company’s parts, service and body shop operations increased to 39.3% in the second quarter of 2011, from 39.1% in the second quarter of 2010. Gross profit for the parts, service and body shop departments increased to $66.9 million in the second quarter of 2011 from $46.3 million in the second quarter of 2010. The Company expects gross margins on parts, service and body shop operations to range from 39.0% to 41.0% in 2011.</w:t>
      </w:r>
    </w:p>
    <w:p>
      <w:pPr>
        <w:spacing w:after="0" w:line="14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Gross margins from truck lease and rental sales increased to 18.0% in the second quarter of 2011, from 16.2% in the second quarter of 2010. The increase in lease and rental revenue is primarily attributable to increased utilization of vehicles in the Company’s rental fleet and increased variable revenue that is based on the miles that leased vehicles are driven. The Company expects gross margins from lease and rental sales of approximately 16.0% to 20.0% during 2011.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27"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Selling, General and Administrative (“SG&amp;A”) expenses increased $24.5 million, or 44.4%, in the second quarter of 2011, compared to the second quarter of 2010. SG&amp;A expenses as a percentage of total revenue decreased to 12.0% in the second quarter of 2011, from 16.7% in the second quarter of 2010. SG&amp;A expenses as a percentage of total revenue have historically ranged from 10.0% to 15.0%. In general, when new and used commercial vehicle revenue decreases as a percentage of revenue, SG&amp;A expenses as a percentage of total revenue will be at, or exceed, the higher end of this range. Historically low commercial vehicle revenue during 2009 and early 2010, caused SG&amp;A expenses as a percentage of sales to rise above this range. For 2011, the Company expects SG&amp;A expenses as a percentage of total revenue to range from 12.0% to 15.0%. For 2011, the Company expects the selling portion of SG&amp;A expenses to be approximately 25% to 30% of new and used commercial vehicle gross profit. In 2011, the Company expects the general and administrative portion of SG&amp;A expenses to increase by approximately 28.0% to 33.0% primarily due to an expected increase in personnel costs related to increased parts and service business, the full year effect of acquisitions made in 2010 and the first quarter of 2011, and the reinstatement of certain employee benefits. The Company will incur additional costs of approximately $1.0 million per quarter related to implementation of SAP software when it is placed in service in the third quarter of 2011. These costs include monthly maintenance fees and training expenses.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9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Depreciation and amortization expense increased $0.9 million, or 23.5%, in the second quarter of 2011 compared to the second quarter of 2010. The Company will incur additional amortization expense of approximately $0.7 million per quarter related to implementation of SAP software when it is placed in service in the third quarter of 2011.</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Net interest expense increased $0.2 million, or 14.5%, in the second quarter of 2011 compared to the second quarter of 2010. The Company’s floor plan agreement with GE Capital was modified at the end of 2010, which increased interest rates related to floor plan notes payable, however, net interest expense in 2011 will vary based on inventory levels and cash available for prepayment of floor plan financing. The Company expects net interest expense to increase by an additional amount of approximately $0.3 million per quarter when the SAP software is placed in service in the third quarter of 2011, because the Company will no longer capitalize interest on the costs related to the SAP software implementation.</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98"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As a result of the factors described above, income from continuing operations before income taxes increased $11.2 million, or 125.2%, in the second quarter of 2011 compared to the second quarter of 2010. The Company believes that income from continuing operations before income taxes will increase in 2011 compared to 2010 because of the factors described above.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Income taxes increased $4.1 million, or 116.2%, in the second quarter of 2011, compared to the second quarter of 2010. The Company provided for taxes at a 38.0% effective rate in the second quarter of 2011 compared to an effective rate of 42.0% in the second quarter of 2010. The Company expects its effective tax rate to be approximately 36.0% to 39.0% of pretax income in 2011.</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Income from discontinued operations, net of income taxes decreased $0.3 million in the second quarter of 2011 compared to the second quarter of 2010. Income from discontinued operations includes operating results for the Company’s construction equipment business, which was sold in September 2010.</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Six Months Ended June 30, 2011, Compared to Six Months Ended June 30, 2010</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Unless otherwise stated below, the Company’s variance explanations and future expectations with regard to the items discussed in this section are set forth in the discussion of the “Three Months Ended June 30, 2011, Compared to Three Months Ended June 30, 2010.”</w:t>
      </w:r>
    </w:p>
    <w:p>
      <w:pPr>
        <w:spacing w:after="0" w:line="141"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Revenues increased $479.0 million, or 76.1%, in the first six months of 2011, compared to the first six months of 2010. Sales of new and used trucks increased $372.2 million, or 100.1%, in the first six months of 2011, compared to the first six months of 2010.</w:t>
      </w:r>
    </w:p>
    <w:p>
      <w:pPr>
        <w:spacing w:after="0" w:line="83"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 sold 3,708 heavy-duty trucks in the first six months of 2011, a 108.1% increase compared to 1,782 heavy-duty trucks in the first six months of 2010. According to A.C.T. Research, the U.S. Class 8 truck market increased 44.0% in the first six months of 2011, compared to the first six months of 2010.</w:t>
      </w:r>
    </w:p>
    <w:p>
      <w:pPr>
        <w:spacing w:after="0" w:line="15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sold 2,331 medium-duty commercial vehicles, including 507 buses in the first six months of 2011. This represented a 67.7% increase compared to 1,390 medium-duty commercial vehicles, including 203 buses in the first six months of 2010. A.C.T. Research estimates that unit sales of Class 4 through 7 commercial vehicles in the U.S increased approximately 25.0% in the first six months of 2011, compared to the first six months of 2010.</w:t>
      </w:r>
    </w:p>
    <w:p>
      <w:pPr>
        <w:spacing w:after="0" w:line="14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sold 2,263 used commercial vehicles in the first six months of 2011, a 43.7% increase compared to 1,575 used commercial vehicles in the first six months of 2010.</w:t>
      </w:r>
    </w:p>
    <w:p>
      <w:pPr>
        <w:spacing w:after="0" w:line="13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Parts and service sales increased $95.6 million, or 43.4%, in the first six months of 2011, compared to the first six months of 2010.</w:t>
      </w:r>
    </w:p>
    <w:p>
      <w:pPr>
        <w:spacing w:after="0" w:line="143"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Truck lease and rental revenues increased $9.3 million, or 30.6%, in the first six months of 2011, compared to the first six months of 2010.</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Finance and insurance revenues increased $1.2 million, or 33.4%, in the first six months of 2011, compared to the first six months of 2010.</w:t>
      </w:r>
    </w:p>
    <w:p>
      <w:pPr>
        <w:spacing w:after="0" w:line="13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Other revenue increased $0.7 million, or 23.9%, in the first six months of 2011, compared to the first six months of 2010. Other revenue consists primarily of the gain on sale realized on trucks from the lease and rental fleet, document fees related to commercial vehicle sales, mineral royalties and purchase discounts.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Gross profit increased $60.7 million, or 47.7%, in the first six months of 2011, compared to the first six months of 2010. Gross profit as a percentage of sales decreased to 17.0% in the first six months of 2011 from 20.2% in the first six months of 2010.</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Gross margins on Class 8 truck sales decreased to 6.6% in the first six months of 2011, from 7.6% in the first six months of 2010.</w:t>
      </w:r>
    </w:p>
    <w:p>
      <w:pPr>
        <w:spacing w:after="0" w:line="20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Gross margins on medium-duty commercial vehicle sales decreased to 4.4% in the first six months of 2011, from 5.9% in the first six months of 2010.</w:t>
      </w:r>
    </w:p>
    <w:p>
      <w:pPr>
        <w:spacing w:after="0" w:line="143"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Gross margins on used commercial vehicle sales decreased to 10.1% in the first six months of 2011, from 14.3% in the first six months of 2010.</w:t>
      </w:r>
    </w:p>
    <w:p>
      <w:pPr>
        <w:spacing w:after="0" w:line="13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Gross margins from the Company’s parts, service and body shop operations increased to 39.2% in the first six months of 2011, from 38.8% in the first six months of 2010. Gross profit for the parts, service and body shop departments was $123.8 million in the first six months of 2011, compared to $85.5 million in the first six months of 2010.</w:t>
      </w:r>
    </w:p>
    <w:p>
      <w:pPr>
        <w:spacing w:after="0" w:line="14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Gross margins from truck lease and rental sales increased to 16.7% in the first six months of 2011, from approximately 14.6% in the first six months of 2010.</w:t>
      </w:r>
    </w:p>
    <w:p>
      <w:pPr>
        <w:spacing w:after="0" w:line="143"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SG&amp;A expenses increased $39.7 million, or 37.7%, in the first six months of 2011, compared to the first six months of 2010.</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SG&amp;A expenses as a percentage of sales was 13.1% in the first six months of 2011 and 16.7% in the first six months of 2010.</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interest expense increased $0.1 million, or 3.9%, in the first six months of 2011, compared to the first six months of 2010.</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Income from continuing operations before income taxes increased $19.8 million in the first six months of 2011, compared to the first six months of 2010.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Income taxes increased $7.3 million in the first six months of 2011, compared to the first six months of 2010. The Company provided for taxes at a 38.0% rate in the first six months of 2011, compared to a rate of 42.0% in the first six months of 2010.</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Income from discontinued operations, net of income taxes decreased $0.6 million in the second quarter of 2011 compared to the second quarter of 2010. Income from discontinued operations includes operating results for the Company’s construction equipment business, which was sold in September 2010.</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The Company’s short-term cash requirements are primarily for working capital, inventory financing, the improvement and expansion of existing facilities, the development and implementation of SAP enterprise software and dealership management system, and the construction or purchase of new facilities. Historically, these cash requirements have been met through the retention of profits, borrowings under our floor plan arrangements and bank financings. The Company does not expect the absence of cash flows from discontinued operations to materially affect future liquidity and capital resources. As of June 30, 2011, the Company had working capital of approximately $140.9 million, including $146.3 million in cash available to fund our operations. The Company believes that these funds are sufficient to meet our operating requirements for at least the next twelve months.</w:t>
      </w:r>
    </w:p>
    <w:p>
      <w:pPr>
        <w:spacing w:after="0" w:line="200" w:lineRule="exact"/>
        <w:rPr>
          <w:sz w:val="20"/>
          <w:szCs w:val="20"/>
          <w:color w:val="auto"/>
        </w:rPr>
      </w:pPr>
    </w:p>
    <w:p>
      <w:pPr>
        <w:spacing w:after="0" w:line="3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Available cash is generally invested in variable interest rate instruments in accordance with the Company’s investment policy which is to invest excess funds in a manner that will provide maximum preservation and safety of principal. The portfolio is maintained to meet anticipated liquidity needs of the Company in order to ensure the availability of cash to meet the Company’s obligations and to minimize potential liquidation losses. As of June 30, 2011, the majority of excess cash is maintained in a depository account or invested in a money market fund that invests exclusively in U.S. Treasury bills, notes and other obligations issued or guaranteed by the U.S. Treasury, and repurchase agreements collateralized by such obligations.</w:t>
      </w:r>
    </w:p>
    <w:p>
      <w:pPr>
        <w:spacing w:after="0" w:line="151"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has a secured line of credit that provides for a maximum borrowing of $10.0 million. There were no advances outstanding under this secured line of credit at June 30, 2011, however, $7.1 million was pledged to secure various letters of credit related to self-insurance products, leaving $2.9 million available for future borrowings as of June 30, 2011.</w:t>
      </w:r>
    </w:p>
    <w:p>
      <w:pPr>
        <w:spacing w:after="0" w:line="125"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Company’s long-term real estate debt agreements and floor plan credit agreement require the Company to satisfy various financial ratios such as the debt to worth ratio, leverage ratio and the fixed charge coverage ratio and certain requirements for tangible net worth and GAAP net worth. At June 30, 2011, the Company was in compliance with all debt covenants related to debt secured by real estate and its floor plan credit agreement. The Company does not anticipate any breach of the covenants in the foreseeable future.</w:t>
      </w:r>
    </w:p>
    <w:p>
      <w:pPr>
        <w:spacing w:after="0" w:line="11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Titan Technology Partners is currently implementing SAP enterprise software and a new SAP dealership management system for the Company. The total cost of the SAP software and implementation is estimated to be approximately $41.0 million. As of June 30, 2011, the Company had cumulative expenditures of $40.0 million related to the SAP project. The Company expects to spend approximately $1.0 million related to the SAP project during the remainder of 2011. The Company plans to place in service the SAP software during the third quarter of 2011.</w:t>
      </w:r>
    </w:p>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expects to purchase or lease trucks worth approximately $75.0 million for its leasing operations in 2011, depending on customer demand, all of which will be financed. The Company also expects to make capital expenditures for recurring items such as computers, shop tools and equipment and vehicles of approximately $7.0 million to $9.0 million during the remainder of 2011.</w:t>
      </w:r>
    </w:p>
    <w:p>
      <w:pPr>
        <w:spacing w:after="0" w:line="14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currently anticipates funding its capital expenditures relating to the implementation of the SAP enterprise software and SAP dealership management system, improvement and expansion of existing facilities and recurring expenses, as well as a portion of the construction or purchase of new facilities through its operating cash flow. The Company expects to finance 70% to 80% of the appraised value of any newly constructed or purchased facilities, which will increase the Company’s cash and cash equivalents by that amount.</w:t>
      </w:r>
    </w:p>
    <w:p>
      <w:pPr>
        <w:spacing w:after="0" w:line="14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has no other material commitments for capital expenditures as of June 30, 2011, except that the Company will continue to purchase vehicles for its lease and rental division and authorize capital expenditures for improvement and expansion of its existing dealership facilities and construction or purchase of new facilities based on market opportunities.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Cash and cash equivalents decreased by $22.7 million during the six months ended June 30, 2011 and decreased by $13.3 million during the six months ended June 30, 2010. The major components of these changes are discussed below.</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9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six months of 2011, operating activities resulted in net cash used in operations of $36.0 million. Cash used in operating activities was primarily impacted by the increase in inventories and accounts receivable which was offset by the increase in accounts payable and accrued expenses. During the first six months of 2010, operating activities resulted in cash provided by operations of $5.5 million.</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Cash flows from operating activities as adjusted for all draws on floor plan notes, except for floor plan related to inventory acquired in business acquisitions, (“Adjusted Cash Flows from Operating Activities”) was $65.5 million for the six months ended June 30, 2011, and $50.0 million for the six months ended June 30, 2010. Generally, all vehicle dealers finance the purchase of vehicles with floor plan borrowings. Our agreements with our floor plan provider require us to repay amounts borrowed for the purchase of such vehicles immediately after they are sold. As a result, changes in floor plan notes payable are directly linked to changes in vehicle inventory. However, as reflected in our consolidated statements of cash flows, changes in inventory are recorded as cash flows from operating activities if such inventory is procured in the normal course of business, or as cash flows from investing activities if such inventory is procured as part of a business acquisition, while all draws on floor plan notes are recorded as cash flows from financing activities.</w:t>
      </w:r>
    </w:p>
    <w:p>
      <w:pPr>
        <w:spacing w:after="0" w:line="17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46"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except floor plan changes related to acquisitions, were classified as an operating activity (in thousands).</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5"/>
          </w:tcPr>
          <w:p>
            <w:pPr>
              <w:jc w:val="right"/>
              <w:ind w:right="260"/>
              <w:spacing w:after="0"/>
              <w:rPr>
                <w:sz w:val="20"/>
                <w:szCs w:val="20"/>
                <w:color w:val="auto"/>
              </w:rPr>
            </w:pPr>
            <w:r>
              <w:rPr>
                <w:rFonts w:ascii="Arial" w:cs="Arial" w:eastAsia="Arial" w:hAnsi="Arial"/>
                <w:sz w:val="18"/>
                <w:szCs w:val="18"/>
                <w:color w:val="auto"/>
                <w:w w:val="91"/>
              </w:rPr>
              <w:t>Six Months Ended June 30,</w:t>
            </w:r>
          </w:p>
        </w:tc>
      </w:tr>
      <w:tr>
        <w:trPr>
          <w:trHeight w:val="210"/>
        </w:trPr>
        <w:tc>
          <w:tcPr>
            <w:tcW w:w="7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 (GAAP)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Draws on floor plan notes payable</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114,741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44,504</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draws on floor plan notes payable related to inventory acquired in business acquisitions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7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7300" w:type="dxa"/>
            <w:vAlign w:val="bottom"/>
          </w:tcPr>
          <w:p>
            <w:pPr>
              <w:spacing w:after="0"/>
              <w:rPr>
                <w:sz w:val="20"/>
                <w:szCs w:val="20"/>
                <w:color w:val="auto"/>
              </w:rPr>
            </w:pPr>
            <w:r>
              <w:rPr>
                <w:rFonts w:ascii="Arial" w:cs="Arial" w:eastAsia="Arial" w:hAnsi="Arial"/>
                <w:sz w:val="18"/>
                <w:szCs w:val="18"/>
                <w:color w:val="auto"/>
              </w:rPr>
              <w:t>Adjusted Cash Flows from Operating Activities (Non-GAAP)</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65,479</w:t>
            </w:r>
          </w:p>
        </w:tc>
        <w:tc>
          <w:tcPr>
            <w:tcW w:w="3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49,990</w:t>
            </w:r>
          </w:p>
        </w:tc>
      </w:tr>
      <w:tr>
        <w:trPr>
          <w:trHeight w:val="20"/>
        </w:trPr>
        <w:tc>
          <w:tcPr>
            <w:tcW w:w="7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8"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Cash flows used in investing activities consist primarily of cash used for capital expenditures and business acquisitions. During the first six months of 2011, cash used in investing activities was $109.8 million. Capital expenditures consisted of purchases of property and equipment and improvements to our existing dealership facilities of $60.8 million. Property and equipment purchases during the first six months of 2011 consisted of $30.4 million for additional units for rental and leasing operations, which was directly offset by borrowings of long-term debt, $16.0 million for transportation equipment and $4.5 million related to the SAP software implementation, including capitalized interest. The Company expects to purchase or lease trucks worth approximately $75.0 million for its leasing operations in 2011, depending on customer demand, all of which will be financed. Cash used in business acquisitions was $60.0 million during the first six months of 2011 (See Note 9 - Acquisitions of Notes to Consolidated Financial Statements). During the remainder of 2011, the Company expects to make capital expenditures for recurring items such as computers, shop equipment and vehicles of approximately $7.0 million to $9.0 million, in addition to approximately $1.0 million for the SAP project described above.</w:t>
      </w:r>
    </w:p>
    <w:p>
      <w:pPr>
        <w:spacing w:after="0" w:line="152"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During the first six months of 2010, cash used in investing activities was $62.9 million. Capital expenditures consisted of purchases of property and equipment and improvements to our existing dealership facilities of $28.6 million. Property and equipment purchases during the first six months of 2010 consisted of $17.9 million for additional units for rental and leasing operations, which was directly offset by borrowings of long-term debt. Cash used in business acquisitions was $32.5 million during the first six months of 2010 (See Note 9 - Acquisitions of Notes to Consolidated Financial Statements).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Cash flows from financing activities include borrowings and repayments of long-term debt and net proceeds of floor plan notes payable. Cash provided by financing activities was $123.2 million during the first six months of 2011. The Company had borrowings of long-term debt of $45.9 million and repayments of long-term debt of $33.3 million and repayments of capital lease obligations of $7.6 million during the first six months of 2011. The Company had net draws on floor plan notes payable of $114.7 million during the first six months of 2011. The borrowings of long-term debt were primarily related to units for the rental and leasing operations.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Cash provided by financing activities was $44.1 million during the first six months of 2010. The Company had borrowings of long-term debt of $26.9 million and repayments of long-term debt of $24.8 million during the first six months of 2010. The Company had net draws on floor plan notes payable of $44.5 million during the first six months of 2010. The borrowings of long-term debt were primarily related to units for the rental and leasing operations.</w:t>
      </w:r>
    </w:p>
    <w:p>
      <w:pPr>
        <w:spacing w:after="0" w:line="160"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Substantially all of the Company’s commercial vehicle purchases are made on terms requiring payment within 15 days or less from the date the commercial vehicles are invoiced from the factory. We financed substantially all of the purchases of commercial vehicle inventory under our $450.0 million credit agreement with GE Capital. All principal amounts outstanding bear interest at a rate per annum equal to the sum of the LIBOR rate plus 2.95%, which is payable monthly. The credit agreement allows for prepayment of the inventory loans, up to 65% of the aggregate inventory loans outstanding, with monthly adjustments to the interest due. The Company makes monthly interest payments to GE Capital on the amount financed, but is not required to commence loan principal repayments on any vehicle until such vehicle has been financed for 12 months or is sold. On June 30, 2011, the Company had approximately $340.9 million outstanding under its credit agreement with GE Capital.</w:t>
      </w:r>
    </w:p>
    <w:p>
      <w:pPr>
        <w:spacing w:after="0" w:line="13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Navistar Financial Corporation offers a floor plan program that provides an interest free financing period, which varies depending on the commercial vehicle purchased. If the commercial vehicle financed by Navistar is not sold within the interest free finance period, the Company transfers the financed commercial vehicle to the GE Capital credit agreement. On June 30, 2011, the Company had approximately $11.6 million outstanding under the floor plan program with Navistar Financial Corporation.</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19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On June 30, 2011, the Company’s backlog of commercial vehicle orders was approximately $705.7 million compared to a backlog of commercial vehicle orders of approximately $154.4 million on June 30, 2010. The Company includes only confirmed orders in its backlog. The delivery time for a custom-ordered commercial vehicle varies depending on the truck specifications and demand for the particular model ordered, however, the Company expects to fill all of its backlog orders during 2011. The Company sells the majority of its new commercial vehicles by customer special order, with the remainder sold out of inventory. Orders from a number of the Company’s major fleet customers are included in the Company’s backlog as of June 30, 2011.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Cyclicality</w:t>
      </w:r>
    </w:p>
    <w:p>
      <w:pPr>
        <w:spacing w:after="0" w:line="185"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Off-Balance Sheet Arrangements</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Other than operating leases, the Company does not have any obligation under any transaction, agreement or other contractual arrangement to which an entity unconsolidated with the Company is a party that has or is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19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or construction equipment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37"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Our operations involving the management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37"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152"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13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2010, the EPA and the U.S. Department of Transportation (DOT) announced the first national standards to reduce greenhouse gas (GHG) emissions and improve fuel efficiency of heavy-duty trucks and buses. This comprehensive national program is projected to reduce GHG emissions by about 250 million metric tons and save 500 million barrels of oil over the lives of the vehicles produced within the program’s first five years.</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EPA and DOT’s National Highway Traffic Safety Administration are proposing new standards for three categories of heavy trucks: combination tractors (the main power unit portion of a tractor-trailer combined vehicle), heavy-duty pickups and vans, and vocational vehicles. The categories were established to address specific challenges for manufacturers in each area. For combination tractors, the agencies are proposing engine and vehicle standards that begin in the 2014 model year and achieve up to a 20 percent reduction in carbon dioxide (CO2) emissions and fuel consumption by 2018 model year.</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For heavy-duty pickup trucks and vans, the agencies are proposing separate gasoline and diesel truck standards, which phase in starting in the 2014 model year and achieve up to a 10 percent reduction for gasoline vehicles and 15 percent reduction for diesel vehicles by 2018 model year (12 and 17 percent respectively if accounting for air conditioning leakage). Lastly, for vocational vehicles, the agencies are proposing engine and vehicle standards starting in the 2014 model year which would achieve up to a 10 percent reduction in fuel consumption and CO2 emissions by 2018 model year.</w:t>
      </w:r>
    </w:p>
    <w:p>
      <w:pPr>
        <w:spacing w:after="0" w:line="132"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It is not possible at this time to accurately predict how the foregoing proposed standards, future legislation or other new regulations that may be adopted to address greenhouse gas emissions will impact our business. Any regulations will likely result in increased compliance costs, additional operating restrictions or changes in demand for our products and services, which could have a material adverse effect on our business, financial condition and results of operation.</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83"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June 30, 2011, the Company had floor plan borrowings and variable interest rate real estate debt of approximately $451.8 million. Assuming an increase or decrease in LIBOR of 100 basis points, annual interest expense could correspondingly increase or decrease by approximately $4.5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2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exposed to some market risk through interest rate swaps on some of the Company’s variable interest rate real estate debt. As of June 30, 2011, the Company has interest rate swaps with a total notional amount of $45.0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162"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Company is also exposed to some market risk through interest rates related to the investment of our current cash and cash equivalents which totaled $146.3 million on June 30, 2011.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$1.0 million.</w:t>
      </w:r>
    </w:p>
    <w:p>
      <w:pPr>
        <w:spacing w:after="0" w:line="12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4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 of June 30, 2011,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6 — Financial Instruments and Fair Value of the Notes to Consolidated Financial Statements.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June 30, 2011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200" w:lineRule="exact"/>
        <w:rPr>
          <w:sz w:val="20"/>
          <w:szCs w:val="20"/>
          <w:color w:val="auto"/>
        </w:rPr>
      </w:pPr>
    </w:p>
    <w:p>
      <w:pPr>
        <w:spacing w:after="0" w:line="35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June 30, 2011 that has materially affected, or is reasonably likely to materially affect, the Company’s internal control over financial reporting.</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2010 Annual Report on Form 10-K (the “2010 Annual Report”) describes some of the risks and uncertainties associated with our business that have the potential to materially affect our business, financial condition or results of operations.</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has been no material change in our risk factors disclosed in our 2010 Annual Report.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2011.</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 did not repurchase any shares of its Class A Common Stock or Class B Common Stock during the second quarter of 2011.</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1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6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Exhibit</w:t>
            </w:r>
          </w:p>
        </w:tc>
        <w:tc>
          <w:tcPr>
            <w:tcW w:w="6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824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340" w:type="dxa"/>
            <w:vAlign w:val="bottom"/>
          </w:tcPr>
          <w:p>
            <w:pPr>
              <w:spacing w:after="0"/>
              <w:rPr>
                <w:sz w:val="16"/>
                <w:szCs w:val="16"/>
                <w:color w:val="auto"/>
              </w:rPr>
            </w:pPr>
          </w:p>
        </w:tc>
        <w:tc>
          <w:tcPr>
            <w:tcW w:w="102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3.1</w:t>
            </w:r>
          </w:p>
        </w:tc>
        <w:tc>
          <w:tcPr>
            <w:tcW w:w="2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6"/>
              </w:rPr>
              <w:t>the Company’s Quarterly Report on Form 10-Q (File No. 000-20797) for the quarter ended June 30, 2008)</w:t>
            </w:r>
          </w:p>
        </w:tc>
      </w:tr>
      <w:tr>
        <w:trPr>
          <w:trHeight w:val="418"/>
        </w:trPr>
        <w:tc>
          <w:tcPr>
            <w:tcW w:w="1360" w:type="dxa"/>
            <w:vAlign w:val="bottom"/>
            <w:gridSpan w:val="2"/>
          </w:tcPr>
          <w:p>
            <w:pPr>
              <w:jc w:val="right"/>
              <w:ind w:right="15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4"/>
              </w:rPr>
              <w:t>Rush Enterprises, Inc. Amended and Restated Bylaws (incorporated herein by reference to Exhibit 3.2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5"/>
              </w:rPr>
              <w:t>Company’s Quarterly Report on Form 10-Q (File No. 000-20797) filed for the quarter ended June 30, 2009)</w:t>
            </w:r>
          </w:p>
        </w:tc>
      </w:tr>
      <w:tr>
        <w:trPr>
          <w:trHeight w:val="418"/>
        </w:trPr>
        <w:tc>
          <w:tcPr>
            <w:tcW w:w="1360" w:type="dxa"/>
            <w:vAlign w:val="bottom"/>
            <w:gridSpan w:val="2"/>
          </w:tcPr>
          <w:p>
            <w:pPr>
              <w:jc w:val="right"/>
              <w:ind w:right="5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1"/>
              </w:rPr>
              <w:t>Rush Enterprises, Inc. Amended and Restated 2006 Non-Employee Director Stock Plan (incorporated herein by</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reference to Appendix A of the Company’s Definitive Proxy Statement on Schedule 14A, filed with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Securities and Exchange Commission on April 6, 2011)</w:t>
            </w:r>
          </w:p>
        </w:tc>
      </w:tr>
      <w:tr>
        <w:trPr>
          <w:trHeight w:val="418"/>
        </w:trPr>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9"/>
              </w:rPr>
              <w:t>Certification of CEO pursuant to Rules 13a-14(a) and 15d-14(a) adopted pursuant to Section 302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Sarbanes-Oxley Act of 2002.</w:t>
            </w:r>
          </w:p>
        </w:tc>
      </w:tr>
      <w:tr>
        <w:trPr>
          <w:trHeight w:val="418"/>
        </w:trPr>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9"/>
              </w:rPr>
              <w:t>Certification of CFO pursuant to Rules 13a-14(a) and 15d-14(a) adopted pursuant to Section 302 of the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Sarbanes-Oxley Act of 2002.</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3"/>
              </w:rPr>
              <w:t>Certification of CEO pursuant to 18 U.S.C. Section 1350 as adopted pursuant to Section 906 of the Sarbanes-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Oxley Act of 2002.</w:t>
            </w:r>
          </w:p>
        </w:tc>
      </w:tr>
      <w:tr>
        <w:trPr>
          <w:trHeight w:val="418"/>
        </w:trPr>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w w:val="93"/>
              </w:rPr>
              <w:t>Certification of CFO pursuant to 18 U.S.C. Section 1350 as adopted pursuant to Section 906 of the Sarbanes-</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40" w:type="dxa"/>
            <w:vAlign w:val="bottom"/>
            <w:gridSpan w:val="2"/>
          </w:tcPr>
          <w:p>
            <w:pPr>
              <w:ind w:left="60"/>
              <w:spacing w:after="0"/>
              <w:rPr>
                <w:sz w:val="20"/>
                <w:szCs w:val="20"/>
                <w:color w:val="auto"/>
              </w:rPr>
            </w:pPr>
            <w:r>
              <w:rPr>
                <w:rFonts w:ascii="Arial" w:cs="Arial" w:eastAsia="Arial" w:hAnsi="Arial"/>
                <w:sz w:val="18"/>
                <w:szCs w:val="18"/>
                <w:color w:val="auto"/>
              </w:rPr>
              <w:t>Oxley Act of 2002.</w:t>
            </w:r>
          </w:p>
        </w:tc>
      </w:tr>
    </w:tbl>
    <w:p>
      <w:pPr>
        <w:spacing w:after="0" w:line="202" w:lineRule="exact"/>
        <w:rPr>
          <w:sz w:val="20"/>
          <w:szCs w:val="20"/>
          <w:color w:val="auto"/>
        </w:rPr>
      </w:pPr>
    </w:p>
    <w:p>
      <w:pPr>
        <w:ind w:left="1880" w:right="199" w:hanging="1039"/>
        <w:spacing w:after="0" w:line="297" w:lineRule="auto"/>
        <w:tabs>
          <w:tab w:leader="none" w:pos="186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Rush Enterprises, Inc.’s Quarterly Report on Form 10-Q for the quarter ended June 30, 2011, formatted in XBRL (eXtensible Business Reporting Language): (i) Consolidated Balance Sheets as of June 30, 2011 and December 31, 2010; (ii) Consolidated Statements of Income for the three and six months ended June 30, 2011 and 2010; (iii) Consolidated Statements of Cash Flows for the six months ended June 30, 2011 and 2010; and (iv) Notes to Consolidated Financial Statements (tagged as blocks of text).</w:t>
      </w:r>
    </w:p>
    <w:p>
      <w:pPr>
        <w:spacing w:after="0" w:line="64" w:lineRule="exact"/>
        <w:rPr>
          <w:sz w:val="20"/>
          <w:szCs w:val="20"/>
          <w:color w:val="auto"/>
        </w:rPr>
      </w:pPr>
    </w:p>
    <w:p>
      <w:pPr>
        <w:ind w:left="340" w:right="5179" w:hanging="8"/>
        <w:spacing w:after="0" w:line="328" w:lineRule="auto"/>
        <w:tabs>
          <w:tab w:leader="none" w:pos="732"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 Filed herewith</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77" w:lineRule="exact"/>
        <w:rPr>
          <w:sz w:val="20"/>
          <w:szCs w:val="20"/>
          <w:color w:val="auto"/>
        </w:rPr>
      </w:pPr>
    </w:p>
    <w:p>
      <w:pPr>
        <w:jc w:val="both"/>
        <w:ind w:left="720" w:right="159" w:hanging="388"/>
        <w:spacing w:after="0" w:line="259"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p>
        </w:tc>
        <w:tc>
          <w:tcPr>
            <w:tcW w:w="5400" w:type="dxa"/>
            <w:vAlign w:val="bottom"/>
            <w:gridSpan w:val="3"/>
          </w:tcPr>
          <w:p>
            <w:pPr>
              <w:ind w:left="1440"/>
              <w:spacing w:after="0"/>
              <w:rPr>
                <w:sz w:val="20"/>
                <w:szCs w:val="20"/>
                <w:color w:val="auto"/>
              </w:rPr>
            </w:pPr>
            <w:r>
              <w:rPr>
                <w:rFonts w:ascii="Arial" w:cs="Arial" w:eastAsia="Arial" w:hAnsi="Arial"/>
                <w:sz w:val="18"/>
                <w:szCs w:val="18"/>
                <w:color w:val="auto"/>
              </w:rPr>
              <w:t>RUSH ENTERPRISES, INC.</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 August 9, 2011</w:t>
            </w:r>
          </w:p>
        </w:tc>
        <w:tc>
          <w:tcPr>
            <w:tcW w:w="5400" w:type="dxa"/>
            <w:vAlign w:val="bottom"/>
            <w:gridSpan w:val="3"/>
          </w:tcPr>
          <w:p>
            <w:pPr>
              <w:ind w:left="1440"/>
              <w:spacing w:after="0"/>
              <w:rPr>
                <w:sz w:val="20"/>
                <w:szCs w:val="20"/>
                <w:color w:val="auto"/>
              </w:rPr>
            </w:pPr>
            <w:r>
              <w:rPr>
                <w:rFonts w:ascii="Arial" w:cs="Arial" w:eastAsia="Arial" w:hAnsi="Arial"/>
                <w:sz w:val="18"/>
                <w:szCs w:val="18"/>
                <w:color w:val="auto"/>
              </w:rPr>
              <w:t>By: /S/ W.M. “RUSTY” RUSH</w:t>
            </w:r>
          </w:p>
        </w:tc>
      </w:tr>
      <w:tr>
        <w:trPr>
          <w:trHeight w:val="195"/>
        </w:trPr>
        <w:tc>
          <w:tcPr>
            <w:tcW w:w="29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c>
          <w:tcPr>
            <w:tcW w:w="2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Date: August 9, 2011</w:t>
            </w:r>
          </w:p>
        </w:tc>
        <w:tc>
          <w:tcPr>
            <w:tcW w:w="5400" w:type="dxa"/>
            <w:vAlign w:val="bottom"/>
            <w:gridSpan w:val="3"/>
          </w:tcPr>
          <w:p>
            <w:pPr>
              <w:ind w:left="1440"/>
              <w:spacing w:after="0"/>
              <w:rPr>
                <w:sz w:val="20"/>
                <w:szCs w:val="20"/>
                <w:color w:val="auto"/>
              </w:rPr>
            </w:pPr>
            <w:r>
              <w:rPr>
                <w:rFonts w:ascii="Arial" w:cs="Arial" w:eastAsia="Arial" w:hAnsi="Arial"/>
                <w:sz w:val="18"/>
                <w:szCs w:val="18"/>
                <w:color w:val="auto"/>
              </w:rPr>
              <w:t>By: /S/ STEVEN L. KELLER</w:t>
            </w:r>
          </w:p>
        </w:tc>
      </w:tr>
      <w:tr>
        <w:trPr>
          <w:trHeight w:val="195"/>
        </w:trPr>
        <w:tc>
          <w:tcPr>
            <w:tcW w:w="29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2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29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520" w:type="dxa"/>
            <w:vAlign w:val="bottom"/>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Table of Contents</w:t>
              </w:r>
            </w:hyperlink>
          </w:p>
        </w:tc>
        <w:tc>
          <w:tcPr>
            <w:tcW w:w="43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Pr>
          <w:p>
            <w:pPr>
              <w:ind w:left="29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5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6"/>
              </w:rPr>
              <w:t>Exhibit</w:t>
            </w:r>
          </w:p>
        </w:tc>
        <w:tc>
          <w:tcPr>
            <w:tcW w:w="4380" w:type="dxa"/>
            <w:vAlign w:val="bottom"/>
          </w:tcPr>
          <w:p>
            <w:pPr>
              <w:spacing w:after="0"/>
              <w:rPr>
                <w:sz w:val="24"/>
                <w:szCs w:val="24"/>
                <w:color w:val="auto"/>
              </w:rPr>
            </w:pPr>
          </w:p>
        </w:tc>
      </w:tr>
      <w:tr>
        <w:trPr>
          <w:trHeight w:val="234"/>
        </w:trPr>
        <w:tc>
          <w:tcPr>
            <w:tcW w:w="15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4"/>
              </w:rPr>
              <w:t>Number</w:t>
            </w:r>
          </w:p>
        </w:tc>
        <w:tc>
          <w:tcPr>
            <w:tcW w:w="4380" w:type="dxa"/>
            <w:vAlign w:val="bottom"/>
          </w:tcPr>
          <w:p>
            <w:pPr>
              <w:ind w:left="180"/>
              <w:spacing w:after="0"/>
              <w:rPr>
                <w:sz w:val="20"/>
                <w:szCs w:val="20"/>
                <w:color w:val="auto"/>
              </w:rPr>
            </w:pPr>
            <w:r>
              <w:rPr>
                <w:rFonts w:ascii="Arial" w:cs="Arial" w:eastAsia="Arial" w:hAnsi="Arial"/>
                <w:sz w:val="18"/>
                <w:szCs w:val="18"/>
                <w:b w:val="1"/>
                <w:bCs w:val="1"/>
                <w:color w:val="auto"/>
              </w:rPr>
              <w:t>Exhibit Title</w:t>
            </w:r>
          </w:p>
        </w:tc>
      </w:tr>
    </w:tbl>
    <w:p>
      <w:pPr>
        <w:ind w:left="1700" w:right="319" w:hanging="922"/>
        <w:spacing w:after="0" w:line="276" w:lineRule="auto"/>
        <w:tabs>
          <w:tab w:leader="none" w:pos="1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CEO pursuant to Rules 13a-14(a) and 15d-14(a)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-301625</wp:posOffset>
            </wp:positionV>
            <wp:extent cx="61747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51"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8540" w:type="dxa"/>
            <w:vAlign w:val="bottom"/>
          </w:tcPr>
          <w:p>
            <w:pPr>
              <w:ind w:left="220"/>
              <w:spacing w:after="0"/>
              <w:rPr>
                <w:sz w:val="20"/>
                <w:szCs w:val="20"/>
                <w:color w:val="auto"/>
              </w:rPr>
            </w:pPr>
            <w:r>
              <w:rPr>
                <w:rFonts w:ascii="Arial" w:cs="Arial" w:eastAsia="Arial" w:hAnsi="Arial"/>
                <w:sz w:val="18"/>
                <w:szCs w:val="18"/>
                <w:color w:val="auto"/>
                <w:w w:val="91"/>
              </w:rPr>
              <w:t>Certification of CFO pursuant to Rules 13a-14(a) and 15d-14(a) adopted pursuant to Section 302 of the Sarbanes-</w:t>
            </w:r>
          </w:p>
        </w:tc>
      </w:tr>
      <w:tr>
        <w:trPr>
          <w:trHeight w:val="230"/>
        </w:trPr>
        <w:tc>
          <w:tcPr>
            <w:tcW w:w="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Oxley Act of 2002.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8540" w:type="dxa"/>
            <w:vAlign w:val="bottom"/>
          </w:tcPr>
          <w:p>
            <w:pPr>
              <w:ind w:left="220"/>
              <w:spacing w:after="0"/>
              <w:rPr>
                <w:sz w:val="20"/>
                <w:szCs w:val="20"/>
                <w:color w:val="auto"/>
              </w:rPr>
            </w:pPr>
            <w:r>
              <w:rPr>
                <w:rFonts w:ascii="Arial" w:cs="Arial" w:eastAsia="Arial" w:hAnsi="Arial"/>
                <w:sz w:val="18"/>
                <w:szCs w:val="18"/>
                <w:color w:val="auto"/>
                <w:w w:val="90"/>
              </w:rPr>
              <w:t>Certification of CEO pursuant to 18 U.S.C. Section 1350 as adopted pursuant to Section 906 of the Sarbanes-Oxley</w:t>
            </w:r>
          </w:p>
        </w:tc>
      </w:tr>
      <w:tr>
        <w:trPr>
          <w:trHeight w:val="230"/>
        </w:trPr>
        <w:tc>
          <w:tcPr>
            <w:tcW w:w="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Act of 2002.</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8540" w:type="dxa"/>
            <w:vAlign w:val="bottom"/>
          </w:tcPr>
          <w:p>
            <w:pPr>
              <w:ind w:left="220"/>
              <w:spacing w:after="0"/>
              <w:rPr>
                <w:sz w:val="20"/>
                <w:szCs w:val="20"/>
                <w:color w:val="auto"/>
              </w:rPr>
            </w:pPr>
            <w:r>
              <w:rPr>
                <w:rFonts w:ascii="Arial" w:cs="Arial" w:eastAsia="Arial" w:hAnsi="Arial"/>
                <w:sz w:val="18"/>
                <w:szCs w:val="18"/>
                <w:color w:val="auto"/>
                <w:w w:val="90"/>
              </w:rPr>
              <w:t>Certification of CFO pursuant to 18 U.S.C. Section 1350 as adopted pursuant to Section 906 of the Sarbanes-Oxley</w:t>
            </w:r>
          </w:p>
        </w:tc>
      </w:tr>
      <w:tr>
        <w:trPr>
          <w:trHeight w:val="230"/>
        </w:trPr>
        <w:tc>
          <w:tcPr>
            <w:tcW w:w="700" w:type="dxa"/>
            <w:vAlign w:val="bottom"/>
          </w:tcPr>
          <w:p>
            <w:pPr>
              <w:spacing w:after="0"/>
              <w:rPr>
                <w:sz w:val="20"/>
                <w:szCs w:val="20"/>
                <w:color w:val="auto"/>
              </w:rPr>
            </w:pPr>
          </w:p>
        </w:tc>
        <w:tc>
          <w:tcPr>
            <w:tcW w:w="8540" w:type="dxa"/>
            <w:vAlign w:val="bottom"/>
          </w:tcPr>
          <w:p>
            <w:pPr>
              <w:ind w:left="220"/>
              <w:spacing w:after="0"/>
              <w:rPr>
                <w:sz w:val="20"/>
                <w:szCs w:val="20"/>
                <w:color w:val="auto"/>
              </w:rPr>
            </w:pPr>
            <w:r>
              <w:rPr>
                <w:rFonts w:ascii="Arial" w:cs="Arial" w:eastAsia="Arial" w:hAnsi="Arial"/>
                <w:sz w:val="18"/>
                <w:szCs w:val="18"/>
                <w:color w:val="auto"/>
              </w:rPr>
              <w:t>Act of 2002.</w:t>
            </w:r>
          </w:p>
        </w:tc>
      </w:tr>
    </w:tbl>
    <w:p>
      <w:pPr>
        <w:spacing w:after="0" w:line="202" w:lineRule="exact"/>
        <w:rPr>
          <w:sz w:val="20"/>
          <w:szCs w:val="20"/>
          <w:color w:val="auto"/>
        </w:rPr>
      </w:pPr>
    </w:p>
    <w:p>
      <w:pPr>
        <w:ind w:left="820"/>
        <w:spacing w:after="0"/>
        <w:tabs>
          <w:tab w:leader="none" w:pos="16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The following materials from Rush Enterprises, Inc.’s Quarterly Report on Form 10-Q for the quarter ended</w:t>
      </w:r>
    </w:p>
    <w:p>
      <w:pPr>
        <w:spacing w:after="0" w:line="3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June 30, 2011, formatted in XBRL (eXtensible Business Reporting Language): (i) Consolidated Balance Sheets as</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of June 30, 2011 and December 31, 2010; (ii) Consolidated Statements of Income for the three and six months</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ended June 30, 2011 and 2010; (iii) Consolidated Statements of Cash Flows for the six months ended June 30, 2011</w:t>
      </w:r>
    </w:p>
    <w:p>
      <w:pPr>
        <w:spacing w:after="0" w:line="3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and 2010; and (iv) Notes to Consolidated Financial Statements (tagged as blocks of text).</w:t>
      </w:r>
    </w:p>
    <w:p>
      <w:pPr>
        <w:spacing w:after="0" w:line="116" w:lineRule="exact"/>
        <w:rPr>
          <w:sz w:val="20"/>
          <w:szCs w:val="20"/>
          <w:color w:val="auto"/>
        </w:rPr>
      </w:pPr>
    </w:p>
    <w:p>
      <w:pPr>
        <w:ind w:left="720" w:hanging="388"/>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720" w:hanging="388"/>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6" w:lineRule="exact"/>
        <w:rPr>
          <w:rFonts w:ascii="Arial" w:cs="Arial" w:eastAsia="Arial" w:hAnsi="Arial"/>
          <w:sz w:val="18"/>
          <w:szCs w:val="18"/>
          <w:color w:val="auto"/>
        </w:rPr>
      </w:pPr>
    </w:p>
    <w:p>
      <w:pPr>
        <w:jc w:val="both"/>
        <w:ind w:left="720" w:right="159" w:hanging="388"/>
        <w:spacing w:after="0" w:line="259"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05" w:right="1440" w:bottom="1440" w:gutter="0" w:footer="0" w:header="0"/>
        </w:sectPr>
      </w:pPr>
    </w:p>
    <w:bookmarkStart w:id="34" w:name="page35"/>
    <w:bookmarkEnd w:id="34"/>
    <w:p>
      <w:pPr>
        <w:jc w:val="right"/>
        <w:ind w:right="159"/>
        <w:spacing w:after="0"/>
        <w:rPr>
          <w:sz w:val="20"/>
          <w:szCs w:val="20"/>
          <w:color w:val="auto"/>
        </w:rPr>
      </w:pPr>
      <w:r>
        <w:rPr>
          <w:rFonts w:ascii="Arial" w:cs="Arial" w:eastAsia="Arial" w:hAnsi="Arial"/>
          <w:sz w:val="18"/>
          <w:szCs w:val="18"/>
          <w:u w:val="single" w:color="auto"/>
          <w:color w:val="auto"/>
        </w:rPr>
        <w:t>EXHIBIT 31.1</w:t>
      </w:r>
    </w:p>
    <w:p>
      <w:pPr>
        <w:spacing w:after="0" w:line="18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W.M. “Rusty” Rush, certify that:</w:t>
      </w:r>
    </w:p>
    <w:p>
      <w:pPr>
        <w:spacing w:after="0" w:line="185" w:lineRule="exact"/>
        <w:rPr>
          <w:sz w:val="20"/>
          <w:szCs w:val="20"/>
          <w:color w:val="auto"/>
        </w:rPr>
      </w:pPr>
    </w:p>
    <w:p>
      <w:pPr>
        <w:ind w:left="188" w:hanging="188"/>
        <w:spacing w:after="0"/>
        <w:tabs>
          <w:tab w:leader="none" w:pos="188"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84"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179" w:firstLine="381"/>
        <w:spacing w:after="0" w:line="286" w:lineRule="auto"/>
        <w:tabs>
          <w:tab w:leader="none" w:pos="657"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left="8" w:right="159" w:firstLine="381"/>
        <w:spacing w:after="0" w:line="264"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47"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8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8"/>
          <w:szCs w:val="18"/>
          <w:color w:val="auto"/>
        </w:rPr>
      </w:pPr>
    </w:p>
    <w:p>
      <w:pPr>
        <w:jc w:val="both"/>
        <w:ind w:left="8" w:right="159" w:hanging="8"/>
        <w:spacing w:after="0" w:line="264" w:lineRule="auto"/>
        <w:tabs>
          <w:tab w:leader="none" w:pos="19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179" w:firstLine="381"/>
        <w:spacing w:after="0" w:line="264" w:lineRule="auto"/>
        <w:tabs>
          <w:tab w:leader="none" w:pos="6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159" w:firstLine="381"/>
        <w:spacing w:after="0" w:line="277" w:lineRule="auto"/>
        <w:tabs>
          <w:tab w:leader="none" w:pos="6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Date: August 9, 2011</w:t>
            </w:r>
          </w:p>
        </w:tc>
        <w:tc>
          <w:tcPr>
            <w:tcW w:w="5280" w:type="dxa"/>
            <w:vAlign w:val="bottom"/>
            <w:gridSpan w:val="2"/>
          </w:tcPr>
          <w:p>
            <w:pPr>
              <w:ind w:left="1500"/>
              <w:spacing w:after="0"/>
              <w:rPr>
                <w:sz w:val="20"/>
                <w:szCs w:val="20"/>
                <w:color w:val="auto"/>
              </w:rPr>
            </w:pPr>
            <w:r>
              <w:rPr>
                <w:rFonts w:ascii="Arial" w:cs="Arial" w:eastAsia="Arial" w:hAnsi="Arial"/>
                <w:sz w:val="18"/>
                <w:szCs w:val="18"/>
                <w:color w:val="auto"/>
              </w:rPr>
              <w:t>By: /S/ W.M. “RUSTY” RUSH</w:t>
            </w:r>
          </w:p>
        </w:tc>
      </w:tr>
      <w:tr>
        <w:trPr>
          <w:trHeight w:val="195"/>
        </w:trPr>
        <w:tc>
          <w:tcPr>
            <w:tcW w:w="3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3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87"/>
          </w:cols>
          <w:pgMar w:left="572" w:top="125" w:right="1440" w:bottom="1440" w:gutter="0" w:footer="0" w:header="0"/>
        </w:sectPr>
      </w:pPr>
    </w:p>
    <w:bookmarkStart w:id="35" w:name="page36"/>
    <w:bookmarkEnd w:id="35"/>
    <w:p>
      <w:pPr>
        <w:jc w:val="right"/>
        <w:ind w:right="159"/>
        <w:spacing w:after="0"/>
        <w:rPr>
          <w:sz w:val="20"/>
          <w:szCs w:val="20"/>
          <w:color w:val="auto"/>
        </w:rPr>
      </w:pPr>
      <w:r>
        <w:rPr>
          <w:rFonts w:ascii="Arial" w:cs="Arial" w:eastAsia="Arial" w:hAnsi="Arial"/>
          <w:sz w:val="18"/>
          <w:szCs w:val="18"/>
          <w:u w:val="single" w:color="auto"/>
          <w:color w:val="auto"/>
        </w:rPr>
        <w:t>EXHIBIT 31.2</w:t>
      </w:r>
    </w:p>
    <w:p>
      <w:pPr>
        <w:spacing w:after="0" w:line="194"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Steven L. Keller, certify that:</w:t>
      </w:r>
    </w:p>
    <w:p>
      <w:pPr>
        <w:spacing w:after="0" w:line="185" w:lineRule="exact"/>
        <w:rPr>
          <w:sz w:val="20"/>
          <w:szCs w:val="20"/>
          <w:color w:val="auto"/>
        </w:rPr>
      </w:pPr>
    </w:p>
    <w:p>
      <w:pPr>
        <w:ind w:left="188" w:hanging="188"/>
        <w:spacing w:after="0"/>
        <w:tabs>
          <w:tab w:leader="none" w:pos="1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98" w:lineRule="exact"/>
        <w:rPr>
          <w:rFonts w:ascii="Arial" w:cs="Arial" w:eastAsia="Arial" w:hAnsi="Arial"/>
          <w:sz w:val="18"/>
          <w:szCs w:val="18"/>
          <w:color w:val="auto"/>
        </w:rPr>
      </w:pPr>
    </w:p>
    <w:p>
      <w:pPr>
        <w:jc w:val="both"/>
        <w:ind w:left="8" w:right="159" w:hanging="8"/>
        <w:spacing w:after="0" w:line="264" w:lineRule="auto"/>
        <w:tabs>
          <w:tab w:leader="none" w:pos="2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8" w:right="179" w:firstLine="381"/>
        <w:spacing w:after="0" w:line="286" w:lineRule="auto"/>
        <w:tabs>
          <w:tab w:leader="none" w:pos="657"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jc w:val="both"/>
        <w:ind w:left="8" w:right="159" w:firstLine="381"/>
        <w:spacing w:after="0" w:line="264" w:lineRule="auto"/>
        <w:tabs>
          <w:tab w:leader="none" w:pos="6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 w:right="159" w:firstLine="381"/>
        <w:spacing w:after="0" w:line="264" w:lineRule="auto"/>
        <w:tabs>
          <w:tab w:leader="none" w:pos="647"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8" w:right="159" w:firstLine="381"/>
        <w:spacing w:after="0" w:line="264" w:lineRule="auto"/>
        <w:tabs>
          <w:tab w:leader="none" w:pos="68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jc w:val="both"/>
        <w:ind w:left="8" w:right="159" w:hanging="8"/>
        <w:spacing w:after="0" w:line="264" w:lineRule="auto"/>
        <w:tabs>
          <w:tab w:leader="none" w:pos="1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179" w:firstLine="381"/>
        <w:spacing w:after="0" w:line="264" w:lineRule="auto"/>
        <w:tabs>
          <w:tab w:leader="none" w:pos="6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8" w:right="159" w:firstLine="381"/>
        <w:spacing w:after="0" w:line="277" w:lineRule="auto"/>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Date: August 9, 2011</w:t>
            </w:r>
          </w:p>
        </w:tc>
        <w:tc>
          <w:tcPr>
            <w:tcW w:w="5400" w:type="dxa"/>
            <w:vAlign w:val="bottom"/>
            <w:gridSpan w:val="3"/>
          </w:tcPr>
          <w:p>
            <w:pPr>
              <w:ind w:left="1440"/>
              <w:spacing w:after="0"/>
              <w:rPr>
                <w:sz w:val="20"/>
                <w:szCs w:val="20"/>
                <w:color w:val="auto"/>
              </w:rPr>
            </w:pPr>
            <w:r>
              <w:rPr>
                <w:rFonts w:ascii="Arial" w:cs="Arial" w:eastAsia="Arial" w:hAnsi="Arial"/>
                <w:sz w:val="18"/>
                <w:szCs w:val="18"/>
                <w:color w:val="auto"/>
              </w:rPr>
              <w:t>By: /S/ STEVEN L. KELLER</w:t>
            </w:r>
          </w:p>
        </w:tc>
      </w:tr>
      <w:tr>
        <w:trPr>
          <w:trHeight w:val="195"/>
        </w:trPr>
        <w:tc>
          <w:tcPr>
            <w:tcW w:w="29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2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29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9887"/>
          </w:cols>
          <w:pgMar w:left="572" w:top="517" w:right="1440" w:bottom="1440" w:gutter="0" w:footer="0" w:header="0"/>
        </w:sectPr>
      </w:pPr>
    </w:p>
    <w:bookmarkStart w:id="36" w:name="page37"/>
    <w:bookmarkEnd w:id="36"/>
    <w:p>
      <w:pPr>
        <w:jc w:val="right"/>
        <w:ind w:right="159"/>
        <w:spacing w:after="0"/>
        <w:rPr>
          <w:sz w:val="20"/>
          <w:szCs w:val="20"/>
          <w:color w:val="auto"/>
        </w:rPr>
      </w:pPr>
      <w:r>
        <w:rPr>
          <w:rFonts w:ascii="Arial" w:cs="Arial" w:eastAsia="Arial" w:hAnsi="Arial"/>
          <w:sz w:val="18"/>
          <w:szCs w:val="18"/>
          <w:u w:val="single" w:color="auto"/>
          <w:color w:val="auto"/>
        </w:rPr>
        <w:t>EXHIBIT 32.1</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15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2011,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740" w:hanging="370"/>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9"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/S/ W.M. “RUSTY” RUSH</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-130810</wp:posOffset>
            </wp:positionV>
            <wp:extent cx="24955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4480"/>
        <w:spacing w:after="0"/>
        <w:tabs>
          <w:tab w:leader="none" w:pos="504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4480"/>
        <w:spacing w:after="0"/>
        <w:tabs>
          <w:tab w:leader="none" w:pos="5040" w:val="left"/>
        </w:tabs>
        <w:rPr>
          <w:sz w:val="20"/>
          <w:szCs w:val="20"/>
          <w:color w:val="auto"/>
        </w:rPr>
      </w:pPr>
      <w:r>
        <w:rPr>
          <w:rFonts w:ascii="Arial" w:cs="Arial" w:eastAsia="Arial" w:hAnsi="Arial"/>
          <w:sz w:val="18"/>
          <w:szCs w:val="18"/>
          <w:color w:val="auto"/>
        </w:rPr>
        <w:t>Date:</w:t>
        <w:tab/>
        <w:t>August 9, 2011</w:t>
      </w:r>
    </w:p>
    <w:p>
      <w:pPr>
        <w:spacing w:after="0" w:line="184"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517" w:right="1440" w:bottom="1440" w:gutter="0" w:footer="0" w:header="0"/>
        </w:sectPr>
      </w:pPr>
    </w:p>
    <w:bookmarkStart w:id="37" w:name="page38"/>
    <w:bookmarkEnd w:id="37"/>
    <w:p>
      <w:pPr>
        <w:jc w:val="right"/>
        <w:ind w:right="159"/>
        <w:spacing w:after="0"/>
        <w:rPr>
          <w:sz w:val="20"/>
          <w:szCs w:val="20"/>
          <w:color w:val="auto"/>
        </w:rPr>
      </w:pPr>
      <w:r>
        <w:rPr>
          <w:rFonts w:ascii="Arial" w:cs="Arial" w:eastAsia="Arial" w:hAnsi="Arial"/>
          <w:sz w:val="18"/>
          <w:szCs w:val="18"/>
          <w:u w:val="single" w:color="auto"/>
          <w:color w:val="auto"/>
        </w:rPr>
        <w:t>EXHIBIT 32.2</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17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2011,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Steven L. Keller, Vice President and Chief Financial Officer of the Company, certify, pursuant to 18 U.S.C. Section 1350, as adopted pursuant to Section 906 of the Sarbanes-Oxley Act of 2002, that:</w:t>
      </w:r>
    </w:p>
    <w:p>
      <w:pPr>
        <w:spacing w:after="0" w:line="146" w:lineRule="exact"/>
        <w:rPr>
          <w:sz w:val="20"/>
          <w:szCs w:val="20"/>
          <w:color w:val="auto"/>
        </w:rPr>
      </w:pPr>
    </w:p>
    <w:p>
      <w:pPr>
        <w:ind w:left="740" w:hanging="370"/>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9" w:lineRule="exact"/>
        <w:rPr>
          <w:rFonts w:ascii="Arial" w:cs="Arial" w:eastAsia="Arial" w:hAnsi="Arial"/>
          <w:sz w:val="17"/>
          <w:szCs w:val="17"/>
          <w:color w:val="auto"/>
        </w:rPr>
      </w:pPr>
    </w:p>
    <w:p>
      <w:pPr>
        <w:ind w:left="740" w:right="159" w:hanging="370"/>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By: /S/ STEVEN L. KELLER</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2679065</wp:posOffset>
            </wp:positionH>
            <wp:positionV relativeFrom="paragraph">
              <wp:posOffset>-130810</wp:posOffset>
            </wp:positionV>
            <wp:extent cx="27101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line="9" w:lineRule="exact"/>
        <w:rPr>
          <w:sz w:val="20"/>
          <w:szCs w:val="20"/>
          <w:color w:val="auto"/>
        </w:rPr>
      </w:pPr>
    </w:p>
    <w:p>
      <w:pPr>
        <w:ind w:left="4220"/>
        <w:spacing w:after="0"/>
        <w:tabs>
          <w:tab w:leader="none" w:pos="4780" w:val="left"/>
        </w:tabs>
        <w:rPr>
          <w:sz w:val="20"/>
          <w:szCs w:val="20"/>
          <w:color w:val="auto"/>
        </w:rPr>
      </w:pPr>
      <w:r>
        <w:rPr>
          <w:rFonts w:ascii="Arial" w:cs="Arial" w:eastAsia="Arial" w:hAnsi="Arial"/>
          <w:sz w:val="18"/>
          <w:szCs w:val="18"/>
          <w:color w:val="auto"/>
        </w:rPr>
        <w:t>Date:</w:t>
        <w:tab/>
        <w:t>August 9, 2011</w:t>
      </w:r>
    </w:p>
    <w:p>
      <w:pPr>
        <w:spacing w:after="0" w:line="170"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2019-12-10T15:20:38Z</dcterms:created>
  <dcterms:modified xsi:type="dcterms:W3CDTF">2019-12-10T15:20:38Z</dcterms:modified>
</cp:coreProperties>
</file>