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10-Q</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(Mark One)</w:t>
      </w:r>
    </w:p>
    <w:p>
      <w:pPr>
        <w:spacing w:after="0" w:line="212" w:lineRule="exact"/>
        <w:rPr>
          <w:sz w:val="20"/>
          <w:szCs w:val="20"/>
          <w:color w:val="auto"/>
        </w:rPr>
      </w:pPr>
    </w:p>
    <w:p>
      <w:pPr>
        <w:ind w:left="1460" w:right="1759" w:hanging="890"/>
        <w:spacing w:after="0" w:line="256"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1"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2010</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31"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0-20797</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RUSH ENTERPRISES,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846" w:gutter="0" w:footer="0" w:header="0"/>
        </w:sectPr>
      </w:pPr>
    </w:p>
    <w:p>
      <w:pPr>
        <w:spacing w:after="0" w:line="209"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Texas</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1459"/>
        <w:spacing w:after="0"/>
        <w:rPr>
          <w:sz w:val="20"/>
          <w:szCs w:val="20"/>
          <w:color w:val="auto"/>
        </w:rPr>
      </w:pPr>
      <w:r>
        <w:rPr>
          <w:rFonts w:ascii="Arial" w:cs="Arial" w:eastAsia="Arial" w:hAnsi="Arial"/>
          <w:sz w:val="18"/>
          <w:szCs w:val="18"/>
          <w:color w:val="auto"/>
        </w:rPr>
        <w:t>74-1733016</w:t>
      </w:r>
    </w:p>
    <w:p>
      <w:pPr>
        <w:spacing w:after="0" w:line="23" w:lineRule="exact"/>
        <w:rPr>
          <w:sz w:val="20"/>
          <w:szCs w:val="20"/>
          <w:color w:val="auto"/>
        </w:rPr>
      </w:pPr>
    </w:p>
    <w:p>
      <w:pPr>
        <w:jc w:val="center"/>
        <w:ind w:right="1459"/>
        <w:spacing w:after="0"/>
        <w:rPr>
          <w:sz w:val="20"/>
          <w:szCs w:val="20"/>
          <w:color w:val="auto"/>
        </w:rPr>
      </w:pPr>
      <w:r>
        <w:rPr>
          <w:rFonts w:ascii="Arial" w:cs="Arial" w:eastAsia="Arial" w:hAnsi="Arial"/>
          <w:sz w:val="17"/>
          <w:szCs w:val="17"/>
          <w:color w:val="auto"/>
        </w:rPr>
        <w:t>(I.R.S. Employer Identification No.)</w:t>
      </w:r>
    </w:p>
    <w:p>
      <w:pPr>
        <w:spacing w:after="0" w:line="397" w:lineRule="exact"/>
        <w:rPr>
          <w:sz w:val="20"/>
          <w:szCs w:val="20"/>
          <w:color w:val="auto"/>
        </w:rPr>
      </w:pPr>
    </w:p>
    <w:p>
      <w:pPr>
        <w:sectPr>
          <w:pgSz w:w="11900" w:h="16838" w:orient="portrait"/>
          <w:cols w:equalWidth="0" w:num="2">
            <w:col w:w="5420" w:space="720"/>
            <w:col w:w="4079"/>
          </w:cols>
          <w:pgMar w:left="240" w:top="122" w:right="1440" w:bottom="846" w:gutter="0" w:footer="0" w:header="0"/>
          <w:type w:val="continuous"/>
        </w:sectPr>
      </w:pPr>
    </w:p>
    <w:p>
      <w:pPr>
        <w:jc w:val="center"/>
        <w:ind w:right="219"/>
        <w:spacing w:after="0"/>
        <w:rPr>
          <w:sz w:val="20"/>
          <w:szCs w:val="20"/>
          <w:color w:val="auto"/>
        </w:rPr>
      </w:pPr>
      <w:r>
        <w:rPr>
          <w:rFonts w:ascii="Arial" w:cs="Arial" w:eastAsia="Arial" w:hAnsi="Arial"/>
          <w:sz w:val="18"/>
          <w:szCs w:val="18"/>
          <w:color w:val="auto"/>
        </w:rPr>
        <w:t>555 I.H. 35 South, Suite 500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New Braunfels, Texas 78130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(Zip Code)</w:t>
      </w:r>
    </w:p>
    <w:p>
      <w:pPr>
        <w:spacing w:after="0" w:line="17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(830) 626-5200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84"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219"/>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75"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Yes o No o</w:t>
      </w:r>
    </w:p>
    <w:p>
      <w:pPr>
        <w:spacing w:after="0" w:line="17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2" w:right="1440" w:bottom="846" w:gutter="0" w:footer="0" w:header="0"/>
          <w:type w:val="continuous"/>
        </w:sectPr>
      </w:pPr>
    </w:p>
    <w:p>
      <w:pPr>
        <w:spacing w:after="0" w:line="11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0"/>
          <w:szCs w:val="20"/>
          <w:color w:val="auto"/>
        </w:rPr>
      </w:pPr>
    </w:p>
    <w:p>
      <w:pPr>
        <w:sectPr>
          <w:pgSz w:w="11900" w:h="16838" w:orient="portrait"/>
          <w:cols w:equalWidth="0" w:num="4">
            <w:col w:w="2120" w:space="160"/>
            <w:col w:w="1400" w:space="200"/>
            <w:col w:w="3360" w:space="240"/>
            <w:col w:w="2739"/>
          </w:cols>
          <w:pgMar w:left="240" w:top="122" w:right="1440" w:bottom="846" w:gutter="0" w:footer="0" w:header="0"/>
          <w:type w:val="continuous"/>
        </w:sectPr>
      </w:pPr>
    </w:p>
    <w:p>
      <w:pPr>
        <w:spacing w:after="0" w:line="47" w:lineRule="exact"/>
        <w:rPr>
          <w:sz w:val="20"/>
          <w:szCs w:val="20"/>
          <w:color w:val="auto"/>
        </w:rPr>
      </w:pPr>
    </w:p>
    <w:p>
      <w:pPr>
        <w:ind w:left="4560" w:right="1339" w:hanging="38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Indicated below is the number of shares outstanding of each of the issuer’s classes of common stock, as of August 4, 2010.</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Number of</w:t>
            </w:r>
          </w:p>
        </w:tc>
      </w:tr>
      <w:tr>
        <w:trPr>
          <w:trHeight w:val="216"/>
        </w:trPr>
        <w:tc>
          <w:tcPr>
            <w:tcW w:w="8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Title of Class</w:t>
            </w:r>
          </w:p>
        </w:tc>
        <w:tc>
          <w:tcPr>
            <w:tcW w:w="300" w:type="dxa"/>
            <w:vAlign w:val="bottom"/>
          </w:tcPr>
          <w:p>
            <w:pPr>
              <w:spacing w:after="0"/>
              <w:rPr>
                <w:sz w:val="20"/>
                <w:szCs w:val="20"/>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Outstanding</w:t>
            </w:r>
          </w:p>
        </w:tc>
      </w:tr>
      <w:tr>
        <w:trPr>
          <w:trHeight w:val="195"/>
        </w:trPr>
        <w:tc>
          <w:tcPr>
            <w:tcW w:w="8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Class A Common Stock, $.01 Par Value</w:t>
            </w:r>
          </w:p>
        </w:tc>
        <w:tc>
          <w:tcPr>
            <w:tcW w:w="300" w:type="dxa"/>
            <w:vAlign w:val="bottom"/>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26,657,377</w:t>
            </w:r>
          </w:p>
        </w:tc>
        <w:tc>
          <w:tcPr>
            <w:tcW w:w="80" w:type="dxa"/>
            <w:vAlign w:val="bottom"/>
          </w:tcPr>
          <w:p>
            <w:pPr>
              <w:spacing w:after="0"/>
              <w:rPr>
                <w:sz w:val="16"/>
                <w:szCs w:val="16"/>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Class B Common Stock, $.01 Par Value</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10,692,641</w:t>
            </w:r>
          </w:p>
        </w:tc>
      </w:tr>
      <w:tr>
        <w:trPr>
          <w:trHeight w:val="237"/>
        </w:trPr>
        <w:tc>
          <w:tcPr>
            <w:tcW w:w="80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84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0" w:type="dxa"/>
            <w:vAlign w:val="bottom"/>
            <w:gridSpan w:val="15"/>
          </w:tcPr>
          <w:p>
            <w:pPr>
              <w:jc w:val="center"/>
              <w:ind w:right="204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500" w:type="dxa"/>
            <w:vAlign w:val="bottom"/>
          </w:tcPr>
          <w:p>
            <w:pPr>
              <w:spacing w:after="0"/>
              <w:rPr>
                <w:sz w:val="20"/>
                <w:szCs w:val="20"/>
                <w:color w:val="auto"/>
              </w:rPr>
            </w:pPr>
          </w:p>
        </w:tc>
      </w:tr>
      <w:tr>
        <w:trPr>
          <w:trHeight w:val="405"/>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40" w:type="dxa"/>
            <w:vAlign w:val="bottom"/>
            <w:gridSpan w:val="8"/>
          </w:tcPr>
          <w:p>
            <w:pPr>
              <w:jc w:val="center"/>
              <w:ind w:right="3420"/>
              <w:spacing w:after="0"/>
              <w:rPr>
                <w:sz w:val="20"/>
                <w:szCs w:val="20"/>
                <w:color w:val="auto"/>
              </w:rPr>
            </w:pPr>
            <w:r>
              <w:rPr>
                <w:rFonts w:ascii="Arial" w:cs="Arial" w:eastAsia="Arial" w:hAnsi="Arial"/>
                <w:sz w:val="18"/>
                <w:szCs w:val="18"/>
                <w:b w:val="1"/>
                <w:bCs w:val="1"/>
                <w:color w:val="auto"/>
              </w:rPr>
              <w:t>INDEX</w:t>
            </w:r>
          </w:p>
        </w:tc>
        <w:tc>
          <w:tcPr>
            <w:tcW w:w="5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85"/>
        </w:trPr>
        <w:tc>
          <w:tcPr>
            <w:tcW w:w="8780" w:type="dxa"/>
            <w:vAlign w:val="bottom"/>
            <w:gridSpan w:val="23"/>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00" w:type="dxa"/>
            <w:vAlign w:val="bottom"/>
          </w:tcPr>
          <w:p>
            <w:pPr>
              <w:spacing w:after="0"/>
              <w:rPr>
                <w:sz w:val="24"/>
                <w:szCs w:val="24"/>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720" w:type="dxa"/>
            <w:vAlign w:val="bottom"/>
            <w:gridSpan w:val="11"/>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 June 30, 2010 (unaudited) and December 31, 2009</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Operations - For the Three Months and Six Months Ended</w:t>
              </w:r>
            </w:hyperlink>
          </w:p>
        </w:tc>
        <w:tc>
          <w:tcPr>
            <w:tcW w:w="1200" w:type="dxa"/>
            <w:vAlign w:val="bottom"/>
            <w:gridSpan w:val="3"/>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June 30, 2010 and 2009 (unaudited)</w:t>
              </w:r>
            </w:hyperlink>
          </w:p>
        </w:tc>
        <w:tc>
          <w:tcPr>
            <w:tcW w:w="484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41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 For the Six Months Ended June 30, 2010 and</w:t>
              </w:r>
            </w:hyperlink>
          </w:p>
        </w:tc>
        <w:tc>
          <w:tcPr>
            <w:tcW w:w="11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2009 (unaudited)</w:t>
              </w:r>
            </w:hyperlink>
          </w:p>
        </w:tc>
        <w:tc>
          <w:tcPr>
            <w:tcW w:w="620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412"/>
        </w:trPr>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 (unaudited)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w:t>
              </w:r>
            </w:hyperlink>
          </w:p>
        </w:tc>
        <w:tc>
          <w:tcPr>
            <w:tcW w:w="7440" w:type="dxa"/>
            <w:vAlign w:val="bottom"/>
            <w:gridSpan w:val="18"/>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74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4.</w:t>
              </w:r>
            </w:hyperlink>
          </w:p>
        </w:tc>
        <w:tc>
          <w:tcPr>
            <w:tcW w:w="744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8780" w:type="dxa"/>
            <w:vAlign w:val="bottom"/>
            <w:gridSpan w:val="23"/>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500" w:type="dxa"/>
            <w:vAlign w:val="bottom"/>
          </w:tcPr>
          <w:p>
            <w:pPr>
              <w:spacing w:after="0"/>
              <w:rPr>
                <w:sz w:val="24"/>
                <w:szCs w:val="24"/>
                <w:color w:val="auto"/>
              </w:rPr>
            </w:pPr>
          </w:p>
        </w:tc>
      </w:tr>
      <w:tr>
        <w:trPr>
          <w:trHeight w:val="412"/>
        </w:trPr>
        <w:tc>
          <w:tcPr>
            <w:tcW w:w="20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1.</w:t>
              </w:r>
            </w:hyperlink>
          </w:p>
        </w:tc>
        <w:tc>
          <w:tcPr>
            <w:tcW w:w="1420" w:type="dxa"/>
            <w:vAlign w:val="bottom"/>
            <w:tcBorders>
              <w:top w:val="single" w:sz="8" w:color="0000EE"/>
            </w:tcBorders>
            <w:gridSpan w:val="5"/>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Legal Proceedings</w:t>
              </w:r>
            </w:hyperlink>
          </w:p>
        </w:tc>
        <w:tc>
          <w:tcPr>
            <w:tcW w:w="602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Item 1A.</w:t>
              </w:r>
            </w:hyperlink>
          </w:p>
        </w:tc>
        <w:tc>
          <w:tcPr>
            <w:tcW w:w="500" w:type="dxa"/>
            <w:vAlign w:val="bottom"/>
            <w:gridSpan w:val="2"/>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w:t>
              </w:r>
            </w:hyperlink>
          </w:p>
        </w:tc>
        <w:tc>
          <w:tcPr>
            <w:tcW w:w="500" w:type="dxa"/>
            <w:vAlign w:val="bottom"/>
            <w:gridSpan w:val="2"/>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w:t>
              </w:r>
            </w:hyperlink>
          </w:p>
        </w:tc>
        <w:tc>
          <w:tcPr>
            <w:tcW w:w="74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Defaults Upon Senior Securities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12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5.</w:t>
              </w:r>
            </w:hyperlink>
          </w:p>
        </w:tc>
        <w:tc>
          <w:tcPr>
            <w:tcW w:w="744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00" w:type="dxa"/>
            <w:vAlign w:val="bottom"/>
          </w:tcPr>
          <w:p>
            <w:pPr>
              <w:spacing w:after="0"/>
              <w:rPr>
                <w:sz w:val="24"/>
                <w:szCs w:val="24"/>
                <w:color w:val="auto"/>
              </w:rPr>
            </w:pPr>
          </w:p>
        </w:tc>
        <w:tc>
          <w:tcPr>
            <w:tcW w:w="1140" w:type="dxa"/>
            <w:vAlign w:val="bottom"/>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6.</w:t>
              </w:r>
            </w:hyperlink>
          </w:p>
        </w:tc>
        <w:tc>
          <w:tcPr>
            <w:tcW w:w="7440" w:type="dxa"/>
            <w:vAlign w:val="bottom"/>
            <w:gridSpan w:val="18"/>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160" w:type="dxa"/>
            <w:vAlign w:val="bottom"/>
            <w:tcBorders>
              <w:bottom w:val="single" w:sz="8" w:color="0000EE"/>
            </w:tcBorders>
            <w:gridSpan w:val="4"/>
          </w:tcPr>
          <w:p>
            <w:pPr>
              <w:spacing w:after="0"/>
              <w:rPr>
                <w:rFonts w:ascii="Arial" w:cs="Arial" w:eastAsia="Arial" w:hAnsi="Arial"/>
                <w:sz w:val="18"/>
                <w:szCs w:val="18"/>
                <w:b w:val="1"/>
                <w:bCs w:val="1"/>
                <w:color w:val="0000EE"/>
                <w:w w:val="96"/>
              </w:rPr>
            </w:pPr>
            <w:hyperlink w:anchor="page31">
              <w:r>
                <w:rPr>
                  <w:rFonts w:ascii="Arial" w:cs="Arial" w:eastAsia="Arial" w:hAnsi="Arial"/>
                  <w:sz w:val="18"/>
                  <w:szCs w:val="18"/>
                  <w:b w:val="1"/>
                  <w:bCs w:val="1"/>
                  <w:color w:val="0000EE"/>
                  <w:w w:val="96"/>
                </w:rPr>
                <w:t>SIGNATURES</w:t>
              </w:r>
            </w:hyperlink>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w:t>
            </w:r>
          </w:p>
        </w:tc>
      </w:tr>
    </w:tbl>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EX-32.2</w:t>
      </w:r>
    </w:p>
    <w:p>
      <w:pPr>
        <w:spacing w:after="0" w:line="200" w:lineRule="exact"/>
        <w:rPr>
          <w:sz w:val="20"/>
          <w:szCs w:val="20"/>
          <w:color w:val="auto"/>
        </w:rPr>
      </w:pPr>
    </w:p>
    <w:p>
      <w:pPr>
        <w:spacing w:after="0" w:line="36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90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Arial" w:cs="Arial" w:eastAsia="Arial" w:hAnsi="Arial"/>
                <w:sz w:val="18"/>
                <w:szCs w:val="18"/>
                <w:b w:val="1"/>
                <w:bCs w:val="1"/>
                <w:color w:val="auto"/>
              </w:rPr>
              <w:t>PART I. FINANCIAL INFORMATION</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1"/>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26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12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BALANCE SHEETS</w:t>
            </w:r>
          </w:p>
        </w:tc>
        <w:tc>
          <w:tcPr>
            <w:tcW w:w="440" w:type="dxa"/>
            <w:vAlign w:val="bottom"/>
            <w:tcBorders>
              <w:top w:val="single" w:sz="8" w:color="auto"/>
            </w:tcBorders>
            <w:gridSpan w:val="2"/>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gridSpan w:val="5"/>
          </w:tcPr>
          <w:p>
            <w:pPr>
              <w:jc w:val="center"/>
              <w:ind w:right="600"/>
              <w:spacing w:after="0" w:line="196" w:lineRule="exact"/>
              <w:rPr>
                <w:sz w:val="20"/>
                <w:szCs w:val="20"/>
                <w:color w:val="auto"/>
              </w:rPr>
            </w:pPr>
            <w:r>
              <w:rPr>
                <w:rFonts w:ascii="Arial" w:cs="Arial" w:eastAsia="Arial" w:hAnsi="Arial"/>
                <w:sz w:val="18"/>
                <w:szCs w:val="18"/>
                <w:b w:val="1"/>
                <w:bCs w:val="1"/>
                <w:color w:val="auto"/>
                <w:w w:val="95"/>
              </w:rPr>
              <w:t>JUNE 30, 2010 AND DECEMBER 31, 2009</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7"/>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89"/>
              </w:rPr>
              <w:t>(In Thousands, Except Shares)</w:t>
            </w:r>
          </w:p>
        </w:tc>
        <w:tc>
          <w:tcPr>
            <w:tcW w:w="6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2010</w:t>
            </w: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135,779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149,095</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54,620</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38,869</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308,891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252,219</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Prepaid expenses and other</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3,109</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3,650</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Assets held for sale</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23,929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22,719</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9,195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11,414</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477,966</w:t>
            </w: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7,575</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7,575</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410,098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353,841</w:t>
            </w: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Goodwill, net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146,114</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136,761</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1,154</w:t>
            </w:r>
          </w:p>
        </w:tc>
      </w:tr>
      <w:tr>
        <w:trPr>
          <w:trHeight w:val="223"/>
        </w:trPr>
        <w:tc>
          <w:tcPr>
            <w:tcW w:w="340" w:type="dxa"/>
            <w:vAlign w:val="bottom"/>
          </w:tcPr>
          <w:p>
            <w:pPr>
              <w:spacing w:after="0"/>
              <w:rPr>
                <w:sz w:val="19"/>
                <w:szCs w:val="19"/>
                <w:color w:val="auto"/>
              </w:rPr>
            </w:pPr>
          </w:p>
        </w:tc>
        <w:tc>
          <w:tcPr>
            <w:tcW w:w="6920" w:type="dxa"/>
            <w:vAlign w:val="bottom"/>
            <w:gridSpan w:val="8"/>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1,102,533</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977,297</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Floor plan notes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238,590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189,256</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Current maturities of long-term debt</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63,457</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55,545</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Current maturities of capital lease obligations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6,456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5,730</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38,686</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22,427</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55,640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40,843</w:t>
            </w:r>
          </w:p>
        </w:tc>
      </w:tr>
      <w:tr>
        <w:trPr>
          <w:trHeight w:val="224"/>
        </w:trPr>
        <w:tc>
          <w:tcPr>
            <w:tcW w:w="340" w:type="dxa"/>
            <w:vAlign w:val="bottom"/>
          </w:tcPr>
          <w:p>
            <w:pPr>
              <w:spacing w:after="0"/>
              <w:rPr>
                <w:sz w:val="19"/>
                <w:szCs w:val="19"/>
                <w:color w:val="auto"/>
              </w:rPr>
            </w:pPr>
          </w:p>
        </w:tc>
        <w:tc>
          <w:tcPr>
            <w:tcW w:w="6920" w:type="dxa"/>
            <w:vAlign w:val="bottom"/>
            <w:gridSpan w:val="8"/>
          </w:tcPr>
          <w:p>
            <w:pPr>
              <w:ind w:left="4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402,829</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313,801</w:t>
            </w:r>
          </w:p>
        </w:tc>
        <w:tc>
          <w:tcPr>
            <w:tcW w:w="80" w:type="dxa"/>
            <w:vAlign w:val="bottom"/>
          </w:tcPr>
          <w:p>
            <w:pPr>
              <w:spacing w:after="0"/>
              <w:rPr>
                <w:sz w:val="19"/>
                <w:szCs w:val="19"/>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179,681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153,957</w:t>
            </w:r>
          </w:p>
        </w:tc>
      </w:tr>
      <w:tr>
        <w:trPr>
          <w:trHeight w:val="216"/>
        </w:trPr>
        <w:tc>
          <w:tcPr>
            <w:tcW w:w="340" w:type="dxa"/>
            <w:vAlign w:val="bottom"/>
          </w:tcPr>
          <w:p>
            <w:pPr>
              <w:spacing w:after="0"/>
              <w:rPr>
                <w:sz w:val="18"/>
                <w:szCs w:val="18"/>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Capital lease obligations, net of current maturities</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28,902</w:t>
            </w:r>
          </w:p>
        </w:tc>
        <w:tc>
          <w:tcPr>
            <w:tcW w:w="2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28,714</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52,951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54,600</w:t>
            </w:r>
          </w:p>
        </w:tc>
      </w:tr>
      <w:tr>
        <w:trPr>
          <w:trHeight w:val="432"/>
        </w:trPr>
        <w:tc>
          <w:tcPr>
            <w:tcW w:w="340" w:type="dxa"/>
            <w:vAlign w:val="bottom"/>
          </w:tcPr>
          <w:p>
            <w:pPr>
              <w:spacing w:after="0"/>
              <w:rPr>
                <w:sz w:val="24"/>
                <w:szCs w:val="24"/>
                <w:color w:val="auto"/>
              </w:rPr>
            </w:pPr>
          </w:p>
        </w:tc>
        <w:tc>
          <w:tcPr>
            <w:tcW w:w="6920" w:type="dxa"/>
            <w:vAlign w:val="bottom"/>
            <w:gridSpan w:val="8"/>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340" w:type="dxa"/>
            <w:vAlign w:val="bottom"/>
          </w:tcPr>
          <w:p>
            <w:pPr>
              <w:spacing w:after="0"/>
              <w:rPr>
                <w:sz w:val="17"/>
                <w:szCs w:val="17"/>
                <w:color w:val="auto"/>
              </w:rPr>
            </w:pPr>
          </w:p>
        </w:tc>
        <w:tc>
          <w:tcPr>
            <w:tcW w:w="6920" w:type="dxa"/>
            <w:vAlign w:val="bottom"/>
            <w:gridSpan w:val="8"/>
            <w:shd w:val="clear" w:color="auto" w:fill="CCEEFF"/>
          </w:tcPr>
          <w:p>
            <w:pPr>
              <w:ind w:left="200"/>
              <w:spacing w:after="0" w:line="201" w:lineRule="exact"/>
              <w:rPr>
                <w:sz w:val="20"/>
                <w:szCs w:val="20"/>
                <w:color w:val="auto"/>
              </w:rPr>
            </w:pPr>
            <w:r>
              <w:rPr>
                <w:rFonts w:ascii="Arial" w:cs="Arial" w:eastAsia="Arial" w:hAnsi="Arial"/>
                <w:sz w:val="18"/>
                <w:szCs w:val="18"/>
                <w:color w:val="auto"/>
              </w:rPr>
              <w:t>Preferred stock, par value $.01 per share; 1,000,000 shares authorized; 0 shares</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20" w:type="dxa"/>
            <w:vAlign w:val="bottom"/>
            <w:gridSpan w:val="8"/>
            <w:shd w:val="clear" w:color="auto" w:fill="CCEEFF"/>
          </w:tcPr>
          <w:p>
            <w:pPr>
              <w:ind w:left="400"/>
              <w:spacing w:after="0"/>
              <w:rPr>
                <w:sz w:val="20"/>
                <w:szCs w:val="20"/>
                <w:color w:val="auto"/>
              </w:rPr>
            </w:pPr>
            <w:r>
              <w:rPr>
                <w:rFonts w:ascii="Arial" w:cs="Arial" w:eastAsia="Arial" w:hAnsi="Arial"/>
                <w:sz w:val="18"/>
                <w:szCs w:val="18"/>
                <w:color w:val="auto"/>
              </w:rPr>
              <w:t>outstanding in 2010 and 2009</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920" w:type="dxa"/>
            <w:vAlign w:val="bottom"/>
            <w:gridSpan w:val="8"/>
          </w:tcPr>
          <w:p>
            <w:pPr>
              <w:ind w:left="200"/>
              <w:spacing w:after="0" w:line="201" w:lineRule="exact"/>
              <w:rPr>
                <w:sz w:val="20"/>
                <w:szCs w:val="20"/>
                <w:color w:val="auto"/>
              </w:rPr>
            </w:pPr>
            <w:r>
              <w:rPr>
                <w:rFonts w:ascii="Arial" w:cs="Arial" w:eastAsia="Arial" w:hAnsi="Arial"/>
                <w:sz w:val="18"/>
                <w:szCs w:val="18"/>
                <w:color w:val="auto"/>
                <w:w w:val="92"/>
              </w:rPr>
              <w:t>Common stock, par value $.01 per share; 60,000,000 class A shares and 20,000,000 class</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400"/>
              <w:spacing w:after="0"/>
              <w:rPr>
                <w:sz w:val="20"/>
                <w:szCs w:val="20"/>
                <w:color w:val="auto"/>
              </w:rPr>
            </w:pPr>
            <w:r>
              <w:rPr>
                <w:rFonts w:ascii="Arial" w:cs="Arial" w:eastAsia="Arial" w:hAnsi="Arial"/>
                <w:sz w:val="18"/>
                <w:szCs w:val="18"/>
                <w:color w:val="auto"/>
              </w:rPr>
              <w:t>B shares authorized; 26,624,753 class A shares and 10,692,641 class B shares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tcPr>
          <w:p>
            <w:pPr>
              <w:ind w:left="400"/>
              <w:spacing w:after="0"/>
              <w:rPr>
                <w:sz w:val="20"/>
                <w:szCs w:val="20"/>
                <w:color w:val="auto"/>
              </w:rPr>
            </w:pPr>
            <w:r>
              <w:rPr>
                <w:rFonts w:ascii="Arial" w:cs="Arial" w:eastAsia="Arial" w:hAnsi="Arial"/>
                <w:sz w:val="18"/>
                <w:szCs w:val="18"/>
                <w:color w:val="auto"/>
                <w:w w:val="97"/>
              </w:rPr>
              <w:t>outstanding in 2010; and 26,437,848 class A shares and 10,689,375 class B shares</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920" w:type="dxa"/>
            <w:vAlign w:val="bottom"/>
            <w:gridSpan w:val="8"/>
          </w:tcPr>
          <w:p>
            <w:pPr>
              <w:ind w:left="400"/>
              <w:spacing w:after="0"/>
              <w:rPr>
                <w:sz w:val="20"/>
                <w:szCs w:val="20"/>
                <w:color w:val="auto"/>
              </w:rPr>
            </w:pPr>
            <w:r>
              <w:rPr>
                <w:rFonts w:ascii="Arial" w:cs="Arial" w:eastAsia="Arial" w:hAnsi="Arial"/>
                <w:sz w:val="18"/>
                <w:szCs w:val="18"/>
                <w:color w:val="auto"/>
              </w:rPr>
              <w:t>outstanding in 2009</w:t>
            </w:r>
          </w:p>
        </w:tc>
        <w:tc>
          <w:tcPr>
            <w:tcW w:w="1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388</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192,135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188,116</w:t>
            </w:r>
          </w:p>
        </w:tc>
      </w:tr>
      <w:tr>
        <w:trPr>
          <w:trHeight w:val="216"/>
        </w:trPr>
        <w:tc>
          <w:tcPr>
            <w:tcW w:w="340" w:type="dxa"/>
            <w:vAlign w:val="bottom"/>
          </w:tcPr>
          <w:p>
            <w:pPr>
              <w:spacing w:after="0"/>
              <w:rPr>
                <w:sz w:val="18"/>
                <w:szCs w:val="18"/>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Treasury stock, at cost: 1,639,843 class B shares</w:t>
            </w: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(17,948)</w:t>
            </w:r>
          </w:p>
        </w:tc>
        <w:tc>
          <w:tcPr>
            <w:tcW w:w="22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(17,948)</w:t>
            </w: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263,594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255,669</w:t>
            </w:r>
          </w:p>
        </w:tc>
      </w:tr>
      <w:tr>
        <w:trPr>
          <w:trHeight w:val="230"/>
        </w:trPr>
        <w:tc>
          <w:tcPr>
            <w:tcW w:w="340" w:type="dxa"/>
            <w:vAlign w:val="bottom"/>
          </w:tcPr>
          <w:p>
            <w:pPr>
              <w:spacing w:after="0"/>
              <w:rPr>
                <w:sz w:val="20"/>
                <w:szCs w:val="20"/>
                <w:color w:val="auto"/>
              </w:rPr>
            </w:pPr>
          </w:p>
        </w:tc>
        <w:tc>
          <w:tcPr>
            <w:tcW w:w="6920" w:type="dxa"/>
            <w:vAlign w:val="bottom"/>
            <w:gridSpan w:val="8"/>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438,170</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426,225</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6920" w:type="dxa"/>
            <w:vAlign w:val="bottom"/>
            <w:gridSpan w:val="8"/>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1,102,533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977,297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280" w:type="dxa"/>
            <w:vAlign w:val="bottom"/>
            <w:gridSpan w:val="5"/>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gridSpan w:val="9"/>
          </w:tcPr>
          <w:p>
            <w:pPr>
              <w:jc w:val="center"/>
              <w:ind w:right="36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0" w:type="dxa"/>
            <w:vAlign w:val="bottom"/>
            <w:gridSpan w:val="7"/>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460" w:type="dxa"/>
            <w:vAlign w:val="bottom"/>
            <w:gridSpan w:val="10"/>
          </w:tcPr>
          <w:p>
            <w:pPr>
              <w:jc w:val="center"/>
              <w:ind w:right="260"/>
              <w:spacing w:after="0" w:line="196" w:lineRule="exact"/>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gridSpan w:val="8"/>
          </w:tcPr>
          <w:p>
            <w:pPr>
              <w:jc w:val="center"/>
              <w:ind w:right="100"/>
              <w:spacing w:after="0"/>
              <w:rPr>
                <w:sz w:val="20"/>
                <w:szCs w:val="20"/>
                <w:color w:val="auto"/>
              </w:rPr>
            </w:pPr>
            <w:r>
              <w:rPr>
                <w:rFonts w:ascii="Arial" w:cs="Arial" w:eastAsia="Arial" w:hAnsi="Arial"/>
                <w:sz w:val="18"/>
                <w:szCs w:val="18"/>
                <w:b w:val="1"/>
                <w:bCs w:val="1"/>
                <w:color w:val="auto"/>
                <w:w w:val="90"/>
              </w:rPr>
              <w:t>(In Thousands, Except Per Share Amounts)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6"/>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21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New and used truck sales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191,309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187,154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371,913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383,142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Parts and service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118,529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98,706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220,357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203,466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Construction equipment sales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Lease and rental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16,255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13,236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30,287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26,712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Finance and insurance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2,047</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2,230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3,532</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3,871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Total revenue</w:t>
            </w:r>
          </w:p>
        </w:tc>
        <w:tc>
          <w:tcPr>
            <w:tcW w:w="4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329,839</w:t>
            </w:r>
          </w:p>
        </w:tc>
        <w:tc>
          <w:tcPr>
            <w:tcW w:w="3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302,571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629,127</w:t>
            </w: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620,062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Cost of products sold</w:t>
            </w: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New and used truck sales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174,817</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179,846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341,163</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362,673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Parts and service</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72,222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60,565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134,851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124,547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Construction equipment sales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Lease and rental</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13,621</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25,871</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23,517</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40" w:type="dxa"/>
            <w:vAlign w:val="bottom"/>
            <w:gridSpan w:val="4"/>
          </w:tcPr>
          <w:p>
            <w:pPr>
              <w:ind w:left="400"/>
              <w:spacing w:after="0"/>
              <w:rPr>
                <w:sz w:val="20"/>
                <w:szCs w:val="20"/>
                <w:color w:val="auto"/>
              </w:rPr>
            </w:pPr>
            <w:r>
              <w:rPr>
                <w:rFonts w:ascii="Arial" w:cs="Arial" w:eastAsia="Arial" w:hAnsi="Arial"/>
                <w:sz w:val="18"/>
                <w:szCs w:val="18"/>
                <w:color w:val="auto"/>
              </w:rPr>
              <w:t>Total cost of products sold</w:t>
            </w:r>
          </w:p>
        </w:tc>
        <w:tc>
          <w:tcPr>
            <w:tcW w:w="4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260,660</w:t>
            </w:r>
          </w:p>
        </w:tc>
        <w:tc>
          <w:tcPr>
            <w:tcW w:w="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501,885</w:t>
            </w:r>
          </w:p>
        </w:tc>
        <w:tc>
          <w:tcPr>
            <w:tcW w:w="3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510,737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69,179</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127,242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109,325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55,148</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48,735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105,285</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98,917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3,676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4,680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7,223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Gain (loss) on sale of assets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Operating income (loss)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14,730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1,397</w:t>
            </w:r>
          </w:p>
        </w:tc>
        <w:tc>
          <w:tcPr>
            <w:tcW w:w="2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2,694</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394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Income (loss) from continuing operations before</w:t>
            </w:r>
          </w:p>
        </w:tc>
        <w:tc>
          <w:tcPr>
            <w:tcW w:w="4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940" w:type="dxa"/>
            <w:vAlign w:val="bottom"/>
            <w:gridSpan w:val="4"/>
            <w:shd w:val="clear" w:color="auto" w:fill="CCEEFF"/>
          </w:tcPr>
          <w:p>
            <w:pPr>
              <w:ind w:left="200"/>
              <w:spacing w:after="0"/>
              <w:rPr>
                <w:sz w:val="20"/>
                <w:szCs w:val="20"/>
                <w:color w:val="auto"/>
              </w:rPr>
            </w:pPr>
            <w:r>
              <w:rPr>
                <w:rFonts w:ascii="Arial" w:cs="Arial" w:eastAsia="Arial" w:hAnsi="Arial"/>
                <w:sz w:val="18"/>
                <w:szCs w:val="18"/>
                <w:b w:val="1"/>
                <w:bCs w:val="1"/>
                <w:color w:val="auto"/>
              </w:rPr>
              <w:t>taxes</w:t>
            </w: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8,965</w:t>
            </w: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12,036</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Provision (benefit) for income taxes</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3,549</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(2,545)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4,698</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Income (loss) from continuing operations</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Income from discontinued operations, net of tax</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587</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5,688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Earnings (loss) per common share — Basic:</w:t>
            </w: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94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 — Diluted:</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tcPr>
          <w:p>
            <w:pPr>
              <w:spacing w:after="0"/>
              <w:rPr>
                <w:sz w:val="20"/>
                <w:szCs w:val="20"/>
                <w:color w:val="auto"/>
              </w:rPr>
            </w:pPr>
            <w:r>
              <w:rPr>
                <w:rFonts w:ascii="Arial" w:cs="Arial" w:eastAsia="Arial" w:hAnsi="Arial"/>
                <w:sz w:val="18"/>
                <w:szCs w:val="18"/>
                <w:color w:val="auto"/>
              </w:rPr>
              <w:t>Income (loss) from continuing operations</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940" w:type="dxa"/>
            <w:vAlign w:val="bottom"/>
            <w:gridSpan w:val="4"/>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4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37,292</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37,039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37,232</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37,015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940" w:type="dxa"/>
            <w:vAlign w:val="bottom"/>
            <w:gridSpan w:val="4"/>
          </w:tcPr>
          <w:p>
            <w:pPr>
              <w:ind w:left="20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38,189</w:t>
            </w:r>
          </w:p>
        </w:tc>
        <w:tc>
          <w:tcPr>
            <w:tcW w:w="20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37,039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38,014</w:t>
            </w: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37,389</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340" w:type="dxa"/>
            <w:vAlign w:val="bottom"/>
            <w:gridSpan w:val="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8"/>
              </w:rPr>
              <w:t>RUSH ENTERPRISES, INC. AND SUBSIDIARIES</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b w:val="1"/>
                <w:bCs w:val="1"/>
                <w:color w:val="auto"/>
                <w:w w:val="99"/>
              </w:rPr>
              <w:t>CONSOLIDATED STATEMENTS OF CASH FLOWS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(In Thousands)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7,925</w:t>
            </w:r>
          </w:p>
        </w:tc>
        <w:tc>
          <w:tcPr>
            <w:tcW w:w="3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21,312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20,824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(Gain) on sale of property and equipment</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tcPr>
          <w:p>
            <w:pPr>
              <w:ind w:left="400"/>
              <w:spacing w:after="0" w:line="201" w:lineRule="exact"/>
              <w:rPr>
                <w:sz w:val="20"/>
                <w:szCs w:val="20"/>
                <w:color w:val="auto"/>
              </w:rPr>
            </w:pPr>
            <w:r>
              <w:rPr>
                <w:rFonts w:ascii="Arial" w:cs="Arial" w:eastAsia="Arial" w:hAnsi="Arial"/>
                <w:sz w:val="18"/>
                <w:szCs w:val="18"/>
                <w:color w:val="auto"/>
              </w:rPr>
              <w:t>Stock-based compensation expense related to stock options and employee stock</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2,902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Provision (benefit) for deferred income tax expense</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accounts receivable, net</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(11,354)</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Change in inventories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(43,902)</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70,308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prepaid expenses and other, net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Change in trade accounts payable</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16,084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(8,106)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Change in accrued expenses</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11,451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(11,462)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77,995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Acquisition of property and equipment</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(28,558)</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Business acquisitions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(32,450)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Change in other assets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(1,996)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000" w:type="dxa"/>
            <w:vAlign w:val="bottom"/>
            <w:gridSpan w:val="6"/>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(62,881)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(23,376)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Draws (payments) on floor plan notes payable, net</w:t>
            </w:r>
          </w:p>
        </w:tc>
        <w:tc>
          <w:tcPr>
            <w:tcW w:w="2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44,504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(64,022)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Proceeds from long-term debt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Principal payments on long-term debt</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(24,806)</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(20,550)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(3,518)</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7000" w:type="dxa"/>
            <w:vAlign w:val="bottom"/>
            <w:gridSpan w:val="6"/>
          </w:tcPr>
          <w:p>
            <w:pPr>
              <w:ind w:left="200"/>
              <w:spacing w:after="0" w:line="201" w:lineRule="exact"/>
              <w:rPr>
                <w:sz w:val="20"/>
                <w:szCs w:val="20"/>
                <w:color w:val="auto"/>
              </w:rPr>
            </w:pPr>
            <w:r>
              <w:rPr>
                <w:rFonts w:ascii="Arial" w:cs="Arial" w:eastAsia="Arial" w:hAnsi="Arial"/>
                <w:sz w:val="18"/>
                <w:szCs w:val="18"/>
                <w:color w:val="auto"/>
                <w:w w:val="94"/>
              </w:rPr>
              <w:t>Proceeds from issuance of shares relating to employee stock options and employee stock</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purchases</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(80,079)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(13,316)</w:t>
            </w:r>
          </w:p>
        </w:tc>
        <w:tc>
          <w:tcPr>
            <w:tcW w:w="200" w:type="dxa"/>
            <w:vAlign w:val="bottom"/>
          </w:tcPr>
          <w:p>
            <w:pPr>
              <w:spacing w:after="0"/>
              <w:rPr>
                <w:sz w:val="24"/>
                <w:szCs w:val="24"/>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(25,460)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149,095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146,411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7000" w:type="dxa"/>
            <w:vAlign w:val="bottom"/>
            <w:gridSpan w:val="6"/>
            <w:vMerge w:val="continue"/>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135,779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120,951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2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shd w:val="clear" w:color="auto" w:fill="CCEEFF"/>
          </w:tcPr>
          <w:p>
            <w:pPr>
              <w:ind w:left="4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000" w:type="dxa"/>
            <w:vAlign w:val="bottom"/>
            <w:gridSpan w:val="6"/>
            <w:vMerge w:val="restart"/>
          </w:tcPr>
          <w:p>
            <w:pPr>
              <w:ind w:left="400"/>
              <w:spacing w:after="0"/>
              <w:rPr>
                <w:sz w:val="20"/>
                <w:szCs w:val="20"/>
                <w:color w:val="auto"/>
              </w:rPr>
            </w:pPr>
            <w:r>
              <w:rPr>
                <w:rFonts w:ascii="Arial" w:cs="Arial" w:eastAsia="Arial" w:hAnsi="Arial"/>
                <w:sz w:val="18"/>
                <w:szCs w:val="18"/>
                <w:color w:val="auto"/>
              </w:rPr>
              <w:t>Income taxes, net of refunds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vMerge w:val="continue"/>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Noncash operating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Asset impairment (See Note 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7000" w:type="dxa"/>
            <w:vAlign w:val="bottom"/>
            <w:gridSpan w:val="6"/>
            <w:shd w:val="clear" w:color="auto" w:fill="CCEEFF"/>
          </w:tcPr>
          <w:p>
            <w:pPr>
              <w:ind w:left="200"/>
              <w:spacing w:after="0"/>
              <w:rPr>
                <w:sz w:val="20"/>
                <w:szCs w:val="20"/>
                <w:color w:val="auto"/>
              </w:rPr>
            </w:pPr>
            <w:r>
              <w:rPr>
                <w:rFonts w:ascii="Arial" w:cs="Arial" w:eastAsia="Arial" w:hAnsi="Arial"/>
                <w:sz w:val="18"/>
                <w:szCs w:val="18"/>
                <w:color w:val="auto"/>
              </w:rPr>
              <w:t>Noncash investing activities: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000" w:type="dxa"/>
            <w:vAlign w:val="bottom"/>
            <w:gridSpan w:val="6"/>
          </w:tcPr>
          <w:p>
            <w:pPr>
              <w:ind w:left="400"/>
              <w:spacing w:after="0"/>
              <w:rPr>
                <w:sz w:val="20"/>
                <w:szCs w:val="20"/>
                <w:color w:val="auto"/>
              </w:rPr>
            </w:pPr>
            <w:r>
              <w:rPr>
                <w:rFonts w:ascii="Arial" w:cs="Arial" w:eastAsia="Arial" w:hAnsi="Arial"/>
                <w:sz w:val="18"/>
                <w:szCs w:val="18"/>
                <w:color w:val="auto"/>
              </w:rPr>
              <w:t>Assets acquired under capital leases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4,432</w:t>
            </w:r>
          </w:p>
        </w:tc>
        <w:tc>
          <w:tcPr>
            <w:tcW w:w="3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6,240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RUSH ENTERPRISES,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 Principles of Consolidation and Basis of Presentation</w:t>
      </w:r>
    </w:p>
    <w:p>
      <w:pPr>
        <w:spacing w:after="0" w:line="18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All adjustments have been made to the accompanying interim consolidated financial statements, which, in the opinion of the Company’s management, are necessary for a fair presentation of the Company’s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2009. Results of operations for interim periods are not necessarily indicative of results that may be expected for any other interim periods or the full fiscal year.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 Goodwill and Other Intangible Assets</w:t>
      </w:r>
    </w:p>
    <w:p>
      <w:pPr>
        <w:spacing w:after="0" w:line="202" w:lineRule="exact"/>
        <w:rPr>
          <w:sz w:val="20"/>
          <w:szCs w:val="20"/>
          <w:color w:val="auto"/>
        </w:rPr>
      </w:pPr>
    </w:p>
    <w:p>
      <w:pPr>
        <w:jc w:val="both"/>
        <w:ind w:left="340" w:right="559" w:firstLine="373"/>
        <w:spacing w:after="0" w:line="288" w:lineRule="auto"/>
        <w:rPr>
          <w:sz w:val="20"/>
          <w:szCs w:val="20"/>
          <w:color w:val="auto"/>
        </w:rPr>
      </w:pPr>
      <w:r>
        <w:rPr>
          <w:rFonts w:ascii="Arial" w:cs="Arial" w:eastAsia="Arial" w:hAnsi="Arial"/>
          <w:sz w:val="16"/>
          <w:szCs w:val="16"/>
          <w:color w:val="auto"/>
        </w:rPr>
        <w:t>Goodwill is the excess of the purchase price over the fair value of identifiable net assets acquired in business combinations accounted for under the purchase method. The Company does not amortize goodwill, but tests goodwill for impairment annually in the fourth quarter, or when indications of potential impairment exist. These indicators would include a significant change in operating performance, or a planned sale or disposition of a significant portion of the business, among other factors. The Company tests for goodwill impairment utilizing a fair value approach at the reporting unit level. A reporting unit is an operating segment, for which discrete financial information is prepared and regularly reviewed by segment management. The Company has deemed its reporting unit to be its operating segment, the Truck segment, which is the level at which segment management regularly reviews operating results and makes resource allocation decisions. The Construction Equipment segment will no longer be reported as a separate business segment due to the Company’s decision to sell its John Deere construction equipment business. See Note 13 for further discussion of the sale of the construction equipment business.</w:t>
      </w:r>
    </w:p>
    <w:p>
      <w:pPr>
        <w:spacing w:after="0" w:line="129"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impairment test for goodwill involves comparing the fair value of a reporting unit to its carrying amount, including goodwill. If the carrying amount of the reporting unit exceeds its fair value, a second step is required to measure the goodwill impairment loss.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amount of the reporting unit’s goodwill exceeds the implied fair value of the goodwill, the Company would recognize an impairment loss in an amount equal to the excess, not to exceed the carrying amount. The Company determines the fair values calculated in an impairment test using the discounted cash flow method, which requires assumptions and estimates regarding future revenue, expenses and cash flow projections. The analysis is based upon available information regarding expected future cash flows of each reporting unit discounted at rates consistent with the cost of capital specific to the reporting unit.</w:t>
      </w:r>
    </w:p>
    <w:p>
      <w:pPr>
        <w:spacing w:after="0" w:line="137"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Goodwill is tested for impairment during the fourth quarter of each year and no impairment write down was required in the fourth quarter of 2009. However, the Company cannot predict the occurrence of certain events that might adversely affect the reported value of goodwill in the future. Such events may include, but are not limited to, strategic decisions made in response to economic and competitive conditions or another significant decrease in general economic conditions in the United States.</w:t>
      </w:r>
    </w:p>
    <w:p>
      <w:pPr>
        <w:spacing w:after="0" w:line="12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During the second quarter of 2009, the Company performed an interim evaluation of goodwill due to General Motors’ decision to terminate production of medium-duty GMC trucks, which resulted in the winding-down of the Company’s medium-duty GMC truck franchises. The goodwill allocation was based on the relative fair values of the medium-duty GMC truck franchises and the portion of the Company’s Truck Segment remaining. During the second quarter of 2009, the Company’s Truck Segment recorded a non-cash charge of $0.8 million related to the impairment of the goodwill of its medium-duty GMC truck franchises. See Note 11 for further discussion of the wind-down of the Company’s medium-duty GMC truck franchise agreements.</w:t>
      </w: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 Commitments and Contingencies</w:t>
      </w:r>
    </w:p>
    <w:p>
      <w:pPr>
        <w:spacing w:after="0" w:line="20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contingently liable to finance companies for certain notes initiated on behalf of such finance companies related to the sale of commercial vehicles and construction equipment. The majority of finance contracts are sold without recourse against the Company. A majority of the Company’s liability related to finance contracts sold with recourse is generally limited to 5% to 20% of the outstanding amount of each note initiated on behalf of the finance company. The Company provides for an allowance for repossession losses and early repayment penalties that it may be liable for under finance contracts sold without recourse.</w:t>
      </w:r>
    </w:p>
    <w:p>
      <w:pPr>
        <w:spacing w:after="0" w:line="153"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is involved in various claims and legal actions arising in the ordinary course of business. The Company believes it is unlikely that the final outcome of any of the claims or proceedings to which the Company is a party would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results of operations for the fiscal period in which such resolution occurred.</w:t>
      </w:r>
    </w:p>
    <w:p>
      <w:pPr>
        <w:spacing w:after="0" w:line="13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 2006, the Company signed an agreement with Titan Technology Partners to implement SAP enterprise software and a new SAP dealership management system. The cost of the SAP software and implementation is estimated at approximately $34.0 million, of which $31.7 million was expended at June 30, 2010.</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 Earnings Per Share</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June 30,</w:t>
            </w:r>
          </w:p>
        </w:tc>
        <w:tc>
          <w:tcPr>
            <w:tcW w:w="120" w:type="dxa"/>
            <w:vAlign w:val="bottom"/>
          </w:tcPr>
          <w:p>
            <w:pPr>
              <w:spacing w:after="0"/>
              <w:rPr>
                <w:sz w:val="20"/>
                <w:szCs w:val="20"/>
                <w:color w:val="auto"/>
              </w:rPr>
            </w:pPr>
          </w:p>
        </w:tc>
        <w:tc>
          <w:tcPr>
            <w:tcW w:w="2180" w:type="dxa"/>
            <w:vAlign w:val="bottom"/>
            <w:gridSpan w:val="5"/>
          </w:tcPr>
          <w:p>
            <w:pPr>
              <w:jc w:val="right"/>
              <w:ind w:right="200"/>
              <w:spacing w:after="0"/>
              <w:rPr>
                <w:sz w:val="20"/>
                <w:szCs w:val="20"/>
                <w:color w:val="auto"/>
              </w:rPr>
            </w:pPr>
            <w:r>
              <w:rPr>
                <w:rFonts w:ascii="Arial" w:cs="Arial" w:eastAsia="Arial" w:hAnsi="Arial"/>
                <w:sz w:val="18"/>
                <w:szCs w:val="18"/>
                <w:color w:val="auto"/>
                <w:w w:val="89"/>
              </w:rPr>
              <w:t>Six Months Ended June 30,</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2010</w:t>
            </w:r>
          </w:p>
        </w:tc>
        <w:tc>
          <w:tcPr>
            <w:tcW w:w="3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2009</w:t>
            </w:r>
          </w:p>
        </w:tc>
        <w:tc>
          <w:tcPr>
            <w:tcW w:w="3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0"/>
              <w:spacing w:after="0" w:line="201" w:lineRule="exact"/>
              <w:rPr>
                <w:sz w:val="20"/>
                <w:szCs w:val="20"/>
                <w:color w:val="auto"/>
              </w:rPr>
            </w:pPr>
            <w:r>
              <w:rPr>
                <w:rFonts w:ascii="Arial" w:cs="Arial" w:eastAsia="Arial" w:hAnsi="Arial"/>
                <w:sz w:val="18"/>
                <w:szCs w:val="18"/>
                <w:color w:val="auto"/>
              </w:rPr>
              <w:t>Numerator for basic and diluted earnings per share,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400"/>
              <w:spacing w:after="0"/>
              <w:rPr>
                <w:sz w:val="20"/>
                <w:szCs w:val="20"/>
                <w:color w:val="auto"/>
              </w:rPr>
            </w:pPr>
            <w:r>
              <w:rPr>
                <w:rFonts w:ascii="Arial" w:cs="Arial" w:eastAsia="Arial" w:hAnsi="Arial"/>
                <w:sz w:val="18"/>
                <w:szCs w:val="18"/>
                <w:color w:val="auto"/>
              </w:rPr>
              <w:t>net income (loss) available to common</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shareholders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5,688,000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(1,521,000)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7,925,000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1,342,000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0"/>
              <w:spacing w:after="0" w:line="201" w:lineRule="exact"/>
              <w:rPr>
                <w:sz w:val="20"/>
                <w:szCs w:val="20"/>
                <w:color w:val="auto"/>
              </w:rPr>
            </w:pPr>
            <w:r>
              <w:rPr>
                <w:rFonts w:ascii="Arial" w:cs="Arial" w:eastAsia="Arial" w:hAnsi="Arial"/>
                <w:sz w:val="18"/>
                <w:szCs w:val="18"/>
                <w:color w:val="auto"/>
              </w:rPr>
              <w:t>Denominator for basic earnings per share, adjusted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w w:val="90"/>
              </w:rPr>
              <w:t>37,291,659</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37,038,835</w:t>
            </w: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37,231,524</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37,015,257</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400"/>
              <w:spacing w:after="0" w:line="201" w:lineRule="exact"/>
              <w:rPr>
                <w:sz w:val="20"/>
                <w:szCs w:val="20"/>
                <w:color w:val="auto"/>
              </w:rPr>
            </w:pPr>
            <w:r>
              <w:rPr>
                <w:rFonts w:ascii="Arial" w:cs="Arial" w:eastAsia="Arial" w:hAnsi="Arial"/>
                <w:sz w:val="18"/>
                <w:szCs w:val="18"/>
                <w:color w:val="auto"/>
                <w:w w:val="98"/>
              </w:rPr>
              <w:t>Employee and director stock options and restricted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600"/>
              <w:spacing w:after="0"/>
              <w:rPr>
                <w:sz w:val="20"/>
                <w:szCs w:val="20"/>
                <w:color w:val="auto"/>
              </w:rPr>
            </w:pPr>
            <w:r>
              <w:rPr>
                <w:rFonts w:ascii="Arial" w:cs="Arial" w:eastAsia="Arial" w:hAnsi="Arial"/>
                <w:sz w:val="18"/>
                <w:szCs w:val="18"/>
                <w:color w:val="auto"/>
              </w:rPr>
              <w:t>share awards</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897,669</w:t>
            </w:r>
          </w:p>
        </w:tc>
        <w:tc>
          <w:tcPr>
            <w:tcW w:w="10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782,900</w:t>
            </w:r>
          </w:p>
        </w:tc>
        <w:tc>
          <w:tcPr>
            <w:tcW w:w="10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374,184</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9"/>
              </w:rPr>
              <w:t>Denominator for diluted earnings per share, adjusted</w:t>
            </w: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6"/>
              </w:rPr>
              <w:t>weighted average shares outstanding and assumed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conversions</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38,189,328</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37,038,835</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38,014,424</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37,389,441</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Diluted earnings (loss) per common share and common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Options to purchase shares of common stock that were outstanding for the three months and six months ended June 30, 2010 and 2009 that were not included in the computation of diluted earnings per share because the effect would have been anti-dilutive are as follows:</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2680" w:type="dxa"/>
            <w:vAlign w:val="bottom"/>
            <w:gridSpan w:val="4"/>
          </w:tcPr>
          <w:p>
            <w:pPr>
              <w:ind w:left="20"/>
              <w:spacing w:after="0"/>
              <w:rPr>
                <w:sz w:val="20"/>
                <w:szCs w:val="20"/>
                <w:color w:val="auto"/>
              </w:rPr>
            </w:pPr>
            <w:r>
              <w:rPr>
                <w:rFonts w:ascii="Arial" w:cs="Arial" w:eastAsia="Arial" w:hAnsi="Arial"/>
                <w:sz w:val="18"/>
                <w:szCs w:val="18"/>
                <w:color w:val="auto"/>
              </w:rPr>
              <w:t>Three Months Ended June 30,</w:t>
            </w:r>
          </w:p>
        </w:tc>
        <w:tc>
          <w:tcPr>
            <w:tcW w:w="2260" w:type="dxa"/>
            <w:vAlign w:val="bottom"/>
            <w:gridSpan w:val="4"/>
          </w:tcPr>
          <w:p>
            <w:pPr>
              <w:jc w:val="right"/>
              <w:ind w:right="180"/>
              <w:spacing w:after="0"/>
              <w:rPr>
                <w:sz w:val="20"/>
                <w:szCs w:val="20"/>
                <w:color w:val="auto"/>
              </w:rPr>
            </w:pPr>
            <w:r>
              <w:rPr>
                <w:rFonts w:ascii="Arial" w:cs="Arial" w:eastAsia="Arial" w:hAnsi="Arial"/>
                <w:sz w:val="18"/>
                <w:szCs w:val="18"/>
                <w:color w:val="auto"/>
                <w:w w:val="93"/>
              </w:rPr>
              <w:t>Six Months Ended June 30,</w:t>
            </w:r>
          </w:p>
        </w:tc>
      </w:tr>
      <w:tr>
        <w:trPr>
          <w:trHeight w:val="210"/>
        </w:trPr>
        <w:tc>
          <w:tcPr>
            <w:tcW w:w="43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2009</w:t>
            </w:r>
          </w:p>
        </w:tc>
        <w:tc>
          <w:tcPr>
            <w:tcW w:w="5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2010</w:t>
            </w: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r>
      <w:tr>
        <w:trPr>
          <w:trHeight w:val="210"/>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Options in the money and non-vested restricted share</w:t>
            </w:r>
          </w:p>
        </w:tc>
        <w:tc>
          <w:tcPr>
            <w:tcW w:w="9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1,910,291(1)</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 options</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990,330</w:t>
            </w:r>
          </w:p>
        </w:tc>
        <w:tc>
          <w:tcPr>
            <w:tcW w:w="1400" w:type="dxa"/>
            <w:vAlign w:val="bottom"/>
            <w:gridSpan w:val="2"/>
          </w:tcPr>
          <w:p>
            <w:pPr>
              <w:ind w:left="200"/>
              <w:spacing w:after="0"/>
              <w:rPr>
                <w:sz w:val="20"/>
                <w:szCs w:val="20"/>
                <w:color w:val="auto"/>
              </w:rPr>
            </w:pPr>
            <w:r>
              <w:rPr>
                <w:rFonts w:ascii="Arial" w:cs="Arial" w:eastAsia="Arial" w:hAnsi="Arial"/>
                <w:sz w:val="18"/>
                <w:szCs w:val="18"/>
                <w:color w:val="auto"/>
              </w:rPr>
              <w:t>1,572,231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990,330</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1,961,028</w:t>
            </w:r>
          </w:p>
        </w:tc>
      </w:tr>
      <w:tr>
        <w:trPr>
          <w:trHeight w:val="27"/>
        </w:trPr>
        <w:tc>
          <w:tcPr>
            <w:tcW w:w="4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anti-dilutive securities</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990,330</w:t>
            </w:r>
          </w:p>
        </w:tc>
        <w:tc>
          <w:tcPr>
            <w:tcW w:w="1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3,482,522</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990,330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1,961,028</w:t>
            </w:r>
          </w:p>
        </w:tc>
      </w:tr>
      <w:tr>
        <w:trPr>
          <w:trHeight w:val="20"/>
        </w:trPr>
        <w:tc>
          <w:tcPr>
            <w:tcW w:w="4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680" w:right="559" w:hanging="348"/>
        <w:spacing w:after="0" w:line="286" w:lineRule="auto"/>
        <w:tabs>
          <w:tab w:leader="none" w:pos="6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Company cannot include potentially dilutive common shares in the computation of any diluted per-share amount when a loss from continuing operations exists. If the Company had not recorded a loss from continuing operations in the second quarter of 2009, 505,322 dilutive shares would have been included in diluted earnings per share.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 Stock Options and Restricted Stock Awards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Valuation and Expense Information</w:t>
      </w:r>
    </w:p>
    <w:p>
      <w:pPr>
        <w:spacing w:after="0" w:line="185"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The Company accounts for stock-based compensation in accordance with Accounting Standards Codification (“ASC”) 718-10, “Compensation — Stock Compensation,” which requires the measurement and recognition of compensation expense for all share-based payment awards made to the Company’s employees and directors including employee stock options, restricted share awards and employee stock purchases related to the Employee Stock Purchase Plan based on estimated fair values. During the three months ended June 30, 2010, the Company granted stock awards to directors as authorized by the Rush Enterprises, Inc. Amended and Restated 2006 Non-Employee Director Stock Plan. Stock-based compensation expense, calculated using the Black-Scholes option-pricing model and included in selling, general and administrative expense, was $1.0 million for the three months ended June 30, 2010, and $1.2 million for the three months ended June 30, 2009. Stock-based compensation expense, included in selling, general and administrative expense, for the six months ended June 30, 2010, was $2.9 million and for the six months ended June 30, 2009, was $2.5 million. As of June 30, 2010, there was $6.3 million of total unrecognized compensation cost related to non-vested share-based compensation arrangements to be recognized over a weighted-average period of 3.3 years.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 Investments</w:t>
      </w:r>
    </w:p>
    <w:p>
      <w:pPr>
        <w:spacing w:after="0" w:line="202"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assesses its investments for impairment on a quarterly basis. If the investments are deemed to be impaired, the Company determines whether the impairment is temporary or other than temporary. If the impairment is deemed to be temporary, the Company records an unrealized loss in other comprehensive income. If the impairment is deemed other than temporary, the Company records the impairment in the Company’s consolidated statement of operations.</w:t>
      </w:r>
    </w:p>
    <w:p>
      <w:pPr>
        <w:spacing w:after="0" w:line="114"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 historically invested in interest-bearing short-term investments primarily consisting of investment-grade auction rate securities classified as available-for-sale and reported at fair value. These types of investments were designed to provide liquidity through an auction process that reset the applicable interest rates at predetermined periods ranging from 1 to 35 days. This reset mechanism was intended to allow existing investors to continue to own their respective interest in the auction rate security or to gain immediate liquidity by selling their interests at par.</w:t>
      </w:r>
    </w:p>
    <w:p>
      <w:pPr>
        <w:spacing w:after="0" w:line="13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a result of the liquidity issues experienced in the global capital markets, auctions for investment grade securities held by the Company have failed. An auction fails when there is insufficient demand. However, a failed auction does not represent a default by the issuer. The auction rate securities continue to pay interest in accordance with the terms of the underlying security; however, liquidity will be limited until there is a successful auction or until such time as other markets for these investments develop. The Company has the intent and ability to hold these auction rate securities until liquidity returns to the market. The Company does not believe that the lack of liquidity relating to its auction rate securities will have a material impact on its ability to fund operations.</w:t>
      </w:r>
    </w:p>
    <w:p>
      <w:pPr>
        <w:spacing w:after="0" w:line="16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As of June 30, 2010 and June 30, 2009, the Company held $7.6 million of auction rate securities with underlying tax-exempt municipal bonds with stated maturities of 21 years. These bonds have credit wrap insurance and a credit rating of A by Standard &amp; Poor’s.</w:t>
      </w:r>
    </w:p>
    <w:p>
      <w:pPr>
        <w:spacing w:after="0" w:line="141"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believes that the credit quality and fair value of the auction rate securities it holds has not been negatively impacted; therefore, no impairment charges have been recorded as of June 30, 2010. As of June 30, 2010, the Company has valued these investments at fair value, which approximates cost. The Company used observable inputs to determine fair value, including consideration of broker quotes, the overall quality of the underlying municipality, the credit quality of the insurance company, as well as successful subsequent auctions. Accordingly, the Company has considered this fair value to be a Level 2 valuation under ASC 820-10, “Fair Value Measurements and Disclosures.” If the credit quality of these investments deteriorates, or adverse developments occur in the bond insurance market, the Company may be required to record an impairment charge on these investments in the future.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 Inventory</w:t>
      </w:r>
    </w:p>
    <w:p>
      <w:pPr>
        <w:spacing w:after="0" w:line="20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During the quarter ended June 30, 2009, the Company recorded a net inventory write-down of $3.4 million on new medium-duty GMC trucks and a net write-down of $0.6 million on its GMC parts inventory due to General Motors’ decision to discontinue manufacturing GMC medium-duty trucks and to wind-down the Company’s medium-duty GMC truck franchise agreements. See Note 11 for further discussion of the wind-down of the Company’s medium-duty GMC truck franchise agreements.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 Segment Information</w:t>
      </w:r>
    </w:p>
    <w:p>
      <w:pPr>
        <w:spacing w:after="0" w:line="202" w:lineRule="exact"/>
        <w:rPr>
          <w:sz w:val="20"/>
          <w:szCs w:val="20"/>
          <w:color w:val="auto"/>
        </w:rPr>
      </w:pPr>
    </w:p>
    <w:p>
      <w:pPr>
        <w:jc w:val="both"/>
        <w:ind w:left="340" w:right="559" w:firstLine="373"/>
        <w:spacing w:after="0" w:line="272" w:lineRule="auto"/>
        <w:rPr>
          <w:sz w:val="20"/>
          <w:szCs w:val="20"/>
          <w:color w:val="auto"/>
        </w:rPr>
      </w:pPr>
      <w:r>
        <w:rPr>
          <w:rFonts w:ascii="Arial" w:cs="Arial" w:eastAsia="Arial" w:hAnsi="Arial"/>
          <w:sz w:val="17"/>
          <w:szCs w:val="17"/>
          <w:color w:val="auto"/>
        </w:rPr>
        <w:t>The Company currently has one reportable business segment, the Truck segment. The Truck segment operates a network of Rush Truck Centers that provide an integrated one-stop source for the trucking needs of its customers, including retail sales of new and used commercial vehicles; aftermarket parts, service and body shop facilities; and a wide array of financial services, including the financing of new and used commercial vehicle purchases, insurance products and truck leasing and rentals. The truck centers are deemed as a single reporting unit because they have similar economic characteristics. The Company’s chief operating decision maker considers the entire Truck segment, not individual dealerships when making decisions about resources to be allocated to the segment and assess its performance.</w:t>
      </w:r>
    </w:p>
    <w:p>
      <w:pPr>
        <w:spacing w:after="0" w:line="137"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Construction Equipment segment will no longer be reported as a separate business segment due to the Company’s decision to sell its John Deere construction equipment business. See Note 13 for further discussion of the sale of the construction equipment business. The assets of the construction equipment business have been included in the All Other segment assets in the table below.</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accounting policies of the segments are the same as those described in the summary of significant accounting policies.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evaluates performance based on income before income taxes not including extraordinary items.</w:t>
      </w:r>
    </w:p>
    <w:p>
      <w:pPr>
        <w:spacing w:after="0" w:line="184" w:lineRule="exact"/>
        <w:rPr>
          <w:sz w:val="20"/>
          <w:szCs w:val="20"/>
          <w:color w:val="auto"/>
        </w:rPr>
      </w:pPr>
    </w:p>
    <w:p>
      <w:pPr>
        <w:jc w:val="both"/>
        <w:ind w:left="340" w:right="559" w:firstLine="373"/>
        <w:spacing w:after="0" w:line="308" w:lineRule="auto"/>
        <w:rPr>
          <w:sz w:val="20"/>
          <w:szCs w:val="20"/>
          <w:color w:val="auto"/>
        </w:rPr>
      </w:pPr>
      <w:r>
        <w:rPr>
          <w:rFonts w:ascii="Arial" w:cs="Arial" w:eastAsia="Arial" w:hAnsi="Arial"/>
          <w:sz w:val="17"/>
          <w:szCs w:val="17"/>
          <w:color w:val="auto"/>
        </w:rPr>
        <w:t>The Company accounts for intersegment sales and transfers as if the sales or transfers were to third parties, that is, at current market prices. There were no material intersegment sales during the quarters ended June 30, 2010 and 2009.</w:t>
      </w:r>
    </w:p>
    <w:p>
      <w:pPr>
        <w:spacing w:after="0" w:line="10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The Company’s reportable segment is a strategic business unit that offers different products and services. It is managed separately because the business unit requires different technology and marketing strategies. Business units were maintained through expansion and acquisitions. The following table contains summarized information about reportable segment profit or loss and segment assets for the periods ended June 30, 2010 and 2009 (in thousands):</w:t>
      </w:r>
    </w:p>
    <w:p>
      <w:pPr>
        <w:spacing w:after="0" w:line="16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Truck</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86"/>
              </w:rPr>
              <w:t>Segment</w:t>
            </w:r>
          </w:p>
        </w:tc>
        <w:tc>
          <w:tcPr>
            <w:tcW w:w="10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All Other</w:t>
            </w:r>
          </w:p>
        </w:tc>
        <w:tc>
          <w:tcPr>
            <w:tcW w:w="14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Totals</w:t>
            </w:r>
          </w:p>
        </w:tc>
      </w:tr>
      <w:tr>
        <w:trPr>
          <w:trHeight w:val="210"/>
        </w:trPr>
        <w:tc>
          <w:tcPr>
            <w:tcW w:w="5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three months ended June 30, 2010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5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325,673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4,166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329,839</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from continuing operations before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8,857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8,965</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Segment assets</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1,049,053</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53,480</w:t>
            </w: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1,102,533</w:t>
            </w:r>
          </w:p>
        </w:tc>
      </w:tr>
      <w:tr>
        <w:trPr>
          <w:trHeight w:val="202"/>
        </w:trPr>
        <w:tc>
          <w:tcPr>
            <w:tcW w:w="5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 of and for the six months ended June 30, 2010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432"/>
        </w:trPr>
        <w:tc>
          <w:tcPr>
            <w:tcW w:w="5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621,431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7,696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629,127</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Segment income (loss) from continuing operations before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12,347</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12,036</w:t>
            </w:r>
          </w:p>
        </w:tc>
      </w:tr>
      <w:tr>
        <w:trPr>
          <w:trHeight w:val="432"/>
        </w:trPr>
        <w:tc>
          <w:tcPr>
            <w:tcW w:w="5700" w:type="dxa"/>
            <w:vAlign w:val="bottom"/>
          </w:tcPr>
          <w:p>
            <w:pPr>
              <w:spacing w:after="0"/>
              <w:rPr>
                <w:sz w:val="20"/>
                <w:szCs w:val="20"/>
                <w:color w:val="auto"/>
              </w:rPr>
            </w:pPr>
            <w:r>
              <w:rPr>
                <w:rFonts w:ascii="Arial" w:cs="Arial" w:eastAsia="Arial" w:hAnsi="Arial"/>
                <w:sz w:val="18"/>
                <w:szCs w:val="18"/>
                <w:i w:val="1"/>
                <w:iCs w:val="1"/>
                <w:color w:val="auto"/>
              </w:rPr>
              <w:t>As of and for the three months ended June 30, 2009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298,266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302,571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Segment (loss) from continuing operations before taxes</w:t>
            </w: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(3,838)</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(4,234)</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907,990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57,488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965,478</w:t>
            </w:r>
          </w:p>
        </w:tc>
      </w:tr>
      <w:tr>
        <w:trPr>
          <w:trHeight w:val="432"/>
        </w:trPr>
        <w:tc>
          <w:tcPr>
            <w:tcW w:w="5700" w:type="dxa"/>
            <w:vAlign w:val="bottom"/>
          </w:tcPr>
          <w:p>
            <w:pPr>
              <w:spacing w:after="0"/>
              <w:rPr>
                <w:sz w:val="20"/>
                <w:szCs w:val="20"/>
                <w:color w:val="auto"/>
              </w:rPr>
            </w:pPr>
            <w:r>
              <w:rPr>
                <w:rFonts w:ascii="Arial" w:cs="Arial" w:eastAsia="Arial" w:hAnsi="Arial"/>
                <w:sz w:val="18"/>
                <w:szCs w:val="18"/>
                <w:i w:val="1"/>
                <w:iCs w:val="1"/>
                <w:color w:val="auto"/>
              </w:rPr>
              <w:t>As of and for the six months ended June 30, 2009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611,510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8,552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620,062</w:t>
            </w:r>
          </w:p>
        </w:tc>
      </w:t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Segment (loss) from continuing operations before taxes</w:t>
            </w:r>
          </w:p>
        </w:tc>
        <w:tc>
          <w:tcPr>
            <w:tcW w:w="12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(872)</w:t>
            </w:r>
          </w:p>
        </w:tc>
        <w:tc>
          <w:tcPr>
            <w:tcW w:w="14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(997)</w:t>
            </w:r>
          </w:p>
        </w:tc>
      </w:tr>
    </w:tbl>
    <w:p>
      <w:pPr>
        <w:spacing w:after="0" w:line="147"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Revenues from segments below the quantitative thresholds are attributable to three operating segments of the Company. Those segments include a tire retailing company, an insurance company and a guest ranch operation. None of those segments has ever met any of the quantitative thresholds for determining reportable segments.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 Income Taxes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included accruals for unrecognized income tax benefits totaling $1.8 million as a component of accrued liabilities as of June 30, 2010 and December 31, 2009. The unrecognized tax benefits of $1.8 million at June 30, 2010, if recognized, would impact the Company’s effective tax rate. An unfavorable settlement would require a charge to income tax expense and a favorable resolution would be recognized as a reduction to income tax expense. As of June 30, 2010, the Company accrued interest of $135,000 related to unrecognized tax benefits in the current provision for income taxes. No amounts were accrued for penalties.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86" w:lineRule="auto"/>
        <w:rPr>
          <w:sz w:val="20"/>
          <w:szCs w:val="20"/>
          <w:color w:val="auto"/>
        </w:rPr>
      </w:pPr>
      <w:r>
        <w:rPr>
          <w:rFonts w:ascii="Arial" w:cs="Arial" w:eastAsia="Arial" w:hAnsi="Arial"/>
          <w:sz w:val="17"/>
          <w:szCs w:val="17"/>
          <w:color w:val="auto"/>
        </w:rPr>
        <w:t>The Company does not anticipate a significant change in the amount of unrecognized tax benefits in the next 12 months. As of June 30, 2010, the tax years ended December 31, 2008 through 2009 remained subject to audit by federal tax authorities and the tax years ended December 31, 2005 through 2009, remained subject to audit by state tax authorities.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 Fair Value of Financial Instruments</w:t>
      </w:r>
    </w:p>
    <w:p>
      <w:pPr>
        <w:spacing w:after="0" w:line="189"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Certain methods and assumptions were used by the Company in estimating the fair value of financial instruments at June 30, 2010. The carrying value of current assets and current liabilities approximates the fair value due to the short maturity of these items.</w:t>
      </w:r>
    </w:p>
    <w:p>
      <w:pPr>
        <w:spacing w:after="0" w:line="141" w:lineRule="exact"/>
        <w:rPr>
          <w:sz w:val="20"/>
          <w:szCs w:val="20"/>
          <w:color w:val="auto"/>
        </w:rPr>
      </w:pPr>
    </w:p>
    <w:p>
      <w:pPr>
        <w:jc w:val="both"/>
        <w:ind w:left="340" w:right="1760" w:firstLine="373"/>
        <w:spacing w:after="0" w:line="264" w:lineRule="auto"/>
        <w:rPr>
          <w:sz w:val="20"/>
          <w:szCs w:val="20"/>
          <w:color w:val="auto"/>
        </w:rPr>
      </w:pPr>
      <w:r>
        <w:rPr>
          <w:rFonts w:ascii="Arial" w:cs="Arial" w:eastAsia="Arial" w:hAnsi="Arial"/>
          <w:sz w:val="18"/>
          <w:szCs w:val="18"/>
          <w:color w:val="auto"/>
        </w:rPr>
        <w:t>The fair value of the Company’s long-term debt is based on secondary market indicators. Since the Company’s debt is not quoted, estimates are based on each obligation’s characteristics, including remaining maturities, interest rate, credit rating, collateral, amortization schedule and liquidity. The carrying amount approximates fair value.</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 Medium-Duty GMC Truck Franchises</w:t>
      </w:r>
    </w:p>
    <w:p>
      <w:pPr>
        <w:spacing w:after="0" w:line="189" w:lineRule="exact"/>
        <w:rPr>
          <w:sz w:val="20"/>
          <w:szCs w:val="20"/>
          <w:color w:val="auto"/>
        </w:rPr>
      </w:pPr>
    </w:p>
    <w:p>
      <w:pPr>
        <w:jc w:val="both"/>
        <w:ind w:left="340" w:right="1760" w:firstLine="373"/>
        <w:spacing w:after="0" w:line="255" w:lineRule="auto"/>
        <w:rPr>
          <w:sz w:val="20"/>
          <w:szCs w:val="20"/>
          <w:color w:val="auto"/>
        </w:rPr>
      </w:pPr>
      <w:r>
        <w:rPr>
          <w:rFonts w:ascii="Arial" w:cs="Arial" w:eastAsia="Arial" w:hAnsi="Arial"/>
          <w:sz w:val="18"/>
          <w:szCs w:val="18"/>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This impairment charge resulted in a net charge to cost of sales of $4.0 million, a net charge to SG&amp;A expense of $0.1 million and a charge to amortization expense of $0.8 million during the second quarter of 2009. During the third and fourth quarters of 2009, the Company adjusted the estimated impairment charge related to the medium-duty GMC truck and parts inventories, which resulted in a net credit to cost of sales of $1.9 million.</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 Acquisition</w:t>
      </w:r>
    </w:p>
    <w:p>
      <w:pPr>
        <w:spacing w:after="0" w:line="202" w:lineRule="exact"/>
        <w:rPr>
          <w:sz w:val="20"/>
          <w:szCs w:val="20"/>
          <w:color w:val="auto"/>
        </w:rPr>
      </w:pPr>
    </w:p>
    <w:p>
      <w:pPr>
        <w:jc w:val="both"/>
        <w:ind w:left="340" w:right="1760" w:firstLine="373"/>
        <w:spacing w:after="0" w:line="289" w:lineRule="auto"/>
        <w:rPr>
          <w:sz w:val="20"/>
          <w:szCs w:val="20"/>
          <w:color w:val="auto"/>
        </w:rPr>
      </w:pPr>
      <w:r>
        <w:rPr>
          <w:rFonts w:ascii="Arial" w:cs="Arial" w:eastAsia="Arial" w:hAnsi="Arial"/>
          <w:sz w:val="16"/>
          <w:szCs w:val="16"/>
          <w:color w:val="auto"/>
        </w:rPr>
        <w:t>On May 24, 2010, the Company acquired certain assets of Lake City Companies, LLC and certain of its subsidiaries and affiliates (collectively, “Lake City International”). Lake City International operated a commercial truck and bus sales, service, parts, finance and leasing business representing multiple brands. The newly acquired dealerships include five locations in Utah, five locations in Idaho and one location in Oregon. These locations are operating as Rush Truck Centers that offer a combination of International heavy- and medium-duty trucks, Autocar trucks, Mitsubishi Fuso medium-duty trucks, IC buses and Workhorse chassis in addition to parts, service, body shop, financing and insurance capabilities. Rush Truck Leasing will operate Idealease truck rental and leasing franchises at existing locations in Salt Lake City, Utah, and Boise, Idaho. The transaction, including the real estate, was valued at approximately $70.0 million. The purchase price for the assets of the business was paid in cash and the purchase price for the real estate was partially paid in cash with the remainder financed with long-term debt.</w:t>
      </w:r>
    </w:p>
    <w:p>
      <w:pPr>
        <w:spacing w:after="0" w:line="126" w:lineRule="exact"/>
        <w:rPr>
          <w:sz w:val="20"/>
          <w:szCs w:val="20"/>
          <w:color w:val="auto"/>
        </w:rPr>
      </w:pPr>
    </w:p>
    <w:p>
      <w:pPr>
        <w:jc w:val="both"/>
        <w:ind w:left="340" w:right="1760" w:firstLine="373"/>
        <w:spacing w:after="0" w:line="286" w:lineRule="auto"/>
        <w:rPr>
          <w:sz w:val="20"/>
          <w:szCs w:val="20"/>
          <w:color w:val="auto"/>
        </w:rPr>
      </w:pPr>
      <w:r>
        <w:rPr>
          <w:rFonts w:ascii="Arial" w:cs="Arial" w:eastAsia="Arial" w:hAnsi="Arial"/>
          <w:sz w:val="17"/>
          <w:szCs w:val="17"/>
          <w:color w:val="auto"/>
        </w:rPr>
        <w:t>The operations of Lake City International are included in the accompanying consolidated financial statements from the date of the acquisition. Pro forma information is not included in accordance with ASC topic 805. The preliminary purchase price has been allocated based on the fair values of the assets at the date of acquisition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4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5,955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4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Property and equipment, including real estate</w:t>
            </w: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47,802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Accounts payable</w:t>
            </w: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Floor plan notes payable</w:t>
            </w: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Goodwill</w:t>
            </w:r>
          </w:p>
        </w:tc>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9,164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69,974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4400" w:type="dxa"/>
            <w:vAlign w:val="bottom"/>
            <w:vMerge w:val="restart"/>
          </w:tcPr>
          <w:p>
            <w:pPr>
              <w:jc w:val="right"/>
              <w:ind w:right="3490"/>
              <w:spacing w:after="0"/>
              <w:rPr>
                <w:sz w:val="20"/>
                <w:szCs w:val="20"/>
                <w:color w:val="auto"/>
              </w:rPr>
            </w:pPr>
            <w:r>
              <w:rPr>
                <w:rFonts w:ascii="Arial" w:cs="Arial" w:eastAsia="Arial" w:hAnsi="Arial"/>
                <w:sz w:val="18"/>
                <w:szCs w:val="18"/>
                <w:color w:val="auto"/>
              </w:rPr>
              <w:t>10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9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91" w:lineRule="auto"/>
        <w:rPr>
          <w:sz w:val="20"/>
          <w:szCs w:val="20"/>
          <w:color w:val="auto"/>
        </w:rPr>
      </w:pPr>
      <w:r>
        <w:rPr>
          <w:rFonts w:ascii="Arial" w:cs="Arial" w:eastAsia="Arial" w:hAnsi="Arial"/>
          <w:sz w:val="16"/>
          <w:szCs w:val="16"/>
          <w:color w:val="auto"/>
        </w:rPr>
        <w:t>As the value of certain assets and liabilities are preliminary in nature, they are subject to adjustment as additional information is obtained about the facts and circumstances that existed at the acquisition date. When the valuation is final, any changes to the preliminary valuation of acquired assets and liabilities could result in adjustments to identified intangibles and goodwill. The Company financed approximately $37.5 million of the purchase price under its floor plan, accounts receivable, lease and rental truck financing arrangements and a real estate loan. As part of the Lake City International acquisition, the Company assumed certain contingent liabilities for notes initiated on behalf of Lake City International related to the sale of commercial vehicles. The contingent liability had an estimated fair value of $2.0 million and was recorded as an accrued liability.</w:t>
      </w:r>
    </w:p>
    <w:p>
      <w:pPr>
        <w:spacing w:after="0" w:line="140" w:lineRule="exact"/>
        <w:rPr>
          <w:sz w:val="20"/>
          <w:szCs w:val="20"/>
          <w:color w:val="auto"/>
        </w:rPr>
      </w:pPr>
    </w:p>
    <w:p>
      <w:pPr>
        <w:jc w:val="both"/>
        <w:ind w:left="340" w:right="1760" w:firstLine="373"/>
        <w:spacing w:after="0" w:line="286" w:lineRule="auto"/>
        <w:rPr>
          <w:sz w:val="20"/>
          <w:szCs w:val="20"/>
          <w:color w:val="auto"/>
        </w:rPr>
      </w:pPr>
      <w:r>
        <w:rPr>
          <w:rFonts w:ascii="Arial" w:cs="Arial" w:eastAsia="Arial" w:hAnsi="Arial"/>
          <w:sz w:val="17"/>
          <w:szCs w:val="17"/>
          <w:color w:val="auto"/>
        </w:rPr>
        <w:t>The portion of goodwill related to the asset purchase of Lake City International will be capitalized and subject to impairment review on at least an annual basis. For federal tax purposes the goodwill will be amortized over 15 years. The above acquisition of Lake City International was considered a business combination accounted for under ASC topic 805.</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 Discontinued Operations</w:t>
      </w:r>
    </w:p>
    <w:p>
      <w:pPr>
        <w:spacing w:after="0" w:line="189" w:lineRule="exact"/>
        <w:rPr>
          <w:sz w:val="20"/>
          <w:szCs w:val="20"/>
          <w:color w:val="auto"/>
        </w:rPr>
      </w:pPr>
    </w:p>
    <w:p>
      <w:pPr>
        <w:jc w:val="both"/>
        <w:ind w:left="340" w:right="1760" w:firstLine="373"/>
        <w:spacing w:after="0" w:line="293" w:lineRule="auto"/>
        <w:rPr>
          <w:sz w:val="20"/>
          <w:szCs w:val="20"/>
          <w:color w:val="auto"/>
        </w:rPr>
      </w:pPr>
      <w:r>
        <w:rPr>
          <w:rFonts w:ascii="Arial" w:cs="Arial" w:eastAsia="Arial" w:hAnsi="Arial"/>
          <w:sz w:val="16"/>
          <w:szCs w:val="16"/>
          <w:color w:val="auto"/>
        </w:rPr>
        <w:t>On June 18, 2010, the Company announced that it had entered into a definitive agreement to sell the assets of its John Deere construction equipment business, including its Rush Equipment Centers in Houston and Beaumont, Texas, to Doggett Heavy Machinery Services, LLC. The total purchase price for the Rush Equipment Centers is estimated to be approximately $37.0 million. The transaction, which is subject to customary closing conditions, is expected to close in the third or fourth quarter of 2010. The Company expects to record a gain on the transaction during the third or fourth quarter of 2010. As a result of these actions, the Construction Equipment segment will no longer be reported as a separate business segment.</w:t>
      </w:r>
    </w:p>
    <w:p>
      <w:pPr>
        <w:spacing w:after="0" w:line="138"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At closing, Doggett Heavy Machinery Services, LLC will enter into a lease agreement with Rush Equipment Centers of Texas, Inc. to lease the facility where Rush Equipment Center, Houston is located from an affiliate of the Company. The lease provides for an initial three year term with the option for lessee to terminate the lease with 30 days notice. The Company’s continuing involvement in the operations of the construction equipment business is limited to the lease agreement and will not be significant.</w:t>
      </w:r>
    </w:p>
    <w:p>
      <w:pPr>
        <w:spacing w:after="0" w:line="148"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The results of operations of the construction equipment business have been classified as discontinued operations in the Company’s consolidated statements of operations for all periods presented, and excluded from business segment information. Similarly, certain assets of the construction equipment business have been separately identified in the consolidated balance sheet as being held for sale.</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sales and earnings before income taxes related to the discontinued business were as follows (in thousands):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6"/>
              </w:rPr>
              <w:t>Three months ended</w:t>
            </w:r>
          </w:p>
        </w:tc>
        <w:tc>
          <w:tcPr>
            <w:tcW w:w="200" w:type="dxa"/>
            <w:vAlign w:val="bottom"/>
          </w:tcPr>
          <w:p>
            <w:pPr>
              <w:spacing w:after="0"/>
              <w:rPr>
                <w:sz w:val="18"/>
                <w:szCs w:val="18"/>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9,557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18,210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21,152</w:t>
            </w:r>
          </w:p>
        </w:tc>
      </w:tr>
      <w:tr>
        <w:trPr>
          <w:trHeight w:val="439"/>
        </w:trPr>
        <w:tc>
          <w:tcPr>
            <w:tcW w:w="4400" w:type="dxa"/>
            <w:vAlign w:val="bottom"/>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02"/>
        </w:trPr>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Results of operations from discontinued operations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before income taxes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1,012</w:t>
            </w: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1,141</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(197)</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(425)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27"/>
        </w:trPr>
        <w:tc>
          <w:tcPr>
            <w:tcW w:w="4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587</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w:t>
            </w: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1760"/>
        <w:spacing w:after="0" w:line="277" w:lineRule="auto"/>
        <w:rPr>
          <w:sz w:val="20"/>
          <w:szCs w:val="20"/>
          <w:color w:val="auto"/>
        </w:rPr>
      </w:pPr>
      <w:r>
        <w:rPr>
          <w:rFonts w:ascii="Arial" w:cs="Arial" w:eastAsia="Arial" w:hAnsi="Arial"/>
          <w:sz w:val="18"/>
          <w:szCs w:val="18"/>
          <w:color w:val="auto"/>
        </w:rPr>
        <w:t>The major classes of assets of the discontinued operations classified as held for sale and included in the consolidated balance sheet were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39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19,168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Goodwill</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4,075</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4,075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Prepaid expenses</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37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22,719</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700" w:type="dxa"/>
            <w:vAlign w:val="bottom"/>
            <w:vMerge w:val="restart"/>
          </w:tcPr>
          <w:p>
            <w:pPr>
              <w:jc w:val="right"/>
              <w:ind w:right="217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jc w:val="both"/>
        <w:ind w:left="340" w:right="559" w:firstLine="373"/>
        <w:spacing w:after="0" w:line="284" w:lineRule="auto"/>
        <w:rPr>
          <w:sz w:val="20"/>
          <w:szCs w:val="20"/>
          <w:color w:val="auto"/>
        </w:rPr>
      </w:pPr>
      <w:r>
        <w:rPr>
          <w:rFonts w:ascii="Arial" w:cs="Arial" w:eastAsia="Arial" w:hAnsi="Arial"/>
          <w:sz w:val="16"/>
          <w:szCs w:val="16"/>
          <w:i w:val="1"/>
          <w:iCs w:val="1"/>
          <w:color w:val="auto"/>
        </w:rPr>
        <w:t>Certain statements contained in this Form 10-Q (or otherwise made by the Company or on the Company’s behalf from time to time in other reports, filings with the Securities and Exchange Commission, news releases, conferences, website postings or otherwise) that are not statements of historical fact constitute “forward-looking statements” within the meaning of Section 27A of the Securities Act of 1933, as amended, and Section 21E of the Exchange Act of 1934, as amended(the “Exchange Act”), notwithstanding that such statements are not specifically identified. Forward-looking statements include statements about the Company’s financial position, business strategy and plans and objectives of management of the Company for future operations. These forward-looking statements reflect the best judgments of the Company about the future events and trends based on the beliefs of the Company’s management as well as assumptions made by and information currently available to the Company’s management. Use of the words “may,” “should,” “continue,” “plan,” “potential,” “anticipate,” “believe,” “estimate,” “expect” and “intend” and words or phrases of similar import, as they relate to the Company or its subsidiaries or Company management, are intended to identify forward-looking statements but are not the exclusive means of identifying such statements. Forward-looking statements reflect the current view of the Company with respect to future events and are subject to risks and uncertainties that could cause actual results to differ materially from those in such statements. Important factors that could cause actual results to differ materially from those in the forward-looking statements include, but are not limited to, those set forth under Item 1A—Risk Factors in the Company’s Annual Report on Form 10-K for the year ended December 31, 2009 as well as future growth rates and margins for certain of our products and services, future demand for our products and services, competitive factors, general economic conditions, cyclicality, market conditions in the new and used commercial vehicle and equipment markets, customer relations, relationships with vendors, approval by John Deere of the disposition of Rush Equipment Centers, the interest rate environment, governmental regulation and supervision, seasonality, distribution networks, product introductions and acceptance, technological change, changes in industry practices, one-time events and other factors described herein and in the Company’s quarterly and other reports filed with the Securities and Exchange Commission (collectively, “Cautionary Statements”). Although the Company believes that its expectations are reasonable, it can give no assurance that such expectations will prove to be correct. Based upon changing conditions, should any one or more of these risks or uncertainties materialize, or should any underlying assumptions prove incorrect, actual results may vary materially from those described in any forward-looking statements. All subsequent written and oral forward-looking statements attributable to the Company or persons acting on its behalf are expressly qualified in their entirety by the applicable Cautionary Statements. All forward-looking statements speak only as the date on which they are made and the Company undertakes no duty to update or revise any forward-looking statements.</w:t>
      </w:r>
    </w:p>
    <w:p>
      <w:pPr>
        <w:spacing w:after="0" w:line="348"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comments should be read in conjunction with the Company’s consolidated financial statements and related notes included elsewhere in this Quarterly Report on Form 10-Q.</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Regarding Trademarks Used in This Form 10-Q</w:t>
      </w:r>
    </w:p>
    <w:p>
      <w:pPr>
        <w:spacing w:after="0" w:line="202" w:lineRule="exact"/>
        <w:rPr>
          <w:sz w:val="20"/>
          <w:szCs w:val="20"/>
          <w:color w:val="auto"/>
        </w:rPr>
      </w:pPr>
    </w:p>
    <w:p>
      <w:pPr>
        <w:jc w:val="both"/>
        <w:ind w:left="340" w:right="559" w:firstLine="373"/>
        <w:spacing w:after="0" w:line="197" w:lineRule="auto"/>
        <w:rPr>
          <w:sz w:val="20"/>
          <w:szCs w:val="20"/>
          <w:color w:val="auto"/>
        </w:rPr>
      </w:pPr>
      <w:r>
        <w:rPr>
          <w:rFonts w:ascii="Arial" w:cs="Arial" w:eastAsia="Arial" w:hAnsi="Arial"/>
          <w:sz w:val="16"/>
          <w:szCs w:val="16"/>
          <w:i w:val="1"/>
          <w:iCs w:val="1"/>
          <w:color w:val="auto"/>
        </w:rPr>
        <w:t>Peterbilt</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Peterbilt Motors Company. PACCAR</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PACCAR, Inc. GMC</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General Motors Corporation. Hino</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Hino Motors, Ltd. UD</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UD Truck North America, Ltd. Isuzu</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Isuzu Motors Limited. John Deere</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Deere &amp; Company. Kenworth</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PACCAR, Inc. doing business as Kenworth Truck Company. Volvo</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Volvo Trademark Holding AB. Freightliner</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Freightliner Corporation. Mack</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Mack Trucks, Inc. Navistar</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Navistar International Corporation. Caterpillar</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Caterpillar, Inc. PacLease</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PACCAR Leasing Corporation. CitiCapital</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Citicorp. Ford</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Ford Motor Company. Cummins</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Cummins Intellectual Property, Inc. Eaton</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Eaton Corporation. Arvin Meritor</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Meritor Technology, Inc. Case</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Case Corporation. Komatsu</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Kabushiki Kaisha Komatsu Seisakusho Corporation Japan. The CIT Group</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CIT Group Holdings, Inc. JPMorgan Chase</w:t>
      </w:r>
      <w:r>
        <w:rPr>
          <w:rFonts w:ascii="Arial" w:cs="Arial" w:eastAsia="Arial" w:hAnsi="Arial"/>
          <w:sz w:val="23"/>
          <w:szCs w:val="23"/>
          <w:i w:val="1"/>
          <w:iCs w:val="1"/>
          <w:color w:val="auto"/>
          <w:vertAlign w:val="superscript"/>
        </w:rPr>
        <w:t>®</w:t>
      </w:r>
      <w:r>
        <w:rPr>
          <w:rFonts w:ascii="Arial" w:cs="Arial" w:eastAsia="Arial" w:hAnsi="Arial"/>
          <w:sz w:val="16"/>
          <w:szCs w:val="16"/>
          <w:i w:val="1"/>
          <w:iCs w:val="1"/>
          <w:color w:val="auto"/>
        </w:rPr>
        <w:t xml:space="preserve"> is a registered trademark of JP Morgan Chase</w:t>
      </w:r>
    </w:p>
    <w:p>
      <w:pPr>
        <w:spacing w:after="0" w:line="4" w:lineRule="exact"/>
        <w:rPr>
          <w:sz w:val="20"/>
          <w:szCs w:val="20"/>
          <w:color w:val="auto"/>
        </w:rPr>
      </w:pPr>
    </w:p>
    <w:p>
      <w:pPr>
        <w:jc w:val="both"/>
        <w:ind w:left="340" w:right="559" w:hanging="8"/>
        <w:spacing w:after="0" w:line="192" w:lineRule="auto"/>
        <w:tabs>
          <w:tab w:leader="none" w:pos="572"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 SAP</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SAP Aktiengesellschaft. International</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Navistar International Transportation Corp. Blue Bird</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Blue Bird Investment Corporation. Autocar</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Shem, LLC. IC Bus</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IC Bus, LLC. Collins Bus Corporation</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Collins Bus Corporation. Fuso</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Mitsubishi Fuso Truck and Bus Corporation. Workhorse</w:t>
      </w:r>
      <w:r>
        <w:rPr>
          <w:rFonts w:ascii="Arial" w:cs="Arial" w:eastAsia="Arial" w:hAnsi="Arial"/>
          <w:sz w:val="26"/>
          <w:szCs w:val="26"/>
          <w:i w:val="1"/>
          <w:iCs w:val="1"/>
          <w:color w:val="auto"/>
          <w:vertAlign w:val="superscript"/>
        </w:rPr>
        <w:t>®</w:t>
      </w:r>
      <w:r>
        <w:rPr>
          <w:rFonts w:ascii="Arial" w:cs="Arial" w:eastAsia="Arial" w:hAnsi="Arial"/>
          <w:sz w:val="18"/>
          <w:szCs w:val="18"/>
          <w:i w:val="1"/>
          <w:iCs w:val="1"/>
          <w:color w:val="auto"/>
        </w:rPr>
        <w:t xml:space="preserve"> is a registered trademark of Workhorse Custom Chassis, LLC.</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Rush Enterprises, Inc. was incorporated in 1965 under the laws of the State of Texas. The Company operates a Truck segment and conducts business through numerous subsidiaries, all of which it wholly owns, directly or indirectly. Its principal offices are located at 555 IH 35 South, New Braunfels, Texas 78130.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a full-service, integrated retailer of premium transportation and construction equipment and related services. The Truck segment operates a regional network of Rush Truck Centers. Rush Truck Centers primarily sell commercial vehicles manufactured by Peterbilt, International, Hino, UD, Ford, Isuzu, Mitsubishi Fuso, IC Bus or Blue Bird. Through its strategically located network of Rush Truck Centers, the Company provides one-stop service for the needs of its customers, including retail sales of new and used commercial vehicles, aftermarket parts sales, service and repair facilities, and financing, leasing and rental, and insurance products.</w:t>
      </w:r>
    </w:p>
    <w:p>
      <w:pPr>
        <w:spacing w:after="0" w:line="16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Rush Truck Centers are principally located in high traffic areas throughout the southern United States. Since commencing operations as a Peterbilt heavy-duty truck dealer in 1966, the Company has grown to operate more than 60 Rush Truck Centers in Alabama, Arizona, California, Colorado, Florida, Georgia, Idaho, New Mexico, North Carolina, Oklahoma, Oregon, Tennessee, Texas and Utah.</w:t>
      </w:r>
    </w:p>
    <w:p>
      <w:pPr>
        <w:spacing w:after="0" w:line="146"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Our business strategy consists of providing our customers with competitively priced products supported with timely and reliable service through our integrated dealer network. We intend to continue to implement our business strategy, reinforce customer loyalty and remain a market leader by continuing to develop our Rush Truck Centers as we extend our geographic focus through strategic acquisitions of new locations and expansions of our existing facilities and product lines.</w:t>
      </w:r>
    </w:p>
    <w:p>
      <w:pPr>
        <w:spacing w:after="0" w:line="13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Construction Equipment segment will no longer be reported as a separate business segment due to the Company’s decision to sell its John Deere construction equipment business.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Company’s discussion and analysis of its financial condition and results of operations are based on the Company’s consolidated financial statements, which have been prepared in accordance with United States generally accepted accounting principles. The preparation of these consolidated financial statements requires the Company to make estimates and assumptions that affect the reported amounts of assets and liabilities at the date of the consolidated financial statements and the reported amounts of revenues and expenses during the reporting period. Actual results may differ from those estimates. The Company believes the following accounting policies affect its more significant judgments and estimates used in the preparation of its consolidated financial statements.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198"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Inventories are stated at the lower of cost or market value. Cost is determined by specific identification of new and used commercial vehicles and construction equipment inventory and by the first-in, first-out method for tires, parts and accessories. As the market value of our inventory typically declines over time, reserves are established based on historical loss experience and market trends. These reserves are charged to cost of sales and reduce the carrying value of our inventory on hand. An allowance is provided when it is anticipated that cost will exceed net realizable value plus a reasonable profit margin.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Goodwill and other intangible assets that have indefinite lives are not amortized but instead are tested at least annually by reporting unit for impairment, or more frequently when events or changes in circumstances indicate that the asset might be impaired.</w:t>
      </w:r>
    </w:p>
    <w:p>
      <w:pPr>
        <w:spacing w:after="0" w:line="154"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Goodwill is reviewed for impairment utilizing a two-step process. The first step requires the Company to compare the fair value of the reporting unit, which is the same as the segment, to the respective carrying value. The Company considers each of its segments to be a reporting unit for purposes of this analysis. If the fair value of the reporting unit exceeds its carrying value, the goodwill is not considered impaired. If the carrying value is greater than the fair value, there is an indication that an impairment may exist and a second step is required. In the second step of the analysis, the implied fair value of the goodwill is calculated as the excess of the fair value of a reporting unit over the fair values assigned to its assets and liabilities. If the implied fair value of goodwill is less than the carrying value of the reporting unit’s goodwill, the difference is recognized as an impairment loss.</w:t>
      </w:r>
    </w:p>
    <w:p>
      <w:pPr>
        <w:spacing w:after="0" w:line="12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determines the fair value of its reporting units using the discounted cash flow method. The discounted cash flow method uses various assumptions and estimates regarding revenue growth rates, future gross margins, future selling, general and administrative expenses and an estimated weighted average cost of capital. The analysis is based upon available information regarding expected future cash flows of each reporting unit discounted at rates consistent with the cost of capital specific to the reporting unit. This type of analysis contains uncertainties because it requires the Company to make assumptions and to apply judgment regarding its knowledge of its industry, information provided by industry analysts, and its current business strategy in light of present industry and economic conditions. If any of these assumptions change, or fails to materialize, the resulting decline in its estimated fair value could result in a material impairment charge to the goodwill associated with the reporting unit.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performs an annual impairment review of goodwill during the fourth quarter of each year. Management is not aware of any impairment charge that may currently be required; however, a change in economic conditions, if one occurs, could result in an impairment charge in future periods.</w:t>
      </w:r>
    </w:p>
    <w:p>
      <w:pPr>
        <w:spacing w:after="0" w:line="154"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The Company does not believe there is a reasonable likelihood that there will be a material change in the future estimates or assumptions it used to test for impairment losses on goodwill. However, if actual results are not consistent with our estimates or assumptions, or certain events occur that might adversely affect the reported value of goodwill in the future, the Company may be exposed to an impairment charge that could be material. Such events may include, but are not limited to, strategic decisions made in response to economic and competitive conditions or the impact of the current economic environment.</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and Insurance Revenue Recognition</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Finance income related to the sale of a unit is recognized when the finance contract is sold to a finance company. The Company arranges financing for customers through various institutions and receives financing fees from the lender equal to either the difference between the interest rates charged to customers over the predetermined interest rates set by the financing institution or a commission for the placement of contracts. The Company also receives commissions from the sale of various insurance products to customers.</w:t>
      </w:r>
    </w:p>
    <w:p>
      <w:pPr>
        <w:spacing w:after="0" w:line="161"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Company may be charged back for unearned financing or insurance contract fees in the event of early termination of the contracts by customers. In the case of finance contracts, a customer may prepay, or fail to pay, thereby terminating the underlying contract. Revenues from these fees are recorded at the time of the sale of a unit and a reserve for future amounts which might be charged back is established based on historical chargeback results and the termination provisions of the applicable contracts, including the impact of refinance and default rates on retail finance contracts and cancellation rates on other insurance products. The Company’s finance and insurance revenue recognition accounting methodology contains uncertainties because it requires management to make assumptions and to apply judgment to estimate future charge-backs. The Company’s estimate of future charge-backs is based primarily on historical experience. The actual amount of historical charge-backs has not been significantly different than the Company’s estimates.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Accruals</w:t>
      </w:r>
    </w:p>
    <w:p>
      <w:pPr>
        <w:spacing w:after="0" w:line="185"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The Company is partially self-insured for a portion of the claims related to its property and casualty insurance programs, requiring it to make estimates regarding expected losses to be incurred. The Company engages a third party administrator to assess any open claims and the Company adjusts its accrual accordingly on an annual basis. The Company is also partially self-insured for a portion of the claims related to its worker’s compensation and medical insurance programs. The Company uses actuarial information provided from third party administrators to calculate an accrual for claims incurred, but not reported, and for the remaining portion of claims that have been reported.</w:t>
      </w:r>
    </w:p>
    <w:p>
      <w:pPr>
        <w:spacing w:after="0" w:line="151"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Changes in the frequency, severity, and development of existing claims could influence the Company’s reserve for claims and financial position, results of operations and cash flows. The Company does not believe there is a reasonable likelihood that there will be a material change in the estimates or assumptions it used to calculate its self-insured liabilities. However, if actual results are not consistent with our estimates or assumptions, the Company may be exposed to losses or gains that could be material.</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Accounting for Income Taxes</w:t>
      </w:r>
    </w:p>
    <w:p>
      <w:pPr>
        <w:spacing w:after="0" w:line="185"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Significant management judgment is required to determine the provisions for income taxes and to determine whether deferred tax assets will be realized in full or in part. Deferred income tax assets and liabilities are measured using enacted tax rates expected to apply to taxable income in the years in which those temporary differences are expected to be recovered or settled. When it is more likely than not that all or some portion of specific deferred income tax assets will not be realized, a valuation allowance must be established for the amount of deferred income tax assets that are determined not to be realizable. Accordingly, the facts and financial circumstances impacting state deferred income tax assets are reviewed quarterly and management’s judgment is applied to determine the amount of valuation allowance required, if any, in any given period.</w:t>
      </w:r>
    </w:p>
    <w:p>
      <w:pPr>
        <w:spacing w:after="0" w:line="140"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The Company’s income tax returns are periodically audited by tax authorities. These audits include questions regarding our tax filing positions, including the timing and amount of deductions. In evaluating the exposures associated with the Company’s various tax filing positions, the Company adjusts its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Company’s liability for unrecognized tax benefits contains uncertainties because management is required to make assumptions and to apply judgment to estimate the exposures associated with its various filing positions. The Company’s effective income tax rate is also affected by changes in tax law, the level of earnings and the results of tax audits. Although the Company believes that the judgments and estimates are reasonable, actual results could differ, and the Company may be exposed to losses or gains that could be material. An unfavorable tax settlement generally would require use of the Company’s cash and result in an increase in its effective income tax rate in the period of resolution. A favorable tax settlement would be recognized as a reduction in the Company’s effective income tax rate in the period of resolution. The Company’s income tax expense includes the impact of reserve provisions and changes to reserves that it considers appropriate, as well as related interest.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 Expense</w:t>
      </w:r>
    </w:p>
    <w:p>
      <w:pPr>
        <w:spacing w:after="0" w:line="185"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applies the provisions of ASC 718-10, “Compensation — Stock Compensation,” which requires the measurement and recognition of compensation expense for all share-based payment awards made to employees and directors including grants of employee stock options and restricted stock and employee stock purchases under the Employee Stock Purchase Plan based on estimated fair values.</w:t>
      </w:r>
    </w:p>
    <w:p>
      <w:pPr>
        <w:spacing w:after="0" w:line="146"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uses the Black-Scholes option-pricing model to estimate the fair value of share-based payment awards on the date of grant. The value of the portion of the award that is ultimately expected to vest is recognized as expense over the requisite service periods in the Company’s Consolidated Statement of Operations.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340" w:right="559" w:firstLine="373"/>
        <w:spacing w:after="0" w:line="277" w:lineRule="auto"/>
        <w:rPr>
          <w:sz w:val="20"/>
          <w:szCs w:val="20"/>
          <w:color w:val="auto"/>
        </w:rPr>
      </w:pPr>
      <w:r>
        <w:rPr>
          <w:rFonts w:ascii="Arial" w:cs="Arial" w:eastAsia="Arial" w:hAnsi="Arial"/>
          <w:sz w:val="18"/>
          <w:szCs w:val="18"/>
          <w:color w:val="auto"/>
        </w:rPr>
        <w:t>The following discussion and analysis includes the Company’s historical results of operations for the three months and six months ended June 30, 2010 and 2009.</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for the periods indicated certain financial data as a percentage of total revenues: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2740" w:type="dxa"/>
            <w:vAlign w:val="bottom"/>
            <w:gridSpan w:val="5"/>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4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4180" w:type="dxa"/>
            <w:vAlign w:val="bottom"/>
          </w:tcPr>
          <w:p>
            <w:pPr>
              <w:spacing w:after="0"/>
              <w:rPr>
                <w:sz w:val="20"/>
                <w:szCs w:val="20"/>
                <w:color w:val="auto"/>
              </w:rPr>
            </w:pPr>
          </w:p>
        </w:tc>
        <w:tc>
          <w:tcPr>
            <w:tcW w:w="15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18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480" w:type="dxa"/>
            <w:vAlign w:val="bottom"/>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New and used truck sales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61.9%</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Parts and service</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32.6</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32.8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Construction equipment sales</w:t>
            </w:r>
          </w:p>
        </w:tc>
        <w:tc>
          <w:tcPr>
            <w:tcW w:w="15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Lease and rental</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4.4</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Finance and insurance</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0.7</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7"/>
        </w:trPr>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Cost of products sold</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83.3</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79.8</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82.4</w:t>
            </w:r>
          </w:p>
        </w:tc>
      </w:tr>
      <w:tr>
        <w:trPr>
          <w:trHeight w:val="27"/>
        </w:trPr>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16.7</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16.1</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r>
      <w:tr>
        <w:trPr>
          <w:trHeight w:val="27"/>
        </w:trPr>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(0.9)</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Interest expense, net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02"/>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continuing operations before income</w:t>
            </w: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4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r>
      <w:tr>
        <w:trPr>
          <w:trHeight w:val="27"/>
        </w:trPr>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41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4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following table sets forth the unit sales and revenue for new heavy-duty, new medium-duty and used trucks and the absorption rate for the periods indicated (revenue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2"/>
              </w:rPr>
              <w:t>Three Months Ended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6"/>
              </w:rPr>
              <w:t>Six Months Ended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58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2010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2009</w:t>
            </w:r>
          </w:p>
        </w:tc>
        <w:tc>
          <w:tcPr>
            <w:tcW w:w="400" w:type="dxa"/>
            <w:vAlign w:val="bottom"/>
          </w:tcPr>
          <w:p>
            <w:pPr>
              <w:spacing w:after="0"/>
              <w:rPr>
                <w:sz w:val="18"/>
                <w:szCs w:val="18"/>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Change</w:t>
            </w: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2010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2009</w:t>
            </w:r>
          </w:p>
        </w:tc>
        <w:tc>
          <w:tcPr>
            <w:tcW w:w="4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Truck unit sales: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954</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1,782</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1,986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1,439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600" w:type="dxa"/>
            <w:vAlign w:val="bottom"/>
            <w:vMerge w:val="restart"/>
          </w:tcPr>
          <w:p>
            <w:pPr>
              <w:ind w:left="200"/>
              <w:spacing w:after="0"/>
              <w:rPr>
                <w:sz w:val="20"/>
                <w:szCs w:val="20"/>
                <w:color w:val="auto"/>
              </w:rPr>
            </w:pPr>
            <w:r>
              <w:rPr>
                <w:rFonts w:ascii="Arial" w:cs="Arial" w:eastAsia="Arial" w:hAnsi="Arial"/>
                <w:sz w:val="18"/>
                <w:szCs w:val="18"/>
                <w:color w:val="auto"/>
              </w:rPr>
              <w:t>Total new truck unit sales</w:t>
            </w: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1,641</w:t>
            </w: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1,592</w:t>
            </w:r>
          </w:p>
        </w:tc>
        <w:tc>
          <w:tcPr>
            <w:tcW w:w="400" w:type="dxa"/>
            <w:vAlign w:val="bottom"/>
            <w:vMerge w:val="continue"/>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3,221</w:t>
            </w:r>
          </w:p>
        </w:tc>
        <w:tc>
          <w:tcPr>
            <w:tcW w:w="4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3,378</w:t>
            </w:r>
          </w:p>
        </w:tc>
        <w:tc>
          <w:tcPr>
            <w:tcW w:w="420" w:type="dxa"/>
            <w:vAlign w:val="bottom"/>
            <w:vMerge w:val="continue"/>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Used truck unit sales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776</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Truck revenue: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New heavy-duty trucks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116.3</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222.9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New medium-duty trucks</w:t>
            </w: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50.3</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40.7</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new truck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157.0</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329.8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color w:val="auto"/>
              </w:rPr>
              <w:t>Used truck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35.5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29.8</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60.1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52.5</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r>
              <w:rPr>
                <w:rFonts w:ascii="Arial" w:cs="Arial" w:eastAsia="Arial" w:hAnsi="Arial"/>
                <w:sz w:val="15"/>
                <w:szCs w:val="15"/>
                <w:color w:val="auto"/>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432"/>
        </w:trPr>
        <w:tc>
          <w:tcPr>
            <w:tcW w:w="2600" w:type="dxa"/>
            <w:vAlign w:val="bottom"/>
          </w:tcPr>
          <w:p>
            <w:pPr>
              <w:spacing w:after="0"/>
              <w:rPr>
                <w:sz w:val="20"/>
                <w:szCs w:val="20"/>
                <w:color w:val="auto"/>
              </w:rPr>
            </w:pPr>
            <w:r>
              <w:rPr>
                <w:rFonts w:ascii="Arial" w:cs="Arial" w:eastAsia="Arial" w:hAnsi="Arial"/>
                <w:sz w:val="18"/>
                <w:szCs w:val="18"/>
                <w:b w:val="1"/>
                <w:bCs w:val="1"/>
                <w:color w:val="auto"/>
              </w:rPr>
              <w:t>Absorption rate:</w:t>
            </w:r>
          </w:p>
        </w:tc>
        <w:tc>
          <w:tcPr>
            <w:tcW w:w="120" w:type="dxa"/>
            <w:vAlign w:val="bottom"/>
          </w:tcPr>
          <w:p>
            <w:pPr>
              <w:spacing w:after="0"/>
              <w:rPr>
                <w:sz w:val="24"/>
                <w:szCs w:val="24"/>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104.3%</w:t>
            </w:r>
          </w:p>
        </w:tc>
        <w:tc>
          <w:tcPr>
            <w:tcW w:w="1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95.2%</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24"/>
                <w:szCs w:val="24"/>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14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96.2%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sales of truck bodies, trailers and other new equipment.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Performance Indicator</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Absorption Rate</w:t>
      </w:r>
    </w:p>
    <w:p>
      <w:pPr>
        <w:spacing w:after="0" w:line="185"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Management uses several performance metrics to evaluate the performance of its commercial vehicle dealerships, and considers Rush Truck Centers’ “absorption rate” to be of critical importance. Absorption rate is calculated by dividing the gross profit from the parts, service and body shop departments by the overhead expenses of all of a dealership’s departments, except for the selling expenses of the new and used commercial vehicle departments and carrying costs of new and used commercial vehicle inventory. When 100% absorption is achieved, then gross profit from the sale of a commercial vehicle, after sales commissions and inventory carrying costs, directly impacts operating profit. In 1999, the Company’s truck dealerships’ absorption rate was approximately 80%. The Company has made a concerted effort to increase its absorption rate since 1999. The Company’s truck dealerships achieved a 104.3% absorption rate for the second quarter of 2010 and 95.2% absorption rate for the second quarter in 2009.</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June 30, 2010, Compared to Three Months Ended June 30, 2009</w:t>
      </w:r>
    </w:p>
    <w:p>
      <w:pPr>
        <w:spacing w:after="0" w:line="202"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As expected, retail sales of new heavy- and medium-duty trucks remained sluggish throughout the second quarter, as fleets remain hesitant to take delivery of new trucks. Additionally, higher priced 2010 emissions-compliant engines are now the only engines available in most new trucks, and demand is limited as few fleets want to be among the first to adopt the new technology. The used truck market continued to improve in the second quarter due to an undersupply of used trucks as a result of depressed new truck sales in recent years. Truck dealership parts, service and body shop operations have accelerated, with revenues increasing in the second quarter of 2010 by 21.1% compared to the second quarter of 2009. The Company expects parts, service and body shop operations to remain at current levels throughout the year. According to A.C.T. Research Co., LLC (“A.C.T. Research”), a truck industry data and forecasting service provider, the average age of truck fleets remains the highest in history. Because of the aging fleet, the Company believes that the demand for maintenance will remain strong.</w:t>
      </w:r>
    </w:p>
    <w:p>
      <w:pPr>
        <w:spacing w:after="0" w:line="12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and industry analysts expect a strong recovery in commercial vehicle retail sales in 2011, 2012 and 2013. A.C.T. Research currently predicts U.S. retail sales of Class 8 trucks of approximately 108,300 units in 2010, an 11.7% increase from the number of deliveries in 2009, and 178,000 units in 2011. A.C.T. Research currently predicts U.S. retail sales of Class 4, 5, 6, and 7 medium-duty commercial vehicles of approximately 115,500 units in 2010, a 3.7% increase from the number of deliveries in 2009, and 144,000 units in 2011.</w:t>
      </w:r>
    </w:p>
    <w:p>
      <w:pPr>
        <w:spacing w:after="0" w:line="148"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As excess truck capacity and freight demand have equalized, more trucks have been put into service, which is increasing the need for maintenance and repair. The Company is optimistic that the increase in our parts and service operations is an indicator that a sustainable recovery has begun and should continue throughout the year. The Company believes that overall parts, service and body shop revenues should remain at the same levels seen in the second quarter throughout the remainder of 2010.</w:t>
      </w:r>
    </w:p>
    <w:p>
      <w:pPr>
        <w:spacing w:after="0" w:line="127" w:lineRule="exact"/>
        <w:rPr>
          <w:sz w:val="20"/>
          <w:szCs w:val="20"/>
          <w:color w:val="auto"/>
        </w:rPr>
      </w:pPr>
    </w:p>
    <w:p>
      <w:pPr>
        <w:jc w:val="both"/>
        <w:ind w:left="340" w:right="559" w:firstLine="373"/>
        <w:spacing w:after="0" w:line="273" w:lineRule="auto"/>
        <w:rPr>
          <w:sz w:val="20"/>
          <w:szCs w:val="20"/>
          <w:color w:val="auto"/>
        </w:rPr>
      </w:pPr>
      <w:r>
        <w:rPr>
          <w:rFonts w:ascii="Arial" w:cs="Arial" w:eastAsia="Arial" w:hAnsi="Arial"/>
          <w:sz w:val="17"/>
          <w:szCs w:val="17"/>
          <w:color w:val="auto"/>
        </w:rPr>
        <w:t>On June 18, 2010, the Company announced that it entered into a definitive agreement to sell the assets of its John Deere construction equipment business, including its Rush Equipment Centers in Houston and Beaumont, Texas, to Doggett Heavy Machinery Services, LLC. The total purchase price for the Rush Equipment Centers is estimated to be approximately $37.0 million. The transaction, which is subject to customary closing conditions, including approval by John Deere, is expected to close in the third or fourth quarter of 2010. As a result of this announcement, the results of the Company’s construction equipment business are being reported as income from discontinued operations.</w:t>
      </w:r>
    </w:p>
    <w:p>
      <w:pPr>
        <w:spacing w:after="0" w:line="138"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previously announced that on May 24, 2010 it acquired certain assets of Lake City International. Lake City International operated a commercial truck and bus sales, service, parts, finance and leasing business representing multiple brands. The acquisition expanded the Company’s contiguous network of Rush Truck Centers to 60 locations in 14 states. The newly acquired dealerships include five locations in Utah, five locations in Idaho and one location in Oregon. These locations are operating as Rush Truck Centers that offer a combination of International heavy- and medium-duty trucks, Autocar trucks, Mitsubishi Fuso medium-duty trucks, IC buses and Workhorse chassis in addition to parts, service, body shop, financing and insurance capabilities. Rush Truck Leasing will operate Idealease truck rental and leasing franchises at existing locations in Salt Lake City, Utah, and Boise, Idaho.</w:t>
      </w:r>
    </w:p>
    <w:p>
      <w:pPr>
        <w:spacing w:after="0" w:line="13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During the second quarter of 2009, General Motors made the decision to terminate its medium-duty GMC truck production and wind-down the Company’s medium-duty GMC truck franchises, which forced the Company to take a $6.7 million pre-tax asset impairment charge. The impairment charge was offset by $1.8 million in assistance from General Motors, which was recorded as a receivable from General Motors. This impairment charge resulted in a net charge to cost of sales of $4.0 million, a net charge to SG&amp;A expense of $0.1 million and a charge to amortization expense of $0.8 million during the second quarter of 2009. During the third and fourth quarters of 2009, the Company adjusted the estimated impairment charge related to the medium-duty GMC truck and parts inventories, which resulted in a net credit to cost of sales of $1.9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Revenues increased $27.3 million, or 9.0%, in the second quarter of 2010, compared to the second quarter of 2009. Sales of new and used trucks increased $4.2 million, or 2.2%, in the second quarter of 2010, compared to the second quarter of 2009. General economic conditions, the unavailability of credit to certain buyers and reluctance of fleets to purchase new diesel engine technology continue to limit demand for new trucks.</w:t>
      </w:r>
    </w:p>
    <w:p>
      <w:pPr>
        <w:spacing w:after="0" w:line="146"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The Company sold 813 heavy-duty trucks in the second quarter of 2010, a 14.8% decrease compared to 954 heavy-duty trucks in the second quarter of 2009. According to A.C.T. Research, the U.S. Class 8 truck market increased 10.0% in the second quarter of 2010 compared to the second quarter of 2009. The Company’s share of the U.S. Class 8 truck sales market was approximately 4.1% in 2009. Some of the Company’s fleet customers chose to delay purchases of heavy-duty trucks, which contributed to the decrease in the Company’s heavy-duty truck sales during the second quarter of 2010 relative to 2009 and the overall market. The Company expects its share to range between 3.7% and 4.1% of the U.S. Class 8 truck market in 2010, which would result in the sale of approximately 4,000 to 4,400 Class 8 trucks based on current U.S. retail sales estimates of 108,300 units.</w:t>
      </w:r>
    </w:p>
    <w:p>
      <w:pPr>
        <w:spacing w:after="0" w:line="152"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sold 828 medium-duty commercial vehicles, including 105 buses, in the second quarter of 2010, a 29.8% increase compared to 638 medium-duty commercial vehicles in the second quarter of 2009. A.C.T. Research estimates that unit sales of Class 4 through 7 commercial vehicles in the U.S. increased approximately 11.0% in the second quarter of 2010 compared to the second quarter of 2009. In 2009, the Company achieved a 2.4% share of the Class 4 through 7 commercial vehicle sales market in the U.S. The Company expects its share to range between 2.4% and 2.5% of the U.S. Class 4 through 7 commercial vehicle sales market in 2010. This market share percentage would result in the sale of approximately 2,700 to 2,900 of Class 4 through 7 commercial vehicles in 2010 based on current U.S. retail sales estimates of approximately 115,500 units.</w:t>
      </w:r>
    </w:p>
    <w:p>
      <w:pPr>
        <w:spacing w:after="0" w:line="140"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The Company sold 889 used commercial vehicles in the second quarter of 2010, a 14.6% increase compared to 776 used commercial vehicles in the second quarter of 2009. The Company expects demand for used commercial vehicles to remain high in 2010, but sales will be largely dependent upon our ability to acquire quality used trucks and maintain an adequate used truck inventory. The Company expects to sell approximately 3,100 to 3,400 used commercial vehicles in 2010.</w:t>
      </w:r>
    </w:p>
    <w:p>
      <w:pPr>
        <w:spacing w:after="0" w:line="114"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Parts and service sales increased $19.8 million, or 20.1%, in the second quarter of 2010 compared to the second quarter of 2009. The Company’s acquisition of Lake City International contributed $3.9 million of the increase. The Company expects parts and service sales to remain strong during the remainder of the year. As excess truck capacity equalizes with freight demand, more trucks that had been put out of service are being put back into service and trucks are driving more miles, which increases the need for maintenance and repair.</w:t>
      </w:r>
    </w:p>
    <w:p>
      <w:pPr>
        <w:spacing w:after="0" w:line="14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Truck lease and rental revenues increased $3.0 million, or 22.8%, in the second quarter of 2010 compared to the second quarter of 2009. The Company’s acquisition of Lake City International contributed $1.0 million of the increase. The remainder of the increase in lease and rental revenue is consistent with management’s expectations, which are based upon the increased number of units put into service in the lease and rental fleet during 2009 and 2010 and increasing rental fleet utilization. The Company expects lease and rental revenue to increase 8% to 12% during 2010, compared to 2009 based on the increase of units in the lease and rental fleet.</w:t>
      </w:r>
    </w:p>
    <w:p>
      <w:pPr>
        <w:spacing w:after="0" w:line="166"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Finance and insurance revenues decreased $0.2 million, or 8.2%, in the second quarter of 2010 compared to the second quarter of 2009. The decrease in finance and insurance revenue is a direct result of the decline in new Class 8 truck sales. The Company expects finance and insurance revenue to fluctuate proportionately with the Company’s new Class 8 truck sales in 2010. Finance and insurance revenues have limited direct costs and, therefore, contribute a disproportionate share of the Company’s operating profits.</w:t>
      </w:r>
    </w:p>
    <w:p>
      <w:pPr>
        <w:spacing w:after="0" w:line="14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income increased $0.5 million, or 36.5% in the second quarter of 2010 compared to the second quarter of 2009. Other income consists primarily of the gain on sale realized on trucks from the lease and rental fleet, document fees related to commercial vehicle sales, mineral royalties and purchase discounts.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98"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Gross profit increased $18.6 million, or 36.8%, in the second quarter of 2010 compared to the second quarter of 2009. Gross profit as a percentage of sales increased to 21.0% in the second quarter of 2010 from 16.7% in the second quarter of 2009. This increase in gross profit as a percentage of sales is primarily a result of a change in our product sales mix. Commercial vehicle sales, a lower margin revenue item, decreased as a percentage of total revenue to 58.0% in 2010, from 61.9% in 2009. Parts and service revenue, a higher margin revenue item, increased as a percentage of total revenue to 36.0% in 2010, from 32.6% in 2009.</w:t>
      </w:r>
    </w:p>
    <w:p>
      <w:pPr>
        <w:spacing w:after="0" w:line="153"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Gross margins on Class 8 truck sales increased to 8.1% in the second quarter of 2010 from 5.1% in the second quarter of 2009. Gross margins on Class 8 truck sales during the second quarter of 2010 increased relative to 2009 because of a customer mix that included fewer large fleets. In 2010, the Company expects overall gross margins from Class 8 truck sales of approximately 6.0% to 8.0%, depending upon the mix of customer base and products sold.</w:t>
      </w:r>
    </w:p>
    <w:p>
      <w:pPr>
        <w:spacing w:after="0" w:line="131"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Gross margins on medium-duty commercial vehicle sales increased to 5.6% in the second quarter of 2010 from (1.6%) in the second quarter of 2009. The gross margins during the second quarter of 2009 were impacted by the write-down of new GMC medium-duty truck inventory caused by General Motors’ decision to stop manufacturing GMC medium-duty trucks and wind-down the Company’s GMC medium-duty truck franchise agreements. Gross margins on medium-duty commercial vehicles are difficult to forecast accurately because gross margins vary significantly depending upon the mix of fleet and non-fleet purchasers and types of medium-duty commercial vehicles sold. For 2010, the Company expects overall gross margins from medium-duty commercial vehicle sales of approximately 5.0% to 7.0%, but this will largely depend upon the mix of customer base and products sold.</w:t>
      </w:r>
    </w:p>
    <w:p>
      <w:pPr>
        <w:spacing w:after="0" w:line="16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Gross margins on used commercial vehicle sales increased to 14.7% in the second quarter of 2010 from 6.7% in the second quarter of 2009. This increase was largely attributable to increased demand for high quality used commercial vehicles due to the increased cost of new 2010 emission compliant commercial vehicles. The Company expects margins on used commercial vehicles to return to historical margins of 8.0 to 10.0% in the third and fourth quarters of 2010, which will result in margins of approximately 8.5% to 11.5% for the year.</w:t>
      </w:r>
    </w:p>
    <w:p>
      <w:pPr>
        <w:spacing w:after="0" w:line="148"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Gross margins from the Company’s parts, service and body shop operations increased to 39.1% in the second quarter of 2010 from 38.6% in the second quarter of 2009. Gross profit for the parts, service and body shop departments increased to $46.3 million in the second quarter of 2010 from $38.1 million in the second quarter of 2009. The Company expects gross margins on parts, service and body shop operations of approximately 38.0% to 40.0% during 2010.</w:t>
      </w:r>
    </w:p>
    <w:p>
      <w:pPr>
        <w:spacing w:after="0" w:line="131" w:lineRule="exact"/>
        <w:rPr>
          <w:sz w:val="20"/>
          <w:szCs w:val="20"/>
          <w:color w:val="auto"/>
        </w:rPr>
      </w:pPr>
    </w:p>
    <w:p>
      <w:pPr>
        <w:jc w:val="both"/>
        <w:ind w:left="340" w:right="559" w:firstLine="373"/>
        <w:spacing w:after="0" w:line="254" w:lineRule="auto"/>
        <w:rPr>
          <w:sz w:val="20"/>
          <w:szCs w:val="20"/>
          <w:color w:val="auto"/>
        </w:rPr>
      </w:pPr>
      <w:r>
        <w:rPr>
          <w:rFonts w:ascii="Arial" w:cs="Arial" w:eastAsia="Arial" w:hAnsi="Arial"/>
          <w:sz w:val="18"/>
          <w:szCs w:val="18"/>
          <w:color w:val="auto"/>
        </w:rPr>
        <w:t>Gross margins from truck lease and rental sales increased to 16.2% in the second quarter of 2010 from approximately 12.4% in the second quarter of 2009. The increase in the gross margin from lease and rental sales is primarily due to the increased utilization of trucks in our rental fleet. The Company expects gross margins from lease and rental sales of approximately 12.0% to 16.0% during 2010 primarily depending upon general economic conditions. The Company’s policy is to depreciate its lease and rental fleet using a straight line method over the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6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and other income, as described above, have limited direct costs and, therefore, contribute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85"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Selling, General and Administrative (“SG&amp;A”) expenses increased $6.4 million, or 13.2%, in the second quarter of 2010 compared to the second quarter of 2009. SG&amp;A expenses as a percentage of sales increased to 16.7% in the second quarter of 2010 from 16.1% in the second quarter of 2009. Prior to 2009, SG&amp;A expenses as a percentage of sales historically ranged from 10.0% to 15.0%. In general, when new and used commercial vehicle revenue decreases as a percentage of revenue, SG&amp;A expenses as a percentage of revenue will be at, or exceed, the higher end of this range. The Company earns federal income tax credits on the sale of alternative fuel vehicles to tax-exempt entities. A portion of these tax credits are passed back to the tax-exempt customer and are reflected as SG&amp;A expense to the Company. In the second quarter of 2010, the selling portion of SG&amp;A expenses, which consists primarily of commissions on commercial vehicle and construction equipment sales, increased 11.3% and the general and administrative portion of SG&amp;A expenses increased 13.3% compared to the second quarter of 2009. For 2010, the Company expects the selling portion of SG&amp;A expenses to be approximately 25% to 28% of new and used commercial vehicle gross profit. The selling portion of SG&amp;A expenses varies based on the gross profit derived from commercial vehicle sales. The Company expects SG&amp;A expenses as a percentage of sales to range from 15.5% to 17.0% for the remainder of 2010.</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Net interest expense remained relatively flat in the second quarter of 2010 compared to the second quarter of 2009. The Company expects net interest expense for the remainder of 2010 to increase compared to 2009 based on anticipated increases in inventory levels and impending modification to the Company’s floor plan agreement in the second half of 2010, which will likely result in increased floor plan interest.</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559" w:firstLine="373"/>
        <w:spacing w:after="0" w:line="297" w:lineRule="auto"/>
        <w:rPr>
          <w:sz w:val="20"/>
          <w:szCs w:val="20"/>
          <w:color w:val="auto"/>
        </w:rPr>
      </w:pPr>
      <w:r>
        <w:rPr>
          <w:rFonts w:ascii="Arial" w:cs="Arial" w:eastAsia="Arial" w:hAnsi="Arial"/>
          <w:sz w:val="16"/>
          <w:szCs w:val="16"/>
          <w:color w:val="auto"/>
        </w:rPr>
        <w:t>Income from continuing operations before income taxes increased $13.2 million in the second quarter of 2010 compared to the second quarter of 2009, as a result of the factors described above. During the second quarter of 2009, General Motors made the decision to terminate its medium-duty GMC truck production and wind-down the Company’s medium-duty GMC truck franchises, which forced the Company to take a $6.7 million pre-tax asset impairment charge. The Company believes that income before income taxes in 2010 will increase compared to 2009 based on the factors described above.</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ind w:left="340" w:right="559" w:firstLine="373"/>
        <w:spacing w:after="0" w:line="287" w:lineRule="auto"/>
        <w:rPr>
          <w:sz w:val="20"/>
          <w:szCs w:val="20"/>
          <w:color w:val="auto"/>
        </w:rPr>
      </w:pPr>
      <w:r>
        <w:rPr>
          <w:rFonts w:ascii="Arial" w:cs="Arial" w:eastAsia="Arial" w:hAnsi="Arial"/>
          <w:sz w:val="16"/>
          <w:szCs w:val="16"/>
          <w:color w:val="auto"/>
        </w:rPr>
        <w:t>Income taxes increased $6.1 million in the second quarter of 2010 compared to the second quarter of 2009. The Company provided for taxes at a 42.0% effective rate in the second quarter of 2010 compared to an effective rate of 39.0% in the second quarter of 2009. Prior to the application of alternative fuel tax credits, the Company’s tax rate during the second quarter of 2010 increased primarily due to state regulations that assess taxes based on gross profit and non-deductible expenses. Historically, the Company’s effective tax rate has been approximately 36% to 38% of pretax income. When pretax income is low, state taxes that are calculated based on gross profit and non-deductible expenses become a larger percentage of pretax income, thereby increasing the Company’s effective tax rate in relation to its historical rates. If pretax income for 2010 is similar to pretax income in 2009, the Company expects its effective tax rate to be approximately 40.0% to 42.0% before the application of alternative fuel tax credits. In the second quarter of 2010, the Company received $0.2 million in tax credits for sales of alternative fuel vehicles to tax-exempt entities, compared to $0.9 million in the second quarter of 2009. The Company’s effective tax rate may vary significantly depending on the number of alternative fuel vehicles sold to tax-exempt entities.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Income from discontinued operations, net of income taxes increased to $0.3 million in the second quarter of 2010 from $0.2 million in the second quarter of 2009. Income from discontinued operations includes operating results for the Company’s construction equipment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Six Months Ended June 30, 2010, Compared to Six Months Ended June 30, 2009</w:t>
      </w:r>
    </w:p>
    <w:p>
      <w:pPr>
        <w:spacing w:after="0" w:line="189"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Unless otherwise stated below, the Company’s variance explanations and future expectations with regard to the items discussed in this section are set forth in the discussion of the “Three Months Ended June 30, 2010, Compared to Three Months Ended June 30, 2009.”</w:t>
      </w:r>
    </w:p>
    <w:p>
      <w:pPr>
        <w:spacing w:after="0" w:line="154" w:lineRule="exact"/>
        <w:rPr>
          <w:sz w:val="20"/>
          <w:szCs w:val="20"/>
          <w:color w:val="auto"/>
        </w:rPr>
      </w:pPr>
    </w:p>
    <w:p>
      <w:pPr>
        <w:jc w:val="both"/>
        <w:ind w:left="340" w:right="559" w:firstLine="373"/>
        <w:spacing w:after="0" w:line="342" w:lineRule="auto"/>
        <w:rPr>
          <w:sz w:val="20"/>
          <w:szCs w:val="20"/>
          <w:color w:val="auto"/>
        </w:rPr>
      </w:pPr>
      <w:r>
        <w:rPr>
          <w:rFonts w:ascii="Arial" w:cs="Arial" w:eastAsia="Arial" w:hAnsi="Arial"/>
          <w:sz w:val="16"/>
          <w:szCs w:val="16"/>
          <w:color w:val="auto"/>
        </w:rPr>
        <w:t>Revenues increased $9.1 million, or 1.5%, in the first six months of 2010, compared to the first six months of 2009. Sales of new and used trucks decreased $11.2 million, or 2.9%, in the first six months of 2010, compared to the first six months of 2009.</w:t>
      </w:r>
    </w:p>
    <w:p>
      <w:pPr>
        <w:spacing w:after="0" w:line="83"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 Company sold 1,782 heavy-duty units in the first six months of 2010, a 10.3% decrease compared to 1,986 heavy-duty trucks in the first six months of 2009. According to A.C.T. Research, the U.S. Class 8 truck market increased 12.0% in the first six months of 2010, compared to the first six months of 2009.</w:t>
      </w:r>
    </w:p>
    <w:p>
      <w:pPr>
        <w:spacing w:after="0" w:line="141"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 sold 1,439 medium-duty commercial vehicles, including 202 buses, in the first six months of 2010, a 3.4% increase compared to 1,392 medium-duty commercial vehicles in the first six months of 2009. A.C.T. Research estimates that unit sales of Class 4 through 7 commercial vehicles in the U.S increased approximately 6.0% in the first six months of 2010, compared to the first six months of 2009.</w:t>
      </w:r>
    </w:p>
    <w:p>
      <w:pPr>
        <w:spacing w:after="0" w:line="16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sold 1,575 used commercial vehicles in the first six months of 2010, a 16.4% increase compared to 1,353 used commercial vehicles in the first six months of 2009.</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Parts and service sales increased $16.9 million, or 8.3%, in the first six months of 2010, compared to the first six months of 2009.</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Truck lease and rental revenues increased $3.6 million, or 13.4%, in the first six months of 2010, compared to the first six months of 2009.</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decreased $0.3 million, or 8.8%, in the first six months of 2010, compared to the first six months of 2009.</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Other income increased $0.2 million, or 5.8%, in the first six months of 2010, compared to the first six months of 2009. Other income consists primarily of the gain on sale realized on trucks from the lease and rental fleet, document fees related to commercial vehicle sales, mineral royalties and purchase discounts.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Profit</w:t>
      </w:r>
    </w:p>
    <w:p>
      <w:pPr>
        <w:spacing w:after="0" w:line="185"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profit increased $17.9 million, or 16.4%, in the first six months of 2010, compared to the first six months of 2009. Gross profit as a percentage of sales increased to 20.2% in the first six months of 2010 from 17.6% in the first six months of 2009.</w:t>
      </w:r>
    </w:p>
    <w:p>
      <w:pPr>
        <w:spacing w:after="0" w:line="141"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Class 8 truck sales increased to 7.6% in the first six months of 2010, from 6.1% in the first six months of 2009.</w:t>
      </w:r>
    </w:p>
    <w:p>
      <w:pPr>
        <w:spacing w:after="0" w:line="143"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medium-duty truck sales increased to 5.9% in the first six months of 2010, from 2.8% in the first six months of 2009.</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on used truck sales increased to 14.3% in the first six months of 2010, from 6.3% in the first six months of 2009.</w:t>
      </w:r>
    </w:p>
    <w:p>
      <w:pPr>
        <w:spacing w:after="0" w:line="130"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Gross margins from the Company’s parts, service and body shop operations remained flat at 38.8% in the first six months of 2010 and the first six months of 2009. Gross profit for the parts, service and body shop departments was $85.5 million in the first six months of 2010, compared to $78.9 million in the first six months of 2009.</w:t>
      </w:r>
    </w:p>
    <w:p>
      <w:pPr>
        <w:spacing w:after="0" w:line="154"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Gross margins from truck lease and rental sales increased to 14.6% in the first six months of 2010, from approximately 12.0% in the first six months of 2009.</w:t>
      </w:r>
    </w:p>
    <w:p>
      <w:pPr>
        <w:spacing w:after="0" w:line="130"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Finance and insurance revenues and other income, as described above, has limited direct costs and, therefore, contributes a disproportionate share of gross profit.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SG&amp;A expenses increased $6.4 million, or 6.4%, in the first six months of 2010, compared to the first six months of 2009.</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SG&amp;A expenses as a percentage of sales was 16.7% in the first six months of 2010 and 16.0% in the first six months of 2009.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 Net</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Net interest expense decreased $0.3 million, or 9.0%, in the first six months of 2010, compared to the first six months of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Continuing Operations before Income Taxes</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Income from continuing operations before income taxes increased $13.0 million in the first six months of 2010, compared to the first six months of 2009.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Provision for Income Taxes</w:t>
      </w:r>
    </w:p>
    <w:p>
      <w:pPr>
        <w:spacing w:after="0" w:line="198"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Income taxes increased $6.3 million in the first six months of 2010, compared to the first six months of 2009. The Company provided for taxes at a 42.0% rate in the first six months of 2010, compared to a rate of 39.0% in the first six months of 2009. The tax rate in the first six months of 2010 was offset $0.4 million by tax credits for sales of alternative fuel vehicles to tax-exempt entities.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Discontinued Operations, net</w:t>
      </w:r>
    </w:p>
    <w:p>
      <w:pPr>
        <w:spacing w:after="0" w:line="19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Income from discontinued operations, net of income taxes decreased to $0.6 million in the second quarter of 2010 from $0.7 million in the second quarter of 2009. Income from discontinued operations includes operating results for the Company’s construction equipment business.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Company’s short-term cash requirements are primarily for working capital, inventory financing, the improvement and expansion of existing facilities, the development and implementation of SAP enterprise software and dealership management system, and the construction of new facilities. Historically, these cash requirements have been met through the retention of profits, borrowings under our floor plan arrangements and bank financings. The Company does not expect the absence of cash flows from discontinued operations to materially affect future liquidity and capital resources. As of June 30, 2010, the Company had working capital of approximately $132.7 million, including $135.8 million in cash available to fund our operations. The Company believes that these funds are sufficient to meet its short-term and long-term cash requirements.</w:t>
      </w:r>
    </w:p>
    <w:p>
      <w:pPr>
        <w:spacing w:after="0" w:line="140" w:lineRule="exact"/>
        <w:rPr>
          <w:sz w:val="20"/>
          <w:szCs w:val="20"/>
          <w:color w:val="auto"/>
        </w:rPr>
      </w:pPr>
    </w:p>
    <w:p>
      <w:pPr>
        <w:jc w:val="both"/>
        <w:ind w:left="340" w:right="559" w:firstLine="373"/>
        <w:spacing w:after="0" w:line="312" w:lineRule="auto"/>
        <w:rPr>
          <w:sz w:val="20"/>
          <w:szCs w:val="20"/>
          <w:color w:val="auto"/>
        </w:rPr>
      </w:pPr>
      <w:r>
        <w:rPr>
          <w:rFonts w:ascii="Arial" w:cs="Arial" w:eastAsia="Arial" w:hAnsi="Arial"/>
          <w:sz w:val="16"/>
          <w:szCs w:val="16"/>
          <w:color w:val="auto"/>
        </w:rPr>
        <w:t>The Company has a secured line of credit that provides for a maximum borrowing of $8.0 million. There were no advances outstanding under this secured line of credit at June 30, 2010, however, $7.1 million was pledged to secure various letters of credit related to self-insurance products, leaving $0.9 million available for future borrowings as of June 30, 2010.</w:t>
      </w:r>
    </w:p>
    <w:p>
      <w:pPr>
        <w:spacing w:after="0" w:line="10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The Company’s long-term real estate debt agreements require the Company to satisfy various financial ratios such as the debt to worth ratio and the fixed charge coverage ratio. The Company’s floor plan financing agreement with GE Capital does not contain financial covenants. At June 30, 2010, the Company was in compliance with all debt covenants. The Company does not anticipate any breach of the covenants in the foreseeable future.</w:t>
      </w:r>
    </w:p>
    <w:p>
      <w:pPr>
        <w:spacing w:after="0" w:line="146"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Titan Technology Partners is currently implementing SAP enterprise software and a new SAP dealership management system for the Company. The total cost of the SAP software and implementation is estimated to be approximately $34.0 million. As of June 30, 2010, the Company had cumulative expenditures of $31.7 million related to the SAP project. The Company expects to spend approximately $1.5 million to $2.0 million related to the SAP project during the remainder of 2010.</w:t>
      </w:r>
    </w:p>
    <w:p>
      <w:pPr>
        <w:spacing w:after="0" w:line="127"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also expects to make capital expenditures for recurring items such as computers, shop tools and equipment and vehicles of approximately $6.0 million during the remainder of 2010.</w:t>
      </w:r>
    </w:p>
    <w:p>
      <w:pPr>
        <w:spacing w:after="0" w:line="130" w:lineRule="exact"/>
        <w:rPr>
          <w:sz w:val="20"/>
          <w:szCs w:val="20"/>
          <w:color w:val="auto"/>
        </w:rPr>
      </w:pPr>
    </w:p>
    <w:p>
      <w:pPr>
        <w:jc w:val="both"/>
        <w:ind w:left="340" w:right="559" w:firstLine="373"/>
        <w:spacing w:after="0" w:line="269" w:lineRule="auto"/>
        <w:rPr>
          <w:sz w:val="20"/>
          <w:szCs w:val="20"/>
          <w:color w:val="auto"/>
        </w:rPr>
      </w:pPr>
      <w:r>
        <w:rPr>
          <w:rFonts w:ascii="Arial" w:cs="Arial" w:eastAsia="Arial" w:hAnsi="Arial"/>
          <w:sz w:val="17"/>
          <w:szCs w:val="17"/>
          <w:color w:val="auto"/>
        </w:rPr>
        <w:t>On July 22, 2008, the Company’s Board of Directors approved a stock repurchase program authorizing the Company to repurchase, from time to time, up to an aggregate of $20,000,000 of its shares of Class A common stock and/or Class B common stock. Repurchases will be made at times and in amounts as the Company deems appropriate and will be made through open market transactions, privately negotiated transactions and other lawful means. The manner, timing and amount of any repurchases will be determined by the Company based on an evaluation of market conditions, stock price and other factors, including those related to the ownership requirements of its dealership agreements with manufacturers it represents. The stock repurchase program has no expiration date and may be suspended or discontinued at any time. While the stock repurchase program does not obligate the Company to acquire any particular amount or class of common stock, the Company anticipates that it will be repurchasing primarily shares of its Class B common stock. As of June 30, 2010, the Company has repurchased 1,639,843 shares of its Class B common stock at an aggregate cost of $17.9 million, none of which occurred during the second quarter of 2010.</w:t>
      </w:r>
    </w:p>
    <w:p>
      <w:pPr>
        <w:spacing w:after="0" w:line="142"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 currently anticipates funding its capital expenditures relating to the implementation of the SAP enterprise software and SAP dealership management system, improvement and expansion of existing facilities, construction of new facilities, recurring expenses and any stock repurchases through its operating cash flow. The Company expects to finance 70% to 80% of the appraised value of any newly constructed or purchased facilities, which will increase the Company’s cash and cash equivalents by that amount.</w:t>
      </w:r>
    </w:p>
    <w:p>
      <w:pPr>
        <w:spacing w:after="0" w:line="161"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On June 18, 2010, the Company announced that it had entered into a definitive agreement to sell the assets of its John Deere construction equipment business, including its Rush Equipment Centers in Houston and Beaumont, Texas, to Doggett Heavy Machinery Services, LLC. The total purchase price for the Rush Equipment Centers is estimated to be approximately $37.0 million. The transaction, which is subject to customary closing conditions, is expected to close in the third or fourth quarter of 2010. The Company expects to receive cash of approximately $13.5 to $14.0 million at closing and approximately $4.75 million over four years.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1760" w:firstLine="373"/>
        <w:spacing w:after="0" w:line="257" w:lineRule="auto"/>
        <w:rPr>
          <w:sz w:val="20"/>
          <w:szCs w:val="20"/>
          <w:color w:val="auto"/>
        </w:rPr>
      </w:pPr>
      <w:r>
        <w:rPr>
          <w:rFonts w:ascii="Arial" w:cs="Arial" w:eastAsia="Arial" w:hAnsi="Arial"/>
          <w:sz w:val="18"/>
          <w:szCs w:val="18"/>
          <w:color w:val="auto"/>
        </w:rPr>
        <w:t>The Company has no other material commitments for capital expenditures as of June 30, 2010, except that the Company will continue to purchase vehicles for its lease and rental division and authorize capital expenditures for improvement and expansion of its existing dealership facilities and construction of new facilities based on market opportunities. The Company expects to purchase or lease trucks worth approximately $35.0 million for its leasing operations in 2010, depending on customer demand, all of which will be financed.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jc w:val="both"/>
        <w:ind w:left="340" w:right="1760" w:firstLine="373"/>
        <w:spacing w:after="0" w:line="286" w:lineRule="auto"/>
        <w:rPr>
          <w:sz w:val="20"/>
          <w:szCs w:val="20"/>
          <w:color w:val="auto"/>
        </w:rPr>
      </w:pPr>
      <w:r>
        <w:rPr>
          <w:rFonts w:ascii="Arial" w:cs="Arial" w:eastAsia="Arial" w:hAnsi="Arial"/>
          <w:sz w:val="17"/>
          <w:szCs w:val="17"/>
          <w:color w:val="auto"/>
        </w:rPr>
        <w:t>Cash and cash equivalents decreased by $13.3 million during the six months ended June 30, 2010, and decreased by $25.5 million during the six months ended June 30, 2009. The major components of these changes are discussed below. Cash flows from discontinued operations are included in the components of the statement of cash flows as described below.</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98" w:lineRule="exact"/>
        <w:rPr>
          <w:sz w:val="20"/>
          <w:szCs w:val="20"/>
          <w:color w:val="auto"/>
        </w:rPr>
      </w:pPr>
    </w:p>
    <w:p>
      <w:pPr>
        <w:jc w:val="both"/>
        <w:ind w:left="340" w:right="1760" w:firstLine="373"/>
        <w:spacing w:after="0" w:line="293" w:lineRule="auto"/>
        <w:rPr>
          <w:sz w:val="20"/>
          <w:szCs w:val="20"/>
          <w:color w:val="auto"/>
        </w:rPr>
      </w:pPr>
      <w:r>
        <w:rPr>
          <w:rFonts w:ascii="Arial" w:cs="Arial" w:eastAsia="Arial" w:hAnsi="Arial"/>
          <w:sz w:val="16"/>
          <w:szCs w:val="16"/>
          <w:color w:val="auto"/>
        </w:rPr>
        <w:t>Cash flows from operating activities include net income adjusted for non-cash items and the effects of changes in working capital. During the second quarter of 2010, operating activities resulted in net cash provided by operations of $5.5 million. Cash provided by operating activities was primarily impacted by the increase in inventories and accounts receivable which was offset by the increase in accounts payable and accrued expenses. During the first six months of 2009, operating activities resulted in net cash provided by operations of $78.0 million. Cash provided by operating activities was primarily impacted by the decrease in receivables and inventories which was offset by the decrease in accounts payable and accrued expenses.</w:t>
      </w:r>
    </w:p>
    <w:p>
      <w:pPr>
        <w:spacing w:after="0" w:line="124" w:lineRule="exact"/>
        <w:rPr>
          <w:sz w:val="20"/>
          <w:szCs w:val="20"/>
          <w:color w:val="auto"/>
        </w:rPr>
      </w:pPr>
    </w:p>
    <w:p>
      <w:pPr>
        <w:jc w:val="both"/>
        <w:ind w:left="340" w:right="1760" w:firstLine="373"/>
        <w:spacing w:after="0" w:line="271" w:lineRule="auto"/>
        <w:rPr>
          <w:sz w:val="20"/>
          <w:szCs w:val="20"/>
          <w:color w:val="auto"/>
        </w:rPr>
      </w:pPr>
      <w:r>
        <w:rPr>
          <w:rFonts w:ascii="Arial" w:cs="Arial" w:eastAsia="Arial" w:hAnsi="Arial"/>
          <w:sz w:val="17"/>
          <w:szCs w:val="17"/>
          <w:color w:val="auto"/>
        </w:rPr>
        <w:t>Cash flows from operating activities as adjusted for all draws and (payments) on floor plan notes (“Adjusted Cash Flows from Operating Activities”) was $50.0 million for the six months ended June 30, 2010, and $14.0 million for the six months ended June 30, 2009. Generally, all vehicle and construction equipment dealers finance the purchase of vehicles and construction equipment with floor plan borrowings, and our agreements with our floor plan providers require us to repay amounts borrowed for the purchase of such vehicles and equipment immediately after they are sold. As a result, changes in floor plan notes payable are directly linked to changes in vehicle and construction equipment inventory. However, as reflected in our consolidated statements of cash flows, changes in inventory are recorded as cash flows from operating activities, and draws and (payments) on floor plan notes are recorded as cash flows from financing activities.</w:t>
      </w:r>
    </w:p>
    <w:p>
      <w:pPr>
        <w:spacing w:after="0" w:line="138" w:lineRule="exact"/>
        <w:rPr>
          <w:sz w:val="20"/>
          <w:szCs w:val="20"/>
          <w:color w:val="auto"/>
        </w:rPr>
      </w:pPr>
    </w:p>
    <w:p>
      <w:pPr>
        <w:jc w:val="both"/>
        <w:ind w:left="340" w:right="1760" w:firstLine="373"/>
        <w:spacing w:after="0" w:line="259" w:lineRule="auto"/>
        <w:rPr>
          <w:sz w:val="20"/>
          <w:szCs w:val="20"/>
          <w:color w:val="auto"/>
        </w:rPr>
      </w:pPr>
      <w:r>
        <w:rPr>
          <w:rFonts w:ascii="Arial" w:cs="Arial" w:eastAsia="Arial" w:hAnsi="Arial"/>
          <w:sz w:val="18"/>
          <w:szCs w:val="18"/>
          <w:color w:val="auto"/>
        </w:rPr>
        <w:t>Management believes that information about Adjusted Cash Flows from Operating Activities provides investors with a relevant measure of liquidity and a useful basis for assessing the Company’s ability to fund its activities and obligations from operating activities. Floor plan notes payable is classified as a current liability and, therefore, is included in the working capital amounts discussed above.</w:t>
      </w:r>
    </w:p>
    <w:p>
      <w:pPr>
        <w:spacing w:after="0" w:line="160" w:lineRule="exact"/>
        <w:rPr>
          <w:sz w:val="20"/>
          <w:szCs w:val="20"/>
          <w:color w:val="auto"/>
        </w:rPr>
      </w:pPr>
    </w:p>
    <w:p>
      <w:pPr>
        <w:jc w:val="both"/>
        <w:ind w:left="340" w:right="1760" w:firstLine="373"/>
        <w:spacing w:after="0" w:line="273" w:lineRule="auto"/>
        <w:rPr>
          <w:sz w:val="20"/>
          <w:szCs w:val="20"/>
          <w:color w:val="auto"/>
        </w:rPr>
      </w:pPr>
      <w:r>
        <w:rPr>
          <w:rFonts w:ascii="Arial" w:cs="Arial" w:eastAsia="Arial" w:hAnsi="Arial"/>
          <w:sz w:val="17"/>
          <w:szCs w:val="17"/>
          <w:color w:val="auto"/>
        </w:rPr>
        <w:t>Adjusted Cash Flows from Operating Activities is a non-GAAP financial measure and should be considered in addition to, and not as a substitute for, cash flows from operating activities as reported in our consolidated statements of cash flows in accordance with U.S. GAAP. Additionally, this measure may vary among other companies; thus, Adjusted Cash Flows from Operating Activities as presented herein may not be comparable to similarly titled non-GAAP financial measures of other companies. Set forth below is a reconciliation of cash flow from operating activities as reported in our consolidated statement of cash flows, as if all changes in floor plan notes payable were classified as an operating activity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600"/>
              <w:spacing w:after="0"/>
              <w:rPr>
                <w:sz w:val="20"/>
                <w:szCs w:val="20"/>
                <w:color w:val="auto"/>
              </w:rPr>
            </w:pPr>
            <w:r>
              <w:rPr>
                <w:rFonts w:ascii="Arial" w:cs="Arial" w:eastAsia="Arial" w:hAnsi="Arial"/>
                <w:sz w:val="18"/>
                <w:szCs w:val="18"/>
                <w:color w:val="auto"/>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(GAAP)</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77,995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(Draws) payments on floor plan notes payable</w:t>
            </w:r>
          </w:p>
        </w:tc>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44,504</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(64,022)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Adjusted Cash Flows from Operating Activities (Non-GAAP)</w:t>
            </w:r>
          </w:p>
        </w:tc>
        <w:tc>
          <w:tcPr>
            <w:tcW w:w="2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49,990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13,973</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40" w:type="dxa"/>
            <w:vAlign w:val="bottom"/>
            <w:vMerge w:val="restart"/>
          </w:tcPr>
          <w:p>
            <w:pPr>
              <w:jc w:val="right"/>
              <w:ind w:right="2030"/>
              <w:spacing w:after="0"/>
              <w:rPr>
                <w:sz w:val="20"/>
                <w:szCs w:val="20"/>
                <w:color w:val="auto"/>
              </w:rPr>
            </w:pPr>
            <w:r>
              <w:rPr>
                <w:rFonts w:ascii="Arial" w:cs="Arial" w:eastAsia="Arial" w:hAnsi="Arial"/>
                <w:sz w:val="18"/>
                <w:szCs w:val="18"/>
                <w:color w:val="auto"/>
                <w:w w:val="99"/>
              </w:rPr>
              <w:t>23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Cash flows used in investing activities consist primarily of cash used for capital expenditures and business acquisitions. During the first six months of 2010, cash used in investing activities was $62.9 million. Capital expenditures consisted of purchases of property and equipment and improvements to our existing dealership facilities of $28.6 million. Property and equipment purchases during the first six months of 2010 consisted of $17.9 million for additional units for rental and leasing operations, which was directly offset by borrowings of long-term debt. The Company expects to purchase or lease trucks worth approximately $35.0 million for its leasing operations in 2010, depending on customer demand, all of which will be financed. Cash used in business acquisitions was $32.5 million during the first six months of 2010 (See Note 12 - Acquisitions of Notes to Consolidated Financial Statements). During the remainder of 2010, the Company expects to make capital expenditures for recurring items such as computers, shop equipment and vehicles of approximately $6.0 million, in addition to $1.5 million to $2.0 million for the SAP project described above.</w:t>
      </w:r>
    </w:p>
    <w:p>
      <w:pPr>
        <w:spacing w:after="0" w:line="137" w:lineRule="exact"/>
        <w:rPr>
          <w:sz w:val="20"/>
          <w:szCs w:val="20"/>
          <w:color w:val="auto"/>
        </w:rPr>
      </w:pPr>
    </w:p>
    <w:p>
      <w:pPr>
        <w:jc w:val="both"/>
        <w:ind w:left="340" w:right="559" w:firstLine="373"/>
        <w:spacing w:after="0" w:line="302" w:lineRule="auto"/>
        <w:rPr>
          <w:sz w:val="20"/>
          <w:szCs w:val="20"/>
          <w:color w:val="auto"/>
        </w:rPr>
      </w:pPr>
      <w:r>
        <w:rPr>
          <w:rFonts w:ascii="Arial" w:cs="Arial" w:eastAsia="Arial" w:hAnsi="Arial"/>
          <w:sz w:val="16"/>
          <w:szCs w:val="16"/>
          <w:color w:val="auto"/>
        </w:rPr>
        <w:t>During the first six months of 2009, cash used in investing activities was $23.4 million. Capital expenditures consisted of purchases of property and equipment, improvements to our existing dealership facilities and construction of our new facility in Oklahoma City, Oklahoma of $23.5 million. Property and equipment purchases during the first six months of 2009 consisted of $6.0 million for additional units for the rental and leasing operations, which was directly offset by borrowings of long-term debt.</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Cash flows from financing activities include borrowings and repayments of long-term debt and net proceeds of floor plan notes payable. Cash provided by financing activities was $44.1 million during the first six months of 2010. The Company had borrowings of long-term debt of $26.9 million and repayments of long-term debt of $24.8 million during the first six months of 2010. The Company had net draws on floor plan notes payable of $44.5 million during the first six months of 2010. The borrowings of long-term debt were primarily related to units for the rental and leasing operations.</w:t>
      </w:r>
    </w:p>
    <w:p>
      <w:pPr>
        <w:spacing w:after="0" w:line="13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Cash used in financing activities was $80.1 million during the first six months of 2009. The Company had borrowings of long-term debt of $6.1 million and repayments of long-term debt of $20.6 million during the first six months of 2009. The Company had net payments of floor plan notes payable of $64.0 million during the first six months of 2009. The borrowings of long-term debt were primarily related to units for the rental and leasing operations.</w:t>
      </w:r>
    </w:p>
    <w:p>
      <w:pPr>
        <w:spacing w:after="0" w:line="131" w:lineRule="exact"/>
        <w:rPr>
          <w:sz w:val="20"/>
          <w:szCs w:val="20"/>
          <w:color w:val="auto"/>
        </w:rPr>
      </w:pPr>
    </w:p>
    <w:p>
      <w:pPr>
        <w:jc w:val="both"/>
        <w:ind w:left="340" w:right="559" w:firstLine="373"/>
        <w:spacing w:after="0" w:line="286" w:lineRule="auto"/>
        <w:rPr>
          <w:sz w:val="20"/>
          <w:szCs w:val="20"/>
          <w:color w:val="auto"/>
        </w:rPr>
      </w:pPr>
      <w:r>
        <w:rPr>
          <w:rFonts w:ascii="Arial" w:cs="Arial" w:eastAsia="Arial" w:hAnsi="Arial"/>
          <w:sz w:val="16"/>
          <w:szCs w:val="16"/>
          <w:color w:val="auto"/>
        </w:rPr>
        <w:t>Substantially all of the Company’s commercial vehicle purchases are made on terms requiring payment within 15 days or less from the date the commercial vehicles are invoiced from the factory. Effective August 1, 2007, the Company entered into an Amended and Restated Wholesale Security Agreement with GE Capital. Interest under the floor plan financing agreement is payable monthly and the rate varies from LIBOR plus 1.15% to LIBOR plus 1.50% depending on the month-end average aggregate amount outstanding under our GE Capital floor plan arrangement. The Company finances substantially all of the purchase price of its new commercial vehicle inventory, and the loan value of its used commercial vehicle inventory under the floor plan financing agreement with GE Capital, under which GE Capital pays the manufacturer directly with respect to new commercial vehicles. The Company makes monthly interest payments to GE Capital on the amount financed, but is not required to commence loan principal repayments on any vehicle until such vehicle has been floor planned for 12 months or is sold. The floor plan financing agreement allows for prepayments with monthly adjustments to the interest due on outstanding advances. On June 30, 2010, the Company had approximately $222.0 million outstanding under its floor plan financing agreement with GE Capital. In connection with the Amended and Restated Wholesale Agreement with GE Capital, the Company executed a Continuing Guaranty in favor of GE Capital to a maximum principal amount of $600 million, plus unpaid interest and reasonable costs of collection. Except for the procedures and other terms and conditions set forth in the Amended and Restated Wholesale Agreement, the Company is not aware of any limitation on the Company’s ability to access capital through this facility.</w:t>
      </w:r>
    </w:p>
    <w:p>
      <w:pPr>
        <w:spacing w:after="0" w:line="142" w:lineRule="exact"/>
        <w:rPr>
          <w:sz w:val="20"/>
          <w:szCs w:val="20"/>
          <w:color w:val="auto"/>
        </w:rPr>
      </w:pPr>
    </w:p>
    <w:p>
      <w:pPr>
        <w:jc w:val="both"/>
        <w:ind w:left="340" w:right="559" w:firstLine="373"/>
        <w:spacing w:after="0" w:line="268" w:lineRule="auto"/>
        <w:rPr>
          <w:sz w:val="20"/>
          <w:szCs w:val="20"/>
          <w:color w:val="auto"/>
        </w:rPr>
      </w:pPr>
      <w:r>
        <w:rPr>
          <w:rFonts w:ascii="Arial" w:cs="Arial" w:eastAsia="Arial" w:hAnsi="Arial"/>
          <w:sz w:val="17"/>
          <w:szCs w:val="17"/>
          <w:color w:val="auto"/>
        </w:rPr>
        <w:t>Substantially all of the Company’s new construction equipment purchases are financed by John Deere and JPMorgan Chase (“Chase”). The agreement with John Deere provides for interest at prime plus 1.5%, however, there is an interest free financing period, after which time the amount financed is required to be paid in full. When construction equipment is sold prior to the expiration of the interest free finance period, the Company is required to repay the principal within approximately ten days of the sale. If the construction equipment financed by John Deere is not sold within the interest free finance period, the Company transfers the financed equipment to the Chase floor plan arrangement. New and used construction equipment is financed to a maximum of book value under a floor plan arrangement with Chase. The Company makes monthly interest payments on the amount financed and is required to commence loan principal repayments on construction equipment as book value is reduced. Principal payments for sold new and used construction equipment are made to Chase no later than the 15</w:t>
      </w:r>
      <w:r>
        <w:rPr>
          <w:rFonts w:ascii="Arial" w:cs="Arial" w:eastAsia="Arial" w:hAnsi="Arial"/>
          <w:sz w:val="14"/>
          <w:szCs w:val="14"/>
          <w:color w:val="auto"/>
        </w:rPr>
        <w:t>th</w:t>
      </w:r>
      <w:r>
        <w:rPr>
          <w:rFonts w:ascii="Arial" w:cs="Arial" w:eastAsia="Arial" w:hAnsi="Arial"/>
          <w:sz w:val="17"/>
          <w:szCs w:val="17"/>
          <w:color w:val="auto"/>
        </w:rPr>
        <w:t xml:space="preserve"> day of each month following the sale. The loans are collateralized by a lien on the construction equipment. As of June 30, 2010, the Company’s floor plan arrangement with Chase permitted the financing of up to $20.0 million in construction equipment. The facility with Chase expires in September 2010 and the interest rate is the prime rate less 0.65%. On June 30, 2010, the Company had $2.6 million outstanding under its floor plan financing arrangements with John Deere and $14.0 million outstanding under its floor plan financing arrangement with Chase.</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98" w:lineRule="exact"/>
        <w:rPr>
          <w:sz w:val="20"/>
          <w:szCs w:val="20"/>
          <w:color w:val="auto"/>
        </w:rPr>
      </w:pPr>
    </w:p>
    <w:p>
      <w:pPr>
        <w:jc w:val="both"/>
        <w:ind w:left="340" w:right="559" w:firstLine="373"/>
        <w:spacing w:after="0" w:line="293" w:lineRule="auto"/>
        <w:rPr>
          <w:sz w:val="20"/>
          <w:szCs w:val="20"/>
          <w:color w:val="auto"/>
        </w:rPr>
      </w:pPr>
      <w:r>
        <w:rPr>
          <w:rFonts w:ascii="Arial" w:cs="Arial" w:eastAsia="Arial" w:hAnsi="Arial"/>
          <w:sz w:val="16"/>
          <w:szCs w:val="16"/>
          <w:color w:val="auto"/>
        </w:rPr>
        <w:t>On June 30, 2010, the Company’s backlog of truck orders was approximately $154.4 million as compared to a backlog of truck orders of approximately $116.6 million on June 30, 2009. The Company includes only confirmed orders in its backlog. The delivery time for a custom-ordered commercial vehicle varies depending on the truck specifications and demand for the particular model ordered, however, the Company expects to fill all of its backlog orders during 2010. The Company sells the majority of its new commercial vehicles by customer special order, with the remainder sold out of inventory. Orders from a number of the Company’s major fleet customers are included in the Company’s backlog as of June 30, 2010.</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Seasonality</w:t>
      </w:r>
    </w:p>
    <w:p>
      <w:pPr>
        <w:spacing w:after="0" w:line="185" w:lineRule="exact"/>
        <w:rPr>
          <w:sz w:val="20"/>
          <w:szCs w:val="20"/>
          <w:color w:val="auto"/>
        </w:rPr>
      </w:pPr>
    </w:p>
    <w:p>
      <w:pPr>
        <w:jc w:val="both"/>
        <w:ind w:left="340" w:right="559" w:firstLine="373"/>
        <w:spacing w:after="0" w:line="257" w:lineRule="auto"/>
        <w:rPr>
          <w:sz w:val="20"/>
          <w:szCs w:val="20"/>
          <w:color w:val="auto"/>
        </w:rPr>
      </w:pPr>
      <w:r>
        <w:rPr>
          <w:rFonts w:ascii="Arial" w:cs="Arial" w:eastAsia="Arial" w:hAnsi="Arial"/>
          <w:sz w:val="18"/>
          <w:szCs w:val="18"/>
          <w:color w:val="auto"/>
        </w:rPr>
        <w:t>The Company’s Truck segment is moderately seasonal. Seasonal effects on new commercial vehicle sales related to the seasonal purchasing patterns of any single customer type are mitigated by the diverse geographic locations of our dealerships and the Company’s diverse customer base, including regional and national fleets, local governments, corporations and owner operators. However, commercial vehicle parts and service operations historically have experienced higher sales volumes in the second and third quarters.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Cyclicality</w:t>
      </w:r>
    </w:p>
    <w:p>
      <w:pPr>
        <w:spacing w:after="0" w:line="185"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Company’s business is dependent on a number of factors relating to general economic conditions, including fuel prices, interest rate fluctuations, credit availability, economic recessions, environmental and other government regulations and customer business cycles. Unit sales of new commercial vehicles have historically been subject to substantial cyclical variation based on these general economic conditions. According to data published by A.C.T. Research, in recent years total U.S. retail sales of new Class 8 trucks have ranged from a low of approximately 97,000 in 2009 to a high of approximately 291,000 in 2006. Through geographic expansion, concentration on higher margin parts and service operations and diversification of its customer base, the Company believes it has reduced the negative impact on the Company’s earnings of adverse general economic conditions or cyclical trends affecting the heavy-duty truck industry.</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Environmental Standards and Other Governmental Regulations</w:t>
      </w:r>
    </w:p>
    <w:p>
      <w:pPr>
        <w:spacing w:after="0" w:line="198"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The Company is subject to a wide range of federal, state and local environmental laws and regulations, including those governing discharges into the air and water; the operation and removal of underground and aboveground storage tanks; the use, handling, storage and disposal of hazardous substances, petroleum and other materials; and the investigation and remediation of contamination. As with commercial vehicle or construction equipment dealerships generally, and service, parts and body shop operations in particular, our business involves the generation, use, storage, handling and contracting for recycling or disposal of hazardous materials or wastes and other environmentally sensitive materials. The Company has incurred, and will continue to incur, capital and operating expenditures and other costs in complying with such laws and regulations.</w:t>
      </w:r>
    </w:p>
    <w:p>
      <w:pPr>
        <w:spacing w:after="0" w:line="127" w:lineRule="exact"/>
        <w:rPr>
          <w:sz w:val="20"/>
          <w:szCs w:val="20"/>
          <w:color w:val="auto"/>
        </w:rPr>
      </w:pPr>
    </w:p>
    <w:p>
      <w:pPr>
        <w:jc w:val="both"/>
        <w:ind w:left="340" w:right="559" w:firstLine="373"/>
        <w:spacing w:after="0" w:line="291" w:lineRule="auto"/>
        <w:rPr>
          <w:sz w:val="20"/>
          <w:szCs w:val="20"/>
          <w:color w:val="auto"/>
        </w:rPr>
      </w:pPr>
      <w:r>
        <w:rPr>
          <w:rFonts w:ascii="Arial" w:cs="Arial" w:eastAsia="Arial" w:hAnsi="Arial"/>
          <w:sz w:val="16"/>
          <w:szCs w:val="16"/>
          <w:color w:val="auto"/>
        </w:rPr>
        <w:t>Our operations involving the management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and wastes with which the Company must comply. Our business also involves the operation and use of above 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27" w:lineRule="exact"/>
        <w:rPr>
          <w:sz w:val="20"/>
          <w:szCs w:val="20"/>
          <w:color w:val="auto"/>
        </w:rPr>
      </w:pPr>
    </w:p>
    <w:p>
      <w:pPr>
        <w:jc w:val="both"/>
        <w:ind w:left="340" w:right="559" w:firstLine="373"/>
        <w:spacing w:after="0" w:line="290" w:lineRule="auto"/>
        <w:rPr>
          <w:sz w:val="20"/>
          <w:szCs w:val="20"/>
          <w:color w:val="auto"/>
        </w:rPr>
      </w:pPr>
      <w:r>
        <w:rPr>
          <w:rFonts w:ascii="Arial" w:cs="Arial" w:eastAsia="Arial" w:hAnsi="Arial"/>
          <w:sz w:val="16"/>
          <w:szCs w:val="16"/>
          <w:color w:val="auto"/>
        </w:rPr>
        <w:t>The Company may also have liability in connection with materials that were sent to third-party recycling, treatment, or disposal facilities under the federal Comprehensive Environmental Response, Compensation and Liability Act, or CERCLA, and comparable state statutes. These statutes impose liability for investigation and remediation of contamination without regard to fault or the legality of the conduct that contributed to the contamination. Responsible parties under these statutes may include the owner or operator of the site where contamination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pollutants into the environment.</w:t>
      </w:r>
    </w:p>
    <w:p>
      <w:pPr>
        <w:spacing w:after="0" w:line="200" w:lineRule="exact"/>
        <w:rPr>
          <w:sz w:val="20"/>
          <w:szCs w:val="20"/>
          <w:color w:val="auto"/>
        </w:rPr>
      </w:pPr>
    </w:p>
    <w:p>
      <w:pPr>
        <w:spacing w:after="0" w:line="33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559" w:firstLine="373"/>
        <w:spacing w:after="0" w:line="270" w:lineRule="auto"/>
        <w:rPr>
          <w:sz w:val="20"/>
          <w:szCs w:val="20"/>
          <w:color w:val="auto"/>
        </w:rPr>
      </w:pPr>
      <w:r>
        <w:rPr>
          <w:rFonts w:ascii="Arial" w:cs="Arial" w:eastAsia="Arial" w:hAnsi="Arial"/>
          <w:sz w:val="17"/>
          <w:szCs w:val="17"/>
          <w:color w:val="auto"/>
        </w:rPr>
        <w:t>The federal Clean Water Act and comparable state statutes prohibit discharges of pollutants into regulated waters without the necessary permits,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pollutants through air emissions permitting programs and the imposition of other requirements. In addition, the U.S. Environmental Protection Agency, or EPA, has developed, and continues to develop, stringent regulations governing emissions of toxic air pollutants from specified sources. For example, EPA emissions guidelines regarding nitrous oxides recently came into effect for all diesel engines built subsequent to January 1, 2010, which could adversely affect demand for our products and services, which may in turn adversely affect our future results of operations.</w:t>
      </w:r>
    </w:p>
    <w:p>
      <w:pPr>
        <w:spacing w:after="0" w:line="155" w:lineRule="exact"/>
        <w:rPr>
          <w:sz w:val="20"/>
          <w:szCs w:val="20"/>
          <w:color w:val="auto"/>
        </w:rPr>
      </w:pPr>
    </w:p>
    <w:p>
      <w:pPr>
        <w:jc w:val="both"/>
        <w:ind w:left="340" w:right="559" w:firstLine="373"/>
        <w:spacing w:after="0" w:line="289" w:lineRule="auto"/>
        <w:rPr>
          <w:sz w:val="20"/>
          <w:szCs w:val="20"/>
          <w:color w:val="auto"/>
        </w:rPr>
      </w:pPr>
      <w:r>
        <w:rPr>
          <w:rFonts w:ascii="Arial" w:cs="Arial" w:eastAsia="Arial" w:hAnsi="Arial"/>
          <w:sz w:val="16"/>
          <w:szCs w:val="16"/>
          <w:color w:val="auto"/>
        </w:rPr>
        <w:t>The Company believes that it does not currently have any material environmental liabilities and that compliance with environmental laws and regulations will not, individually or in the aggregate, have a material adverse effect on our results of operations, financial condition or cash flows. However, soil and groundwater contamination is known to exist at some of our current properties. Further, environmental laws and regulations are complex and subject to change. In addition, in connection with acquisitions, it is possible that the Company will assume or become subject to new or unforeseen environmental costs or liabilities, some of which may be material. In connection with our dispositions, or prior dispositions made by companies acquire, the Company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and those expenditures could be material.</w:t>
      </w:r>
    </w:p>
    <w:p>
      <w:pPr>
        <w:spacing w:after="0" w:line="126" w:lineRule="exact"/>
        <w:rPr>
          <w:sz w:val="20"/>
          <w:szCs w:val="20"/>
          <w:color w:val="auto"/>
        </w:rPr>
      </w:pPr>
    </w:p>
    <w:p>
      <w:pPr>
        <w:jc w:val="both"/>
        <w:ind w:left="340" w:right="559" w:firstLine="373"/>
        <w:spacing w:after="0" w:line="259" w:lineRule="auto"/>
        <w:rPr>
          <w:sz w:val="20"/>
          <w:szCs w:val="20"/>
          <w:color w:val="auto"/>
        </w:rPr>
      </w:pPr>
      <w:r>
        <w:rPr>
          <w:rFonts w:ascii="Arial" w:cs="Arial" w:eastAsia="Arial" w:hAnsi="Arial"/>
          <w:sz w:val="18"/>
          <w:szCs w:val="18"/>
          <w:color w:val="auto"/>
        </w:rPr>
        <w:t>It is not possible at this time to predict how legislation or new regulations that may be adopted to address greenhouse gas emissions would impact our business. Any such future laws and regulations could result in increased compliance costs, additional operating restrictions or changes in demand for our products and services which could have a material adverse effect on our business, financial condition and results of operation.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41"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The Company is exposed to some market risk through interest rates related to our floor plan financing agreements, variable rate real estate debt and discount rates related to finance sales. The majority of floor plan debt and variable rate real estate debt is based on LIBOR. As of June 30, 2010, the Company had floor plan borrowings and variable rate real estate debt of approximately $309.0 million. Assuming an increase or decrease in LIBOR of 100 basis points, annual interest expense could correspondingly increase or decrease by approximately $3.1 million. The Company provides all customer financing opportunities to various finance providers. The Company receives all finance charges in excess of a negotiated discount rate from the finance providers in the month following the date of the financing. The negotiated discount rate is variable, thus subject to interest rate fluctuations. This interest rate risk is mitigated by the Company’s ability to pass discount rate increases to customers through higher financing rates.</w:t>
      </w:r>
    </w:p>
    <w:p>
      <w:pPr>
        <w:spacing w:after="0" w:line="157"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The Company is also exposed to some market risk through interest rates related to the investment of our current cash and cash equivalents which totaled $135.8 million on June 30, 2010. These funds are generally invested in variable interest rate instruments in accordance with the Company’s investment policy. As such instruments mature and the funds are reinvested, we are exposed to changes in market interest rates. This risk is mitigated by management’s ongoing evaluation of the best investment rates available for current and noncurrent high quality investments. If market interest rates were to increase or decrease immediately and uniformly by 100 basis points, the Company’s annual interest income could correspondingly increase or decrease by approximately $1.4 million.</w:t>
      </w:r>
    </w:p>
    <w:p>
      <w:pPr>
        <w:spacing w:after="0" w:line="162" w:lineRule="exact"/>
        <w:rPr>
          <w:sz w:val="20"/>
          <w:szCs w:val="20"/>
          <w:color w:val="auto"/>
        </w:rPr>
      </w:pPr>
    </w:p>
    <w:p>
      <w:pPr>
        <w:jc w:val="both"/>
        <w:ind w:left="340" w:right="559" w:firstLine="373"/>
        <w:spacing w:after="0" w:line="276" w:lineRule="auto"/>
        <w:rPr>
          <w:sz w:val="20"/>
          <w:szCs w:val="20"/>
          <w:color w:val="auto"/>
        </w:rPr>
      </w:pPr>
      <w:r>
        <w:rPr>
          <w:rFonts w:ascii="Arial" w:cs="Arial" w:eastAsia="Arial" w:hAnsi="Arial"/>
          <w:sz w:val="17"/>
          <w:szCs w:val="17"/>
          <w:color w:val="auto"/>
        </w:rPr>
        <w:t>In the past, the Company invested in interest-bearing short-term investments consisting of investment-grade auction rate securities classified as available-for-sale. As a result of the recent liquidity issues experienced in the global credit and capital markets, auctions for investment grade securities held by the Company have failed. The auction rate securities continue to pay interest in accordance with the terms of the underlying security; however, liquidity will be limited until there is a successful auction or until such time as other markets for these investments develop.</w:t>
      </w:r>
    </w:p>
    <w:p>
      <w:pPr>
        <w:spacing w:after="0" w:line="132" w:lineRule="exact"/>
        <w:rPr>
          <w:sz w:val="20"/>
          <w:szCs w:val="20"/>
          <w:color w:val="auto"/>
        </w:rPr>
      </w:pPr>
    </w:p>
    <w:p>
      <w:pPr>
        <w:jc w:val="both"/>
        <w:ind w:left="340" w:right="559" w:firstLine="373"/>
        <w:spacing w:after="0" w:line="255" w:lineRule="auto"/>
        <w:rPr>
          <w:sz w:val="20"/>
          <w:szCs w:val="20"/>
          <w:color w:val="auto"/>
        </w:rPr>
      </w:pPr>
      <w:r>
        <w:rPr>
          <w:rFonts w:ascii="Arial" w:cs="Arial" w:eastAsia="Arial" w:hAnsi="Arial"/>
          <w:sz w:val="18"/>
          <w:szCs w:val="18"/>
          <w:color w:val="auto"/>
        </w:rPr>
        <w:t>As of June 30, 2010, the Company holds $7.6 million of auction rate securities with underlying tax-exempt municipal bonds with stated maturities of 21 years. Given the current market conditions in the auction rate securities market, if the Company determines that the fair value of these securities has temporarily decreased by 10%, the Company’s equity could correspondingly decrease by approximately $0.8 million. If it is determined that the fair value of these securities is other-than-temporarily impaired by 10%, the Company could record a loss on its Consolidated Statements of Operations of approximately $0.8 million. For further discussion of the risks related to our auction rate securities, see Note 6 — Investments of the Notes to Consolidated Financial Statements.</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has not used derivative financial instruments in our investment portfolio.</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jc w:val="both"/>
        <w:ind w:left="340" w:right="559" w:firstLine="373"/>
        <w:spacing w:after="0" w:line="271" w:lineRule="auto"/>
        <w:rPr>
          <w:sz w:val="20"/>
          <w:szCs w:val="20"/>
          <w:color w:val="auto"/>
        </w:rPr>
      </w:pPr>
      <w:r>
        <w:rPr>
          <w:rFonts w:ascii="Arial" w:cs="Arial" w:eastAsia="Arial" w:hAnsi="Arial"/>
          <w:sz w:val="17"/>
          <w:szCs w:val="17"/>
          <w:color w:val="auto"/>
        </w:rPr>
        <w:t>The Company, under the supervision and with the participation of management, including the Chief Executive Officer and Chief Financial Officer, evaluated the effectiveness of the Company’s disclosure controls and procedures as of the end of the period covered by this report. Based on that evaluation, the Chief Executive Officer and Chief Financial Officer concluded that the Company’s disclosure controls and procedures were effective as of June 30, 2010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Chief Executive Officer and Chief Financial Officer, as appropriate, to allow timely decisions regarding required disclosure.</w:t>
      </w:r>
    </w:p>
    <w:p>
      <w:pPr>
        <w:spacing w:after="0" w:line="138" w:lineRule="exact"/>
        <w:rPr>
          <w:sz w:val="20"/>
          <w:szCs w:val="20"/>
          <w:color w:val="auto"/>
        </w:rPr>
      </w:pPr>
    </w:p>
    <w:p>
      <w:pPr>
        <w:jc w:val="both"/>
        <w:ind w:left="340" w:right="559" w:firstLine="373"/>
        <w:spacing w:after="0" w:line="264" w:lineRule="auto"/>
        <w:rPr>
          <w:sz w:val="20"/>
          <w:szCs w:val="20"/>
          <w:color w:val="auto"/>
        </w:rPr>
      </w:pPr>
      <w:r>
        <w:rPr>
          <w:rFonts w:ascii="Arial" w:cs="Arial" w:eastAsia="Arial" w:hAnsi="Arial"/>
          <w:sz w:val="18"/>
          <w:szCs w:val="18"/>
          <w:color w:val="auto"/>
        </w:rPr>
        <w:t>There has been no change in the Company’s internal control over financial reporting that occurred during the three months ended June 30, 2010 that has materially affected, or is reasonably likely to materially affect, the Company’s internal control over financial reporting.</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340" w:right="559" w:firstLine="373"/>
        <w:spacing w:after="0" w:line="253" w:lineRule="auto"/>
        <w:rPr>
          <w:sz w:val="20"/>
          <w:szCs w:val="20"/>
          <w:color w:val="auto"/>
        </w:rPr>
      </w:pPr>
      <w:r>
        <w:rPr>
          <w:rFonts w:ascii="Arial" w:cs="Arial" w:eastAsia="Arial" w:hAnsi="Arial"/>
          <w:sz w:val="18"/>
          <w:szCs w:val="18"/>
          <w:color w:val="auto"/>
        </w:rPr>
        <w:t>From time to time, we are involved in litigation arising out of the Company’s operations in the ordinary course of business. We maintain liability insurance, including product liability coverage, in amounts deemed adequate by management. To date, aggregate costs to us for claims, including product liability actions, have not been material. However, an uninsured or partially insured claim, or claim for which indemnification is not available, could have a material adverse effect on the Company’s financial condition or results of operations. We believe that there are no claims or litigation pending, the outcome of which could have a material adverse effect on the Company’s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jc w:val="both"/>
        <w:ind w:left="340" w:right="559" w:firstLine="373"/>
        <w:spacing w:after="0" w:line="279" w:lineRule="auto"/>
        <w:rPr>
          <w:sz w:val="20"/>
          <w:szCs w:val="20"/>
          <w:color w:val="auto"/>
        </w:rPr>
      </w:pPr>
      <w:r>
        <w:rPr>
          <w:rFonts w:ascii="Arial" w:cs="Arial" w:eastAsia="Arial" w:hAnsi="Arial"/>
          <w:sz w:val="17"/>
          <w:szCs w:val="17"/>
          <w:color w:val="auto"/>
        </w:rPr>
        <w:t>While we attempt to identify, manage and mitigate risks and uncertainties associated with our business to the extent practical under the circumstances, some level of risk and uncertainty will always be present. Item 1A, Part I of our 2009 Annual Report on Form 10-K (the “2009 Annual Report”) describes some of the risks and uncertainties associated with our business that have the potential to materially affect our business, financial condition or results of operations.</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There has been no material change in our risk factors disclosed in the 2009 Annual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did not make any unregistered sales of equity securities during the second quarter of 2010.</w:t>
      </w:r>
    </w:p>
    <w:p>
      <w:pPr>
        <w:spacing w:after="0" w:line="185" w:lineRule="exact"/>
        <w:rPr>
          <w:sz w:val="20"/>
          <w:szCs w:val="20"/>
          <w:color w:val="auto"/>
        </w:rPr>
      </w:pPr>
    </w:p>
    <w:p>
      <w:pPr>
        <w:jc w:val="both"/>
        <w:ind w:left="340" w:right="559" w:firstLine="373"/>
        <w:spacing w:after="0" w:line="277" w:lineRule="auto"/>
        <w:rPr>
          <w:sz w:val="20"/>
          <w:szCs w:val="20"/>
          <w:color w:val="auto"/>
        </w:rPr>
      </w:pPr>
      <w:r>
        <w:rPr>
          <w:rFonts w:ascii="Arial" w:cs="Arial" w:eastAsia="Arial" w:hAnsi="Arial"/>
          <w:sz w:val="18"/>
          <w:szCs w:val="18"/>
          <w:color w:val="auto"/>
        </w:rPr>
        <w:t>The Company did not repurchase any shares of its Class A Common Stock or Class B Common Stock during the second quarter of 2010.</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 Number of</w:t>
            </w: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Maximum Number</w:t>
            </w:r>
          </w:p>
        </w:tc>
      </w:t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(or Approximate</w:t>
            </w:r>
          </w:p>
        </w:tc>
      </w:t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Purchased as</w:t>
            </w:r>
          </w:p>
        </w:tc>
        <w:tc>
          <w:tcPr>
            <w:tcW w:w="100" w:type="dxa"/>
            <w:vAlign w:val="bottom"/>
          </w:tcPr>
          <w:p>
            <w:pPr>
              <w:spacing w:after="0"/>
              <w:rPr>
                <w:sz w:val="18"/>
                <w:szCs w:val="18"/>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Dollar Value) of</w:t>
            </w:r>
          </w:p>
        </w:tc>
      </w:t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Total</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Part of Publicly</w:t>
            </w: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Shares that May</w:t>
            </w:r>
          </w:p>
        </w:tc>
      </w:t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Price</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Announced</w:t>
            </w: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3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Shares</w:t>
            </w: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Paid Per</w:t>
            </w: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Plans or</w:t>
            </w:r>
          </w:p>
        </w:tc>
        <w:tc>
          <w:tcPr>
            <w:tcW w:w="15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4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3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Programs (1)(2)</w:t>
            </w:r>
          </w:p>
        </w:tc>
        <w:tc>
          <w:tcPr>
            <w:tcW w:w="80" w:type="dxa"/>
            <w:vAlign w:val="bottom"/>
          </w:tcPr>
          <w:p>
            <w:pPr>
              <w:spacing w:after="0"/>
              <w:rPr>
                <w:sz w:val="20"/>
                <w:szCs w:val="20"/>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April 1 - 30, 2010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May 1 - 31, 2010</w:t>
            </w:r>
          </w:p>
        </w:tc>
        <w:tc>
          <w:tcPr>
            <w:tcW w:w="240" w:type="dxa"/>
            <w:vAlign w:val="bottom"/>
          </w:tcPr>
          <w:p>
            <w:pPr>
              <w:spacing w:after="0"/>
              <w:rPr>
                <w:sz w:val="18"/>
                <w:szCs w:val="18"/>
                <w:color w:val="auto"/>
              </w:rPr>
            </w:pP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6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2,093,321</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June 1 - 30, 2010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0.00</w:t>
            </w:r>
          </w:p>
        </w:tc>
        <w:tc>
          <w:tcPr>
            <w:tcW w:w="160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2,093,321</w:t>
            </w:r>
          </w:p>
        </w:tc>
      </w:tr>
      <w:tr>
        <w:trPr>
          <w:trHeight w:val="224"/>
        </w:trPr>
        <w:tc>
          <w:tcPr>
            <w:tcW w:w="3480" w:type="dxa"/>
            <w:vAlign w:val="bottom"/>
          </w:tcPr>
          <w:p>
            <w:pPr>
              <w:spacing w:after="0"/>
              <w:rPr>
                <w:sz w:val="20"/>
                <w:szCs w:val="20"/>
                <w:color w:val="auto"/>
              </w:rPr>
            </w:pPr>
            <w:r>
              <w:rPr>
                <w:rFonts w:ascii="Arial" w:cs="Arial" w:eastAsia="Arial" w:hAnsi="Arial"/>
                <w:sz w:val="18"/>
                <w:szCs w:val="18"/>
                <w:color w:val="auto"/>
              </w:rPr>
              <w:t>2nd Quarter Total</w:t>
            </w:r>
          </w:p>
        </w:tc>
        <w:tc>
          <w:tcPr>
            <w:tcW w:w="240" w:type="dxa"/>
            <w:vAlign w:val="bottom"/>
          </w:tcPr>
          <w:p>
            <w:pPr>
              <w:spacing w:after="0"/>
              <w:rPr>
                <w:sz w:val="19"/>
                <w:szCs w:val="19"/>
                <w:color w:val="auto"/>
              </w:rPr>
            </w:pPr>
          </w:p>
        </w:tc>
        <w:tc>
          <w:tcPr>
            <w:tcW w:w="9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320" w:type="dxa"/>
            <w:vAlign w:val="bottom"/>
          </w:tcPr>
          <w:p>
            <w:pPr>
              <w:spacing w:after="0"/>
              <w:rPr>
                <w:sz w:val="19"/>
                <w:szCs w:val="19"/>
                <w:color w:val="auto"/>
              </w:rPr>
            </w:pPr>
          </w:p>
        </w:tc>
        <w:tc>
          <w:tcPr>
            <w:tcW w:w="1280" w:type="dxa"/>
            <w:vAlign w:val="bottom"/>
            <w:tcBorders>
              <w:top w:val="single" w:sz="8" w:color="auto"/>
            </w:tcBorders>
          </w:tcPr>
          <w:p>
            <w:pPr>
              <w:ind w:left="1100"/>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2,093,321</w:t>
            </w:r>
          </w:p>
        </w:tc>
        <w:tc>
          <w:tcPr>
            <w:tcW w:w="80" w:type="dxa"/>
            <w:vAlign w:val="bottom"/>
          </w:tcPr>
          <w:p>
            <w:pPr>
              <w:spacing w:after="0"/>
              <w:rPr>
                <w:sz w:val="19"/>
                <w:szCs w:val="19"/>
                <w:color w:val="auto"/>
              </w:rPr>
            </w:pPr>
          </w:p>
        </w:tc>
      </w:tr>
    </w:tbl>
    <w:p>
      <w:pPr>
        <w:spacing w:after="0" w:line="106" w:lineRule="exact"/>
        <w:rPr>
          <w:sz w:val="20"/>
          <w:szCs w:val="20"/>
          <w:color w:val="auto"/>
        </w:rPr>
      </w:pPr>
    </w:p>
    <w:p>
      <w:pPr>
        <w:jc w:val="both"/>
        <w:ind w:left="680" w:right="559" w:hanging="348"/>
        <w:spacing w:after="0" w:line="311" w:lineRule="auto"/>
        <w:tabs>
          <w:tab w:leader="none" w:pos="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July 22, 2008, the Company’s Board of Directors approved a stock repurchase program authorizing the Company to repurchase, from time to time, up to an aggregate of $20,000,000 of its shares of Class A Common Stock and/or Class B Common Stock. The stock repurchase program has no expiration date and may be suspended or discontinued at any time.</w:t>
      </w:r>
    </w:p>
    <w:p>
      <w:pPr>
        <w:ind w:left="680" w:right="559" w:hanging="348"/>
        <w:spacing w:after="0" w:line="277"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2010, the Company has repurchased 1,639,843 shares of its Class B common stock at a cost of $17.9 million, none of which occurred during the second quarter of 2010.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340"/>
        <w:spacing w:after="0"/>
        <w:tabs>
          <w:tab w:leader="none" w:pos="12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8"/>
          <w:szCs w:val="18"/>
          <w:b w:val="1"/>
          <w:bCs w:val="1"/>
          <w:color w:val="auto"/>
        </w:rPr>
        <w:t>Exhibit Title</w:t>
      </w:r>
    </w:p>
    <w:p>
      <w:pPr>
        <w:spacing w:after="0" w:line="9" w:lineRule="exact"/>
        <w:rPr>
          <w:sz w:val="20"/>
          <w:szCs w:val="20"/>
          <w:color w:val="auto"/>
        </w:rPr>
      </w:pPr>
    </w:p>
    <w:p>
      <w:pPr>
        <w:jc w:val="both"/>
        <w:ind w:left="1280" w:right="559" w:hanging="944"/>
        <w:spacing w:after="0" w:line="263" w:lineRule="auto"/>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Amendment #1, dated as of May 24, 2010, to Asset Purchase Agreement, dated March 19, 2010 (incorporated herein by reference to Exhibit 2.1 of the Company’s Current Report on Form 8-K (File No. 000-20797) filed May 26,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-431165</wp:posOffset>
            </wp:positionV>
            <wp:extent cx="53257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16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3.1</w:t>
            </w:r>
          </w:p>
        </w:tc>
        <w:tc>
          <w:tcPr>
            <w:tcW w:w="8600" w:type="dxa"/>
            <w:vAlign w:val="bottom"/>
          </w:tcPr>
          <w:p>
            <w:pPr>
              <w:ind w:left="220"/>
              <w:spacing w:after="0"/>
              <w:rPr>
                <w:sz w:val="20"/>
                <w:szCs w:val="20"/>
                <w:color w:val="auto"/>
              </w:rPr>
            </w:pPr>
            <w:r>
              <w:rPr>
                <w:rFonts w:ascii="Arial" w:cs="Arial" w:eastAsia="Arial" w:hAnsi="Arial"/>
                <w:sz w:val="18"/>
                <w:szCs w:val="18"/>
                <w:color w:val="auto"/>
                <w:w w:val="93"/>
              </w:rPr>
              <w:t>Restated Articles of Incorporation of Rush Enterprises, Inc. (incorporated herein by reference to Exhibit 3.1 of the</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Company’s Quarterly Report on Form 10-Q (File No. 000-20797) for the quarter ended June 30, 2008)</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w:t>
            </w:r>
          </w:p>
        </w:tc>
        <w:tc>
          <w:tcPr>
            <w:tcW w:w="8600" w:type="dxa"/>
            <w:vAlign w:val="bottom"/>
          </w:tcPr>
          <w:p>
            <w:pPr>
              <w:ind w:left="220"/>
              <w:spacing w:after="0"/>
              <w:rPr>
                <w:sz w:val="20"/>
                <w:szCs w:val="20"/>
                <w:color w:val="auto"/>
              </w:rPr>
            </w:pPr>
            <w:r>
              <w:rPr>
                <w:rFonts w:ascii="Arial" w:cs="Arial" w:eastAsia="Arial" w:hAnsi="Arial"/>
                <w:sz w:val="18"/>
                <w:szCs w:val="18"/>
                <w:color w:val="auto"/>
                <w:w w:val="96"/>
              </w:rPr>
              <w:t>Rush Enterprises, Inc. Amended and Restated Bylaws (incorporated herein by reference to Exhibit 3.1 of the</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Company’s Current Report on Form 8-K (File No. 000-20797) filed December 9, 2008)</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8600" w:type="dxa"/>
            <w:vAlign w:val="bottom"/>
          </w:tcPr>
          <w:p>
            <w:pPr>
              <w:ind w:left="220"/>
              <w:spacing w:after="0"/>
              <w:rPr>
                <w:sz w:val="20"/>
                <w:szCs w:val="20"/>
                <w:color w:val="auto"/>
              </w:rPr>
            </w:pPr>
            <w:r>
              <w:rPr>
                <w:rFonts w:ascii="Arial" w:cs="Arial" w:eastAsia="Arial" w:hAnsi="Arial"/>
                <w:sz w:val="18"/>
                <w:szCs w:val="18"/>
                <w:color w:val="auto"/>
                <w:w w:val="91"/>
              </w:rPr>
              <w:t>Amended and Restated Rush Enterprises, Inc. 2007 Long-Term Incentive Plan (incorporated herein by reference to</w:t>
            </w:r>
          </w:p>
        </w:tc>
      </w:tr>
      <w:tr>
        <w:trPr>
          <w:trHeight w:val="216"/>
        </w:trPr>
        <w:tc>
          <w:tcPr>
            <w:tcW w:w="720" w:type="dxa"/>
            <w:vAlign w:val="bottom"/>
          </w:tcPr>
          <w:p>
            <w:pPr>
              <w:spacing w:after="0"/>
              <w:rPr>
                <w:sz w:val="18"/>
                <w:szCs w:val="18"/>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w w:val="93"/>
              </w:rPr>
              <w:t>the Company’s Definitive Proxy Statement on Schedule 14A, filed with the Securities and Exchange Commission</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on April 6, 2010)</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8600" w:type="dxa"/>
            <w:vAlign w:val="bottom"/>
          </w:tcPr>
          <w:p>
            <w:pPr>
              <w:ind w:left="220"/>
              <w:spacing w:after="0"/>
              <w:rPr>
                <w:sz w:val="20"/>
                <w:szCs w:val="20"/>
                <w:color w:val="auto"/>
              </w:rPr>
            </w:pPr>
            <w:r>
              <w:rPr>
                <w:rFonts w:ascii="Arial" w:cs="Arial" w:eastAsia="Arial" w:hAnsi="Arial"/>
                <w:sz w:val="18"/>
                <w:szCs w:val="18"/>
                <w:color w:val="auto"/>
                <w:w w:val="96"/>
              </w:rPr>
              <w:t>Amended and Restated 2006 Non-Employee Director Stock Plan, as amended (incorporated by reference to</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Exhibit 10.2 of the Company’s Current Report on Form 8-K (File No. 000-20797) filed May 21, 2010)</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31.1*</w:t>
            </w:r>
          </w:p>
        </w:tc>
        <w:tc>
          <w:tcPr>
            <w:tcW w:w="8600" w:type="dxa"/>
            <w:vAlign w:val="bottom"/>
          </w:tcPr>
          <w:p>
            <w:pPr>
              <w:ind w:left="220"/>
              <w:spacing w:after="0"/>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8600" w:type="dxa"/>
            <w:vAlign w:val="bottom"/>
          </w:tcPr>
          <w:p>
            <w:pPr>
              <w:ind w:left="220"/>
              <w:spacing w:after="0"/>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Oxley Act of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8600" w:type="dxa"/>
            <w:vAlign w:val="bottom"/>
          </w:tcPr>
          <w:p>
            <w:pPr>
              <w:ind w:left="220"/>
              <w:spacing w:after="0"/>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Act of 2002.</w:t>
            </w:r>
          </w:p>
        </w:tc>
      </w:tr>
      <w:tr>
        <w:trPr>
          <w:trHeight w:val="418"/>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8600" w:type="dxa"/>
            <w:vAlign w:val="bottom"/>
          </w:tcPr>
          <w:p>
            <w:pPr>
              <w:ind w:left="220"/>
              <w:spacing w:after="0"/>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w:t>
            </w:r>
          </w:p>
        </w:tc>
      </w:tr>
      <w:tr>
        <w:trPr>
          <w:trHeight w:val="230"/>
        </w:trPr>
        <w:tc>
          <w:tcPr>
            <w:tcW w:w="720" w:type="dxa"/>
            <w:vAlign w:val="bottom"/>
          </w:tcPr>
          <w:p>
            <w:pPr>
              <w:spacing w:after="0"/>
              <w:rPr>
                <w:sz w:val="20"/>
                <w:szCs w:val="20"/>
                <w:color w:val="auto"/>
              </w:rPr>
            </w:pPr>
          </w:p>
        </w:tc>
        <w:tc>
          <w:tcPr>
            <w:tcW w:w="8600" w:type="dxa"/>
            <w:vAlign w:val="bottom"/>
          </w:tcPr>
          <w:p>
            <w:pPr>
              <w:ind w:left="220"/>
              <w:spacing w:after="0"/>
              <w:rPr>
                <w:sz w:val="20"/>
                <w:szCs w:val="20"/>
                <w:color w:val="auto"/>
              </w:rPr>
            </w:pPr>
            <w:r>
              <w:rPr>
                <w:rFonts w:ascii="Arial" w:cs="Arial" w:eastAsia="Arial" w:hAnsi="Arial"/>
                <w:sz w:val="18"/>
                <w:szCs w:val="18"/>
                <w:color w:val="auto"/>
              </w:rPr>
              <w:t>Act of 2002.</w:t>
            </w:r>
          </w:p>
        </w:tc>
      </w:tr>
    </w:tbl>
    <w:p>
      <w:pPr>
        <w:spacing w:after="0" w:line="107"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7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p>
        </w:tc>
        <w:tc>
          <w:tcPr>
            <w:tcW w:w="5060" w:type="dxa"/>
            <w:vAlign w:val="bottom"/>
            <w:gridSpan w:val="2"/>
          </w:tcPr>
          <w:p>
            <w:pPr>
              <w:ind w:left="1380"/>
              <w:spacing w:after="0"/>
              <w:rPr>
                <w:sz w:val="20"/>
                <w:szCs w:val="20"/>
                <w:color w:val="auto"/>
              </w:rPr>
            </w:pPr>
            <w:r>
              <w:rPr>
                <w:rFonts w:ascii="Arial" w:cs="Arial" w:eastAsia="Arial" w:hAnsi="Arial"/>
                <w:sz w:val="18"/>
                <w:szCs w:val="18"/>
                <w:color w:val="auto"/>
              </w:rPr>
              <w:t>RUSH ENTERPRISES, INC.</w:t>
            </w:r>
          </w:p>
        </w:tc>
        <w:tc>
          <w:tcPr>
            <w:tcW w:w="3100" w:type="dxa"/>
            <w:vAlign w:val="bottom"/>
          </w:tcPr>
          <w:p>
            <w:pPr>
              <w:spacing w:after="0"/>
              <w:rPr>
                <w:sz w:val="20"/>
                <w:szCs w:val="20"/>
                <w:color w:val="auto"/>
              </w:rPr>
            </w:pPr>
          </w:p>
        </w:tc>
      </w:tr>
      <w:tr>
        <w:trPr>
          <w:trHeight w:val="432"/>
        </w:trPr>
        <w:tc>
          <w:tcPr>
            <w:tcW w:w="3260" w:type="dxa"/>
            <w:vAlign w:val="bottom"/>
          </w:tcPr>
          <w:p>
            <w:pPr>
              <w:ind w:left="340"/>
              <w:spacing w:after="0"/>
              <w:rPr>
                <w:sz w:val="20"/>
                <w:szCs w:val="20"/>
                <w:color w:val="auto"/>
              </w:rPr>
            </w:pPr>
            <w:r>
              <w:rPr>
                <w:rFonts w:ascii="Arial" w:cs="Arial" w:eastAsia="Arial" w:hAnsi="Arial"/>
                <w:sz w:val="18"/>
                <w:szCs w:val="18"/>
                <w:color w:val="auto"/>
              </w:rPr>
              <w:t>Date: August 9, 2010</w:t>
            </w:r>
          </w:p>
        </w:tc>
        <w:tc>
          <w:tcPr>
            <w:tcW w:w="5060" w:type="dxa"/>
            <w:vAlign w:val="bottom"/>
            <w:gridSpan w:val="2"/>
          </w:tcPr>
          <w:p>
            <w:pPr>
              <w:ind w:left="1380"/>
              <w:spacing w:after="0"/>
              <w:rPr>
                <w:sz w:val="20"/>
                <w:szCs w:val="20"/>
                <w:color w:val="auto"/>
              </w:rPr>
            </w:pPr>
            <w:r>
              <w:rPr>
                <w:rFonts w:ascii="Arial" w:cs="Arial" w:eastAsia="Arial" w:hAnsi="Arial"/>
                <w:sz w:val="18"/>
                <w:szCs w:val="18"/>
                <w:color w:val="auto"/>
              </w:rPr>
              <w:t>By: /S/ W.M. “RUSTY” RUSH</w:t>
            </w:r>
          </w:p>
        </w:tc>
        <w:tc>
          <w:tcPr>
            <w:tcW w:w="310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c>
          <w:tcPr>
            <w:tcW w:w="310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310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3100" w:type="dxa"/>
            <w:vAlign w:val="bottom"/>
          </w:tcPr>
          <w:p>
            <w:pPr>
              <w:spacing w:after="0"/>
              <w:rPr>
                <w:sz w:val="20"/>
                <w:szCs w:val="20"/>
                <w:color w:val="auto"/>
              </w:rPr>
            </w:pPr>
          </w:p>
        </w:tc>
      </w:tr>
      <w:tr>
        <w:trPr>
          <w:trHeight w:val="648"/>
        </w:trPr>
        <w:tc>
          <w:tcPr>
            <w:tcW w:w="3260" w:type="dxa"/>
            <w:vAlign w:val="bottom"/>
          </w:tcPr>
          <w:p>
            <w:pPr>
              <w:ind w:left="340"/>
              <w:spacing w:after="0"/>
              <w:rPr>
                <w:sz w:val="20"/>
                <w:szCs w:val="20"/>
                <w:color w:val="auto"/>
              </w:rPr>
            </w:pPr>
            <w:r>
              <w:rPr>
                <w:rFonts w:ascii="Arial" w:cs="Arial" w:eastAsia="Arial" w:hAnsi="Arial"/>
                <w:sz w:val="18"/>
                <w:szCs w:val="18"/>
                <w:color w:val="auto"/>
              </w:rPr>
              <w:t>Date: August 9, 2010</w:t>
            </w:r>
          </w:p>
        </w:tc>
        <w:tc>
          <w:tcPr>
            <w:tcW w:w="5060" w:type="dxa"/>
            <w:vAlign w:val="bottom"/>
            <w:gridSpan w:val="2"/>
          </w:tcPr>
          <w:p>
            <w:pPr>
              <w:ind w:left="1380"/>
              <w:spacing w:after="0"/>
              <w:rPr>
                <w:sz w:val="20"/>
                <w:szCs w:val="20"/>
                <w:color w:val="auto"/>
              </w:rPr>
            </w:pPr>
            <w:r>
              <w:rPr>
                <w:rFonts w:ascii="Arial" w:cs="Arial" w:eastAsia="Arial" w:hAnsi="Arial"/>
                <w:sz w:val="18"/>
                <w:szCs w:val="18"/>
                <w:color w:val="auto"/>
              </w:rPr>
              <w:t>By: /S/ STEVEN L. KELLER</w:t>
            </w:r>
          </w:p>
        </w:tc>
        <w:tc>
          <w:tcPr>
            <w:tcW w:w="3100" w:type="dxa"/>
            <w:vAlign w:val="bottom"/>
          </w:tcPr>
          <w:p>
            <w:pPr>
              <w:spacing w:after="0"/>
              <w:rPr>
                <w:sz w:val="24"/>
                <w:szCs w:val="24"/>
                <w:color w:val="auto"/>
              </w:rPr>
            </w:pPr>
          </w:p>
        </w:tc>
      </w:tr>
      <w:tr>
        <w:trPr>
          <w:trHeight w:val="195"/>
        </w:trPr>
        <w:tc>
          <w:tcPr>
            <w:tcW w:w="3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c>
          <w:tcPr>
            <w:tcW w:w="3100" w:type="dxa"/>
            <w:vAlign w:val="bottom"/>
          </w:tcPr>
          <w:p>
            <w:pPr>
              <w:spacing w:after="0"/>
              <w:rPr>
                <w:sz w:val="16"/>
                <w:szCs w:val="16"/>
                <w:color w:val="auto"/>
              </w:rPr>
            </w:pPr>
          </w:p>
        </w:tc>
      </w:tr>
      <w:tr>
        <w:trPr>
          <w:trHeight w:val="216"/>
        </w:trPr>
        <w:tc>
          <w:tcPr>
            <w:tcW w:w="3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Vice President and Chief Financial Officer</w:t>
            </w:r>
          </w:p>
        </w:tc>
        <w:tc>
          <w:tcPr>
            <w:tcW w:w="3100" w:type="dxa"/>
            <w:vAlign w:val="bottom"/>
          </w:tcPr>
          <w:p>
            <w:pPr>
              <w:spacing w:after="0"/>
              <w:rPr>
                <w:sz w:val="18"/>
                <w:szCs w:val="18"/>
                <w:color w:val="auto"/>
              </w:rPr>
            </w:pPr>
          </w:p>
        </w:tc>
      </w:tr>
      <w:tr>
        <w:trPr>
          <w:trHeight w:val="230"/>
        </w:trPr>
        <w:tc>
          <w:tcPr>
            <w:tcW w:w="3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(Principal Financial and Accounting Officer)</w:t>
            </w:r>
          </w:p>
        </w:tc>
        <w:tc>
          <w:tcPr>
            <w:tcW w:w="3100" w:type="dxa"/>
            <w:vAlign w:val="bottom"/>
          </w:tcPr>
          <w:p>
            <w:pPr>
              <w:spacing w:after="0"/>
              <w:rPr>
                <w:sz w:val="20"/>
                <w:szCs w:val="20"/>
                <w:color w:val="auto"/>
              </w:rPr>
            </w:pPr>
          </w:p>
        </w:tc>
      </w:tr>
      <w:tr>
        <w:trPr>
          <w:trHeight w:val="783"/>
        </w:trPr>
        <w:tc>
          <w:tcPr>
            <w:tcW w:w="3260" w:type="dxa"/>
            <w:vAlign w:val="bottom"/>
          </w:tcPr>
          <w:p>
            <w:pPr>
              <w:spacing w:after="0"/>
              <w:rPr>
                <w:sz w:val="24"/>
                <w:szCs w:val="24"/>
                <w:color w:val="auto"/>
              </w:rPr>
            </w:pPr>
          </w:p>
        </w:tc>
        <w:tc>
          <w:tcPr>
            <w:tcW w:w="5060" w:type="dxa"/>
            <w:vAlign w:val="bottom"/>
            <w:gridSpan w:val="2"/>
          </w:tcPr>
          <w:p>
            <w:pPr>
              <w:jc w:val="right"/>
              <w:ind w:right="3150"/>
              <w:spacing w:after="0"/>
              <w:rPr>
                <w:sz w:val="20"/>
                <w:szCs w:val="20"/>
                <w:color w:val="auto"/>
              </w:rPr>
            </w:pPr>
            <w:r>
              <w:rPr>
                <w:rFonts w:ascii="Arial" w:cs="Arial" w:eastAsia="Arial" w:hAnsi="Arial"/>
                <w:sz w:val="18"/>
                <w:szCs w:val="18"/>
                <w:color w:val="auto"/>
              </w:rPr>
              <w:t>30</w:t>
            </w:r>
          </w:p>
        </w:tc>
        <w:tc>
          <w:tcPr>
            <w:tcW w:w="3100" w:type="dxa"/>
            <w:vAlign w:val="bottom"/>
          </w:tcPr>
          <w:p>
            <w:pPr>
              <w:spacing w:after="0"/>
              <w:rPr>
                <w:sz w:val="24"/>
                <w:szCs w:val="24"/>
                <w:color w:val="auto"/>
              </w:rPr>
            </w:pPr>
          </w:p>
        </w:tc>
      </w:tr>
      <w:tr>
        <w:trPr>
          <w:trHeight w:val="226"/>
        </w:trPr>
        <w:tc>
          <w:tcPr>
            <w:tcW w:w="32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1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80" w:type="dxa"/>
            <w:vAlign w:val="bottom"/>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66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8380" w:type="dxa"/>
            <w:vAlign w:val="bottom"/>
          </w:tcPr>
          <w:p>
            <w:pPr>
              <w:spacing w:after="0"/>
              <w:rPr>
                <w:sz w:val="24"/>
                <w:szCs w:val="24"/>
                <w:color w:val="auto"/>
              </w:rPr>
            </w:pPr>
          </w:p>
        </w:tc>
      </w:tr>
      <w:tr>
        <w:trPr>
          <w:trHeight w:val="234"/>
        </w:trPr>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4"/>
              </w:rPr>
              <w:t>Number</w:t>
            </w:r>
          </w:p>
        </w:tc>
        <w:tc>
          <w:tcPr>
            <w:tcW w:w="280" w:type="dxa"/>
            <w:vAlign w:val="bottom"/>
          </w:tcPr>
          <w:p>
            <w:pPr>
              <w:spacing w:after="0"/>
              <w:rPr>
                <w:sz w:val="20"/>
                <w:szCs w:val="20"/>
                <w:color w:val="auto"/>
              </w:rPr>
            </w:pPr>
          </w:p>
        </w:tc>
        <w:tc>
          <w:tcPr>
            <w:tcW w:w="8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Title</w:t>
            </w:r>
          </w:p>
        </w:tc>
      </w:tr>
      <w:tr>
        <w:trPr>
          <w:trHeight w:val="195"/>
        </w:trPr>
        <w:tc>
          <w:tcPr>
            <w:tcW w:w="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31.1*</w:t>
            </w:r>
          </w:p>
        </w:tc>
        <w:tc>
          <w:tcPr>
            <w:tcW w:w="280" w:type="dxa"/>
            <w:vAlign w:val="bottom"/>
            <w:shd w:val="clear" w:color="auto" w:fill="CCEEFF"/>
          </w:tcPr>
          <w:p>
            <w:pPr>
              <w:spacing w:after="0"/>
              <w:rPr>
                <w:sz w:val="16"/>
                <w:szCs w:val="16"/>
                <w:color w:val="auto"/>
              </w:rPr>
            </w:pPr>
          </w:p>
        </w:tc>
        <w:tc>
          <w:tcPr>
            <w:tcW w:w="8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1"/>
              </w:rPr>
              <w:t>Certification of CEO pursuant to Rules 13a-14(a) and 15d-14(a) adopted pursuant to Section 302 of the Sarbanes-</w:t>
            </w:r>
          </w:p>
        </w:tc>
      </w:tr>
      <w:tr>
        <w:trPr>
          <w:trHeight w:val="230"/>
        </w:trPr>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Oxley Act of 2002.</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w w:val="92"/>
              </w:rPr>
              <w:t>Certification of CFO pursuant to Rules 13a-14(a) and 15d-14(a) adopted pursuant to Section 302 of the Sarbanes-</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Oxley Act of 2002.</w:t>
            </w:r>
          </w:p>
        </w:tc>
      </w:tr>
      <w:tr>
        <w:trPr>
          <w:trHeight w:val="202"/>
        </w:trPr>
        <w:tc>
          <w:tcPr>
            <w:tcW w:w="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32.1**</w:t>
            </w:r>
          </w:p>
        </w:tc>
        <w:tc>
          <w:tcPr>
            <w:tcW w:w="280" w:type="dxa"/>
            <w:vAlign w:val="bottom"/>
            <w:shd w:val="clear" w:color="auto" w:fill="CCEEFF"/>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Certification of CEO pursuant to 18 U.S.C. Section 1350 as adopted pursuant to Section 906 of the Sarbanes-Oxley</w:t>
            </w:r>
          </w:p>
        </w:tc>
      </w:tr>
      <w:tr>
        <w:trPr>
          <w:trHeight w:val="230"/>
        </w:trPr>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Act of 2002.</w:t>
            </w:r>
          </w:p>
        </w:tc>
      </w:tr>
      <w:tr>
        <w:trPr>
          <w:trHeight w:val="202"/>
        </w:trPr>
        <w:tc>
          <w:tcPr>
            <w:tcW w:w="660" w:type="dxa"/>
            <w:vAlign w:val="bottom"/>
          </w:tcPr>
          <w:p>
            <w:pPr>
              <w:spacing w:after="0" w:line="201" w:lineRule="exact"/>
              <w:rPr>
                <w:sz w:val="20"/>
                <w:szCs w:val="20"/>
                <w:color w:val="auto"/>
              </w:rPr>
            </w:pPr>
            <w:r>
              <w:rPr>
                <w:rFonts w:ascii="Arial" w:cs="Arial" w:eastAsia="Arial" w:hAnsi="Arial"/>
                <w:sz w:val="18"/>
                <w:szCs w:val="18"/>
                <w:color w:val="auto"/>
              </w:rPr>
              <w:t>32.2**</w:t>
            </w:r>
          </w:p>
        </w:tc>
        <w:tc>
          <w:tcPr>
            <w:tcW w:w="280" w:type="dxa"/>
            <w:vAlign w:val="bottom"/>
          </w:tcPr>
          <w:p>
            <w:pPr>
              <w:spacing w:after="0"/>
              <w:rPr>
                <w:sz w:val="17"/>
                <w:szCs w:val="17"/>
                <w:color w:val="auto"/>
              </w:rPr>
            </w:pPr>
          </w:p>
        </w:tc>
        <w:tc>
          <w:tcPr>
            <w:tcW w:w="8380" w:type="dxa"/>
            <w:vAlign w:val="bottom"/>
          </w:tcPr>
          <w:p>
            <w:pPr>
              <w:spacing w:after="0" w:line="201" w:lineRule="exact"/>
              <w:rPr>
                <w:sz w:val="20"/>
                <w:szCs w:val="20"/>
                <w:color w:val="auto"/>
              </w:rPr>
            </w:pPr>
            <w:r>
              <w:rPr>
                <w:rFonts w:ascii="Arial" w:cs="Arial" w:eastAsia="Arial" w:hAnsi="Arial"/>
                <w:sz w:val="18"/>
                <w:szCs w:val="18"/>
                <w:color w:val="auto"/>
                <w:w w:val="90"/>
              </w:rPr>
              <w:t>Certification of CFO pursuant to 18 U.S.C. Section 1350 as adopted pursuant to Section 906 of the Sarbanes-Oxley</w:t>
            </w:r>
          </w:p>
        </w:tc>
      </w:tr>
      <w:tr>
        <w:trPr>
          <w:trHeight w:val="230"/>
        </w:trPr>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Act of 2002.</w:t>
            </w:r>
          </w:p>
        </w:tc>
      </w:tr>
    </w:tbl>
    <w:p>
      <w:pPr>
        <w:spacing w:after="0" w:line="107"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340"/>
        <w:spacing w:after="0"/>
        <w:tabs>
          <w:tab w:leader="none" w:pos="6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419" w:right="1440" w:bottom="1440" w:gutter="0" w:footer="0" w:header="0"/>
        </w:sectPr>
      </w:pPr>
    </w:p>
    <w:bookmarkStart w:id="32" w:name="page33"/>
    <w:bookmarkEnd w:id="32"/>
    <w:p>
      <w:pPr>
        <w:ind w:left="8248"/>
        <w:spacing w:after="0"/>
        <w:rPr>
          <w:sz w:val="20"/>
          <w:szCs w:val="20"/>
          <w:color w:val="auto"/>
        </w:rPr>
      </w:pPr>
      <w:r>
        <w:rPr>
          <w:rFonts w:ascii="Arial" w:cs="Arial" w:eastAsia="Arial" w:hAnsi="Arial"/>
          <w:sz w:val="17"/>
          <w:szCs w:val="17"/>
          <w:u w:val="single" w:color="auto"/>
          <w:color w:val="auto"/>
        </w:rPr>
        <w:t>EXHIBIT 31.1</w:t>
      </w:r>
    </w:p>
    <w:p>
      <w:pPr>
        <w:spacing w:after="0" w:line="192"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W.M. “Rusty” Rush, certify that:</w:t>
      </w:r>
    </w:p>
    <w:p>
      <w:pPr>
        <w:spacing w:after="0" w:line="185" w:lineRule="exact"/>
        <w:rPr>
          <w:sz w:val="20"/>
          <w:szCs w:val="20"/>
          <w:color w:val="auto"/>
        </w:rPr>
      </w:pPr>
    </w:p>
    <w:p>
      <w:pPr>
        <w:ind w:left="188" w:hanging="188"/>
        <w:spacing w:after="0"/>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84"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2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8" w:right="559" w:firstLine="365"/>
        <w:spacing w:after="0" w:line="312" w:lineRule="auto"/>
        <w:tabs>
          <w:tab w:leader="none" w:pos="647"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jc w:val="both"/>
        <w:ind w:left="8" w:right="559" w:firstLine="365"/>
        <w:spacing w:after="0" w:line="286" w:lineRule="auto"/>
        <w:tabs>
          <w:tab w:leader="none" w:pos="654"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64"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jc w:val="both"/>
        <w:ind w:left="8" w:right="559" w:firstLine="365"/>
        <w:spacing w:after="0" w:line="286" w:lineRule="auto"/>
        <w:tabs>
          <w:tab w:leader="none" w:pos="647"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jc w:val="both"/>
        <w:ind w:left="8" w:right="559" w:hanging="8"/>
        <w:spacing w:after="0" w:line="264" w:lineRule="auto"/>
        <w:tabs>
          <w:tab w:leader="none" w:pos="20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65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left="8" w:right="559" w:firstLine="365"/>
        <w:spacing w:after="0" w:line="277" w:lineRule="auto"/>
        <w:tabs>
          <w:tab w:leader="none" w:pos="644"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Date: August 9, 2010</w:t>
            </w:r>
          </w:p>
        </w:tc>
        <w:tc>
          <w:tcPr>
            <w:tcW w:w="5020" w:type="dxa"/>
            <w:vAlign w:val="bottom"/>
            <w:gridSpan w:val="2"/>
          </w:tcPr>
          <w:p>
            <w:pPr>
              <w:ind w:left="1400"/>
              <w:spacing w:after="0"/>
              <w:rPr>
                <w:sz w:val="20"/>
                <w:szCs w:val="20"/>
                <w:color w:val="auto"/>
              </w:rPr>
            </w:pPr>
            <w:r>
              <w:rPr>
                <w:rFonts w:ascii="Arial" w:cs="Arial" w:eastAsia="Arial" w:hAnsi="Arial"/>
                <w:sz w:val="18"/>
                <w:szCs w:val="18"/>
                <w:color w:val="auto"/>
              </w:rPr>
              <w:t>By: /S/ W.M. “RUSTY” RUSH</w:t>
            </w:r>
          </w:p>
        </w:tc>
      </w:tr>
      <w:tr>
        <w:trPr>
          <w:trHeight w:val="195"/>
        </w:trPr>
        <w:tc>
          <w:tcPr>
            <w:tcW w:w="29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W.M. “Rusty” Rush</w:t>
            </w:r>
          </w:p>
        </w:tc>
      </w:tr>
      <w:tr>
        <w:trPr>
          <w:trHeight w:val="216"/>
        </w:trPr>
        <w:tc>
          <w:tcPr>
            <w:tcW w:w="29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29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87"/>
          </w:cols>
          <w:pgMar w:left="572" w:top="125" w:right="1440" w:bottom="1440" w:gutter="0" w:footer="0" w:header="0"/>
        </w:sectPr>
      </w:pPr>
    </w:p>
    <w:bookmarkStart w:id="33" w:name="page34"/>
    <w:bookmarkEnd w:id="33"/>
    <w:p>
      <w:pPr>
        <w:ind w:left="8248"/>
        <w:spacing w:after="0"/>
        <w:rPr>
          <w:sz w:val="20"/>
          <w:szCs w:val="20"/>
          <w:color w:val="auto"/>
        </w:rPr>
      </w:pPr>
      <w:r>
        <w:rPr>
          <w:rFonts w:ascii="Arial" w:cs="Arial" w:eastAsia="Arial" w:hAnsi="Arial"/>
          <w:sz w:val="17"/>
          <w:szCs w:val="17"/>
          <w:u w:val="single" w:color="auto"/>
          <w:color w:val="auto"/>
        </w:rPr>
        <w:t>EXHIBIT 31.2</w:t>
      </w:r>
    </w:p>
    <w:p>
      <w:pPr>
        <w:spacing w:after="0" w:line="206" w:lineRule="exact"/>
        <w:rPr>
          <w:sz w:val="20"/>
          <w:szCs w:val="20"/>
          <w:color w:val="auto"/>
        </w:rPr>
      </w:pPr>
    </w:p>
    <w:p>
      <w:pPr>
        <w:ind w:left="3948"/>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Steven L. Keller, certify that:</w:t>
      </w:r>
    </w:p>
    <w:p>
      <w:pPr>
        <w:spacing w:after="0" w:line="185" w:lineRule="exact"/>
        <w:rPr>
          <w:sz w:val="20"/>
          <w:szCs w:val="20"/>
          <w:color w:val="auto"/>
        </w:rPr>
      </w:pPr>
    </w:p>
    <w:p>
      <w:pPr>
        <w:ind w:left="188" w:hanging="188"/>
        <w:spacing w:after="0"/>
        <w:tabs>
          <w:tab w:leader="none" w:pos="188"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Rush Enterprises, Inc.;</w:t>
      </w:r>
    </w:p>
    <w:p>
      <w:pPr>
        <w:spacing w:after="0" w:line="198" w:lineRule="exact"/>
        <w:rPr>
          <w:rFonts w:ascii="Arial" w:cs="Arial" w:eastAsia="Arial" w:hAnsi="Arial"/>
          <w:sz w:val="18"/>
          <w:szCs w:val="18"/>
          <w:color w:val="auto"/>
        </w:rPr>
      </w:pPr>
    </w:p>
    <w:p>
      <w:pPr>
        <w:jc w:val="both"/>
        <w:ind w:left="8" w:right="559" w:hanging="8"/>
        <w:spacing w:after="0" w:line="264" w:lineRule="auto"/>
        <w:tabs>
          <w:tab w:leader="none" w:pos="20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19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jc w:val="both"/>
        <w:ind w:left="8" w:right="559" w:hanging="8"/>
        <w:spacing w:after="0" w:line="264" w:lineRule="auto"/>
        <w:tabs>
          <w:tab w:leader="none" w:pos="222"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8" w:right="559" w:firstLine="365"/>
        <w:spacing w:after="0" w:line="312" w:lineRule="auto"/>
        <w:tabs>
          <w:tab w:leader="none" w:pos="647"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jc w:val="both"/>
        <w:ind w:left="8" w:right="559" w:firstLine="365"/>
        <w:spacing w:after="0" w:line="286" w:lineRule="auto"/>
        <w:tabs>
          <w:tab w:leader="none" w:pos="654"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Arial" w:cs="Arial" w:eastAsia="Arial" w:hAnsi="Arial"/>
          <w:sz w:val="17"/>
          <w:szCs w:val="17"/>
          <w:color w:val="auto"/>
        </w:rPr>
      </w:pPr>
    </w:p>
    <w:p>
      <w:pPr>
        <w:jc w:val="both"/>
        <w:ind w:left="8" w:right="559" w:firstLine="365"/>
        <w:spacing w:after="0" w:line="264" w:lineRule="auto"/>
        <w:tabs>
          <w:tab w:leader="none" w:pos="664"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jc w:val="both"/>
        <w:ind w:left="8" w:right="559" w:firstLine="365"/>
        <w:spacing w:after="0" w:line="286" w:lineRule="auto"/>
        <w:tabs>
          <w:tab w:leader="none" w:pos="647"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jc w:val="both"/>
        <w:ind w:left="8" w:right="559" w:hanging="8"/>
        <w:spacing w:after="0" w:line="264" w:lineRule="auto"/>
        <w:tabs>
          <w:tab w:leader="none" w:pos="20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40" w:lineRule="exact"/>
        <w:rPr>
          <w:rFonts w:ascii="Arial" w:cs="Arial" w:eastAsia="Arial" w:hAnsi="Arial"/>
          <w:sz w:val="18"/>
          <w:szCs w:val="18"/>
          <w:color w:val="auto"/>
        </w:rPr>
      </w:pPr>
    </w:p>
    <w:p>
      <w:pPr>
        <w:jc w:val="both"/>
        <w:ind w:left="8" w:right="559" w:firstLine="365"/>
        <w:spacing w:after="0" w:line="264" w:lineRule="auto"/>
        <w:tabs>
          <w:tab w:leader="none" w:pos="659"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4" w:lineRule="exact"/>
        <w:rPr>
          <w:rFonts w:ascii="Arial" w:cs="Arial" w:eastAsia="Arial" w:hAnsi="Arial"/>
          <w:sz w:val="18"/>
          <w:szCs w:val="18"/>
          <w:color w:val="auto"/>
        </w:rPr>
      </w:pPr>
    </w:p>
    <w:p>
      <w:pPr>
        <w:ind w:left="8" w:right="559" w:firstLine="365"/>
        <w:spacing w:after="0" w:line="277" w:lineRule="auto"/>
        <w:tabs>
          <w:tab w:leader="none" w:pos="644"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2920" w:type="dxa"/>
            <w:vAlign w:val="bottom"/>
          </w:tcPr>
          <w:p>
            <w:pPr>
              <w:spacing w:after="0"/>
              <w:rPr>
                <w:sz w:val="20"/>
                <w:szCs w:val="20"/>
                <w:color w:val="auto"/>
              </w:rPr>
            </w:pPr>
            <w:r>
              <w:rPr>
                <w:rFonts w:ascii="Arial" w:cs="Arial" w:eastAsia="Arial" w:hAnsi="Arial"/>
                <w:sz w:val="18"/>
                <w:szCs w:val="18"/>
                <w:color w:val="auto"/>
              </w:rPr>
              <w:t>Date: August 9, 2010</w:t>
            </w:r>
          </w:p>
        </w:tc>
        <w:tc>
          <w:tcPr>
            <w:tcW w:w="5060" w:type="dxa"/>
            <w:vAlign w:val="bottom"/>
            <w:gridSpan w:val="2"/>
          </w:tcPr>
          <w:p>
            <w:pPr>
              <w:ind w:left="1380"/>
              <w:spacing w:after="0"/>
              <w:rPr>
                <w:sz w:val="20"/>
                <w:szCs w:val="20"/>
                <w:color w:val="auto"/>
              </w:rPr>
            </w:pPr>
            <w:r>
              <w:rPr>
                <w:rFonts w:ascii="Arial" w:cs="Arial" w:eastAsia="Arial" w:hAnsi="Arial"/>
                <w:sz w:val="18"/>
                <w:szCs w:val="18"/>
                <w:color w:val="auto"/>
              </w:rPr>
              <w:t>By: /S/ STEVEN L. KELLER</w:t>
            </w:r>
          </w:p>
        </w:tc>
      </w:tr>
      <w:tr>
        <w:trPr>
          <w:trHeight w:val="195"/>
        </w:trPr>
        <w:tc>
          <w:tcPr>
            <w:tcW w:w="29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Steven L. Keller</w:t>
            </w:r>
          </w:p>
        </w:tc>
      </w:tr>
      <w:tr>
        <w:trPr>
          <w:trHeight w:val="216"/>
        </w:trPr>
        <w:tc>
          <w:tcPr>
            <w:tcW w:w="29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9"/>
              </w:rPr>
              <w:t>Vice President and Chief Financial Officer</w:t>
            </w:r>
          </w:p>
        </w:tc>
      </w:tr>
      <w:tr>
        <w:trPr>
          <w:trHeight w:val="230"/>
        </w:trPr>
        <w:tc>
          <w:tcPr>
            <w:tcW w:w="29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5"/>
              </w:rPr>
              <w:t>(Principal Financial and Accounting Officer)</w:t>
            </w:r>
          </w:p>
        </w:tc>
      </w:tr>
    </w:tbl>
    <w:p>
      <w:pPr>
        <w:sectPr>
          <w:pgSz w:w="11900" w:h="16838" w:orient="portrait"/>
          <w:cols w:equalWidth="0" w:num="1">
            <w:col w:w="9887"/>
          </w:cols>
          <w:pgMar w:left="572" w:top="517" w:right="1440" w:bottom="1440" w:gutter="0" w:footer="0" w:header="0"/>
        </w:sectPr>
      </w:pPr>
    </w:p>
    <w:bookmarkStart w:id="34" w:name="page35"/>
    <w:bookmarkEnd w:id="34"/>
    <w:p>
      <w:pPr>
        <w:jc w:val="right"/>
        <w:ind w:right="559"/>
        <w:spacing w:after="0"/>
        <w:rPr>
          <w:sz w:val="20"/>
          <w:szCs w:val="20"/>
          <w:color w:val="auto"/>
        </w:rPr>
      </w:pPr>
      <w:r>
        <w:rPr>
          <w:rFonts w:ascii="Arial" w:cs="Arial" w:eastAsia="Arial" w:hAnsi="Arial"/>
          <w:sz w:val="18"/>
          <w:szCs w:val="18"/>
          <w:u w:val="single" w:color="auto"/>
          <w:color w:val="auto"/>
        </w:rPr>
        <w:t>EXHIBIT 32.1</w:t>
      </w:r>
    </w:p>
    <w:p>
      <w:pPr>
        <w:spacing w:after="0" w:line="19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W.M. “Rusty” Rush, Chief Executive Officer of the Company, certify, pursuant to 18 U.S.C. Section 1350, as adopted pursuant to Section 906 of the Sarbanes-Oxley Act of 2002, that:</w:t>
      </w:r>
    </w:p>
    <w:p>
      <w:pPr>
        <w:spacing w:after="0" w:line="146" w:lineRule="exact"/>
        <w:rPr>
          <w:sz w:val="20"/>
          <w:szCs w:val="20"/>
          <w:color w:val="auto"/>
        </w:rPr>
      </w:pPr>
    </w:p>
    <w:p>
      <w:pPr>
        <w:ind w:left="700" w:hanging="343"/>
        <w:spacing w:after="0"/>
        <w:tabs>
          <w:tab w:leader="none" w:pos="7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/S/ W.M. “RUSTY” RUSH</w:t>
      </w:r>
    </w:p>
    <w:p>
      <w:pPr>
        <w:spacing w:after="0" w:line="2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Name: W.M. “Rusty” Rush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-130810</wp:posOffset>
            </wp:positionV>
            <wp:extent cx="229806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3"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420"/>
        <w:spacing w:after="0"/>
        <w:tabs>
          <w:tab w:leader="none" w:pos="4980" w:val="left"/>
        </w:tabs>
        <w:rPr>
          <w:sz w:val="20"/>
          <w:szCs w:val="20"/>
          <w:color w:val="auto"/>
        </w:rPr>
      </w:pPr>
      <w:r>
        <w:rPr>
          <w:rFonts w:ascii="Arial" w:cs="Arial" w:eastAsia="Arial" w:hAnsi="Arial"/>
          <w:sz w:val="18"/>
          <w:szCs w:val="18"/>
          <w:color w:val="auto"/>
        </w:rPr>
        <w:t>Date:</w:t>
        <w:tab/>
        <w:t>August 9, 2010</w:t>
      </w:r>
    </w:p>
    <w:p>
      <w:pPr>
        <w:spacing w:after="0" w:line="40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9879"/>
          </w:cols>
          <w:pgMar w:left="580" w:top="517" w:right="1440" w:bottom="1440" w:gutter="0" w:footer="0" w:header="0"/>
        </w:sectPr>
      </w:pPr>
    </w:p>
    <w:bookmarkStart w:id="35" w:name="page36"/>
    <w:bookmarkEnd w:id="35"/>
    <w:p>
      <w:pPr>
        <w:jc w:val="right"/>
        <w:ind w:right="559"/>
        <w:spacing w:after="0"/>
        <w:rPr>
          <w:sz w:val="20"/>
          <w:szCs w:val="20"/>
          <w:color w:val="auto"/>
        </w:rPr>
      </w:pPr>
      <w:r>
        <w:rPr>
          <w:rFonts w:ascii="Arial" w:cs="Arial" w:eastAsia="Arial" w:hAnsi="Arial"/>
          <w:sz w:val="18"/>
          <w:szCs w:val="18"/>
          <w:u w:val="single" w:color="auto"/>
          <w:color w:val="auto"/>
        </w:rPr>
        <w:t>EXHIBIT 32.2</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In connection with this quarterly report of Rush Enterprises, Inc. (the “</w:t>
      </w:r>
      <w:r>
        <w:rPr>
          <w:rFonts w:ascii="Arial" w:cs="Arial" w:eastAsia="Arial" w:hAnsi="Arial"/>
          <w:sz w:val="18"/>
          <w:szCs w:val="18"/>
          <w:u w:val="single" w:color="auto"/>
          <w:color w:val="auto"/>
        </w:rPr>
        <w:t>Company</w:t>
      </w:r>
      <w:r>
        <w:rPr>
          <w:rFonts w:ascii="Arial" w:cs="Arial" w:eastAsia="Arial" w:hAnsi="Arial"/>
          <w:sz w:val="18"/>
          <w:szCs w:val="18"/>
          <w:color w:val="auto"/>
        </w:rPr>
        <w:t>”) on Form 10-Q for the period ended June 30, 2010, as filed with the Securities and Exchange Commission on the date hereof (the “</w:t>
      </w:r>
      <w:r>
        <w:rPr>
          <w:rFonts w:ascii="Arial" w:cs="Arial" w:eastAsia="Arial" w:hAnsi="Arial"/>
          <w:sz w:val="18"/>
          <w:szCs w:val="18"/>
          <w:u w:val="single" w:color="auto"/>
          <w:color w:val="auto"/>
        </w:rPr>
        <w:t>Report</w:t>
      </w:r>
      <w:r>
        <w:rPr>
          <w:rFonts w:ascii="Arial" w:cs="Arial" w:eastAsia="Arial" w:hAnsi="Arial"/>
          <w:sz w:val="18"/>
          <w:szCs w:val="18"/>
          <w:color w:val="auto"/>
        </w:rPr>
        <w:t>”), I, Steven L. Keller, Vice President and Chief Financial Officer of the Company, certify, pursuant to 18 U.S.C. Section 1350, as adopted pursuant to Section 906 of the Sarbanes-Oxley Act of 2002, that:</w:t>
      </w:r>
    </w:p>
    <w:p>
      <w:pPr>
        <w:spacing w:after="0" w:line="146" w:lineRule="exact"/>
        <w:rPr>
          <w:sz w:val="20"/>
          <w:szCs w:val="20"/>
          <w:color w:val="auto"/>
        </w:rPr>
      </w:pPr>
    </w:p>
    <w:p>
      <w:pPr>
        <w:ind w:left="700" w:hanging="343"/>
        <w:spacing w:after="0"/>
        <w:tabs>
          <w:tab w:leader="none" w:pos="7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0" w:lineRule="exact"/>
        <w:rPr>
          <w:rFonts w:ascii="Arial" w:cs="Arial" w:eastAsia="Arial" w:hAnsi="Arial"/>
          <w:sz w:val="16"/>
          <w:szCs w:val="16"/>
          <w:color w:val="auto"/>
        </w:rPr>
      </w:pPr>
    </w:p>
    <w:p>
      <w:pPr>
        <w:ind w:left="700" w:right="559" w:hanging="343"/>
        <w:spacing w:after="0" w:line="277"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STEVEN L. KELLER</w:t>
      </w:r>
    </w:p>
    <w:p>
      <w:pPr>
        <w:spacing w:after="0" w:line="23"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Name: Steven L. Keller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-130810</wp:posOffset>
            </wp:positionV>
            <wp:extent cx="24269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Title:</w:t>
        <w:tab/>
        <w:t>Vice President and Chief Financial Officer</w:t>
      </w:r>
    </w:p>
    <w:p>
      <w:pPr>
        <w:spacing w:after="0" w:line="9" w:lineRule="exact"/>
        <w:rPr>
          <w:sz w:val="20"/>
          <w:szCs w:val="20"/>
          <w:color w:val="auto"/>
        </w:rPr>
      </w:pPr>
    </w:p>
    <w:p>
      <w:pPr>
        <w:ind w:left="4260"/>
        <w:spacing w:after="0"/>
        <w:tabs>
          <w:tab w:leader="none" w:pos="4820" w:val="left"/>
        </w:tabs>
        <w:rPr>
          <w:sz w:val="20"/>
          <w:szCs w:val="20"/>
          <w:color w:val="auto"/>
        </w:rPr>
      </w:pPr>
      <w:r>
        <w:rPr>
          <w:rFonts w:ascii="Arial" w:cs="Arial" w:eastAsia="Arial" w:hAnsi="Arial"/>
          <w:sz w:val="18"/>
          <w:szCs w:val="18"/>
          <w:color w:val="auto"/>
        </w:rPr>
        <w:t>Date:</w:t>
        <w:tab/>
        <w:t>August 9, 2010</w:t>
      </w:r>
    </w:p>
    <w:p>
      <w:pPr>
        <w:spacing w:after="0" w:line="386"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amp;"/>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2019-12-10T13:03:59Z</dcterms:created>
  <dcterms:modified xsi:type="dcterms:W3CDTF">2019-12-10T13:03:59Z</dcterms:modified>
</cp:coreProperties>
</file>