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usha20240930_10q.htm"/>
      <w:bookmarkStart w:id="1" w:name="ksrusha20240930_10q"/>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Times;serif" w:hAnsi="Times New Roman;Times;serif"/>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QUARTERLY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_____________________ to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0-20797</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RUSH ENTERPRISES,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2480"/>
        <w:gridCol w:w="2900"/>
      </w:tblGrid>
      <w:tr>
        <w:trPr/>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Texas</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74-1733016</w:t>
            </w:r>
          </w:p>
        </w:tc>
      </w:tr>
      <w:tr>
        <w:trPr/>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r>
        <w:trPr/>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29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555 I.H. 35 South, Suite 500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New Braunfels, Texas 78130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(830) 302-5200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8090" w:type="dxa"/>
        <w:jc w:val="left"/>
        <w:tblInd w:w="0" w:type="dxa"/>
        <w:tblLayout w:type="fixed"/>
        <w:tblCellMar>
          <w:top w:w="0" w:type="dxa"/>
          <w:left w:w="0" w:type="dxa"/>
          <w:bottom w:w="0" w:type="dxa"/>
          <w:right w:w="0" w:type="dxa"/>
        </w:tblCellMar>
      </w:tblPr>
      <w:tblGrid>
        <w:gridCol w:w="2045"/>
        <w:gridCol w:w="1580"/>
        <w:gridCol w:w="1940"/>
        <w:gridCol w:w="2525"/>
      </w:tblGrid>
      <w:tr>
        <w:trPr/>
        <w:tc>
          <w:tcPr>
            <w:tcW w:w="204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15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5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04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Indicated below is the number of shares outstanding of each of the issuer’s classes of common stock, as of November 1, 2024.</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3230"/>
        <w:gridCol w:w="1460"/>
      </w:tblGrid>
      <w:tr>
        <w:trPr/>
        <w:tc>
          <w:tcPr>
            <w:tcW w:w="323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Shares</w:t>
            </w:r>
          </w:p>
        </w:tc>
      </w:tr>
      <w:tr>
        <w:trPr/>
        <w:tc>
          <w:tcPr>
            <w:tcW w:w="3230" w:type="dxa"/>
            <w:tcBorders/>
            <w:vAlign w:val="center"/>
          </w:tcPr>
          <w:p>
            <w:pPr>
              <w:pStyle w:val="TableContents"/>
              <w:bidi w:val="0"/>
              <w:spacing w:before="0" w:after="0"/>
              <w:ind w:left="90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Title of Class</w:t>
            </w:r>
          </w:p>
        </w:tc>
        <w:tc>
          <w:tcPr>
            <w:tcW w:w="146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Outstanding</w:t>
            </w:r>
          </w:p>
        </w:tc>
      </w:tr>
      <w:tr>
        <w:trPr/>
        <w:tc>
          <w:tcPr>
            <w:tcW w:w="3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 Common Stock, $.01 Par Value</w:t>
            </w:r>
          </w:p>
        </w:tc>
        <w:tc>
          <w:tcPr>
            <w:tcW w:w="14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62,331,889</w:t>
            </w:r>
          </w:p>
        </w:tc>
      </w:tr>
      <w:tr>
        <w:trPr/>
        <w:tc>
          <w:tcPr>
            <w:tcW w:w="3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Common Stock, $.01 Par Value</w:t>
            </w:r>
          </w:p>
        </w:tc>
        <w:tc>
          <w:tcPr>
            <w:tcW w:w="14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16,694,547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7" w:type="dxa"/>
        <w:tblLayout w:type="fixed"/>
        <w:tblCellMar>
          <w:top w:w="28" w:type="dxa"/>
          <w:left w:w="28" w:type="dxa"/>
          <w:bottom w:w="28" w:type="dxa"/>
          <w:right w:w="28" w:type="dxa"/>
        </w:tblCellMar>
      </w:tblPr>
      <w:tblGrid>
        <w:gridCol w:w="3390"/>
        <w:gridCol w:w="1535"/>
        <w:gridCol w:w="3575"/>
      </w:tblGrid>
      <w:tr>
        <w:trPr/>
        <w:tc>
          <w:tcPr>
            <w:tcW w:w="33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39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firstLine="100"/>
              <w:jc w:val="center"/>
              <w:rPr>
                <w:rFonts w:ascii="Times New Roman" w:hAnsi="Times New Roman"/>
                <w:caps w:val="false"/>
                <w:smallCaps w:val="false"/>
                <w:sz w:val="20"/>
              </w:rPr>
            </w:pPr>
            <w:r>
              <w:rPr>
                <w:rFonts w:ascii="Times New Roman" w:hAnsi="Times New Roman"/>
                <w:caps w:val="false"/>
                <w:smallCaps w:val="false"/>
                <w:sz w:val="20"/>
              </w:rPr>
              <w:t>Class A Common Stock, $0.01 par value</w:t>
            </w:r>
          </w:p>
        </w:tc>
        <w:tc>
          <w:tcPr>
            <w:tcW w:w="1535" w:type="dxa"/>
            <w:tcBorders>
              <w:right w:val="single" w:sz="2" w:space="0" w:color="000000"/>
            </w:tcBorders>
            <w:tcMar>
              <w:top w:w="0" w:type="dxa"/>
              <w:left w:w="0" w:type="dxa"/>
              <w:bottom w:w="0" w:type="dxa"/>
            </w:tcMar>
            <w:vAlign w:val="center"/>
          </w:tcPr>
          <w:p>
            <w:pPr>
              <w:pStyle w:val="TableContents"/>
              <w:bidi w:val="0"/>
              <w:spacing w:before="0" w:after="0"/>
              <w:ind w:left="0" w:right="0" w:firstLine="20"/>
              <w:jc w:val="center"/>
              <w:rPr>
                <w:rFonts w:ascii="Times New Roman" w:hAnsi="Times New Roman"/>
                <w:caps w:val="false"/>
                <w:smallCaps w:val="false"/>
                <w:sz w:val="20"/>
              </w:rPr>
            </w:pPr>
            <w:r>
              <w:rPr>
                <w:rFonts w:ascii="Times New Roman" w:hAnsi="Times New Roman"/>
                <w:caps w:val="false"/>
                <w:smallCaps w:val="false"/>
                <w:sz w:val="20"/>
              </w:rPr>
              <w:t>RUSHA</w:t>
            </w:r>
          </w:p>
        </w:tc>
        <w:tc>
          <w:tcPr>
            <w:tcW w:w="3575" w:type="dxa"/>
            <w:tcBorders>
              <w:right w:val="single" w:sz="2" w:space="0" w:color="000000"/>
            </w:tcBorders>
            <w:tcMar>
              <w:top w:w="0" w:type="dxa"/>
              <w:left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r>
        <w:trPr/>
        <w:tc>
          <w:tcPr>
            <w:tcW w:w="3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100"/>
              <w:jc w:val="center"/>
              <w:rPr>
                <w:rFonts w:ascii="Times New Roman" w:hAnsi="Times New Roman"/>
                <w:caps w:val="false"/>
                <w:smallCaps w:val="false"/>
                <w:sz w:val="20"/>
              </w:rPr>
            </w:pPr>
            <w:r>
              <w:rPr>
                <w:rFonts w:ascii="Times New Roman" w:hAnsi="Times New Roman"/>
                <w:caps w:val="false"/>
                <w:smallCaps w:val="false"/>
                <w:sz w:val="20"/>
              </w:rPr>
              <w:t>Class B Common Stock, $0.01 par value</w:t>
            </w:r>
          </w:p>
        </w:tc>
        <w:tc>
          <w:tcPr>
            <w:tcW w:w="153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RUSHB</w:t>
            </w:r>
          </w:p>
        </w:tc>
        <w:tc>
          <w:tcPr>
            <w:tcW w:w="35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36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RUSH ENTERPRISES, 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8"/>
        <w:gridCol w:w="9136"/>
        <w:gridCol w:w="456"/>
      </w:tblGrid>
      <w:tr>
        <w:trPr/>
        <w:tc>
          <w:tcPr>
            <w:tcW w:w="9749" w:type="dxa"/>
            <w:gridSpan w:val="3"/>
            <w:tcBorders/>
            <w:vAlign w:val="center"/>
          </w:tcPr>
          <w:p>
            <w:pPr>
              <w:pStyle w:val="TableContents"/>
              <w:bidi w:val="0"/>
              <w:spacing w:before="0" w:after="0"/>
              <w:ind w:left="0" w:right="0" w:hanging="0"/>
              <w:jc w:val="left"/>
              <w:rPr/>
            </w:pPr>
            <w:hyperlink w:anchor="p1">
              <w:r>
                <w:rPr>
                  <w:rStyle w:val="InternetLink"/>
                  <w:rFonts w:ascii="Times New Roman;Times;serif" w:hAnsi="Times New Roman;Times;serif"/>
                  <w:b/>
                  <w:caps w:val="false"/>
                  <w:smallCaps w:val="false"/>
                  <w:sz w:val="20"/>
                </w:rPr>
                <w:t>PART I.</w:t>
              </w:r>
            </w:hyperlink>
            <w:hyperlink w:anchor="p1">
              <w:r>
                <w:rPr>
                  <w:rStyle w:val="InternetLink"/>
                  <w:rFonts w:ascii="Times New Roman;Times;serif" w:hAnsi="Times New Roman;Times;serif"/>
                  <w:caps w:val="false"/>
                  <w:smallCaps w:val="false"/>
                  <w:sz w:val="20"/>
                  <w:u w:val="single"/>
                </w:rPr>
                <w:t>  </w:t>
              </w:r>
            </w:hyperlink>
            <w:hyperlink w:anchor="p1">
              <w:r>
                <w:rPr>
                  <w:rStyle w:val="InternetLink"/>
                  <w:rFonts w:ascii="Times New Roman;Times;serif" w:hAnsi="Times New Roman;Times;serif"/>
                  <w:b/>
                  <w:caps w:val="false"/>
                  <w:smallCaps w:val="false"/>
                  <w:sz w:val="20"/>
                  <w:u w:val="single"/>
                </w:rPr>
                <w:t>FINANCIAL INFORMATION</w:t>
              </w:r>
            </w:hyperlink>
          </w:p>
        </w:tc>
        <w:tc>
          <w:tcPr>
            <w:tcW w:w="456"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Page</w:t>
            </w:r>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9136"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caps w:val="false"/>
                  <w:smallCaps w:val="false"/>
                  <w:sz w:val="20"/>
                  <w:u w:val="single"/>
                </w:rPr>
                <w:t>Financial Statements</w:t>
              </w:r>
            </w:hyperlink>
          </w:p>
        </w:tc>
        <w:tc>
          <w:tcPr>
            <w:tcW w:w="4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283"/>
              <w:jc w:val="left"/>
              <w:rPr/>
            </w:pPr>
            <w:hyperlink w:anchor="bs">
              <w:r>
                <w:rPr>
                  <w:rStyle w:val="InternetLink"/>
                  <w:rFonts w:ascii="Times New Roman;Times;serif" w:hAnsi="Times New Roman;Times;serif"/>
                  <w:sz w:val="20"/>
                </w:rPr>
                <w:t>Consolidated Balance Sheets - September 30, 2024 (unaudited) and December 31, 2023</w:t>
              </w:r>
            </w:hyperlink>
          </w:p>
        </w:tc>
        <w:tc>
          <w:tcPr>
            <w:tcW w:w="456" w:type="dxa"/>
            <w:tcBorders/>
            <w:vAlign w:val="center"/>
          </w:tcPr>
          <w:p>
            <w:pPr>
              <w:pStyle w:val="TableContents"/>
              <w:bidi w:val="0"/>
              <w:spacing w:before="0" w:after="0"/>
              <w:ind w:left="0" w:right="0" w:hanging="0"/>
              <w:jc w:val="center"/>
              <w:rPr/>
            </w:pPr>
            <w:hyperlink w:anchor="bs">
              <w:r>
                <w:rPr>
                  <w:rStyle w:val="InternetLink"/>
                  <w:rFonts w:ascii="Times New Roman;Times;serif" w:hAnsi="Times New Roman;Times;serif"/>
                  <w:caps w:val="false"/>
                  <w:smallCaps w:val="false"/>
                  <w:sz w:val="20"/>
                </w:rPr>
                <w:t>3</w:t>
              </w:r>
            </w:hyperlink>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283"/>
              <w:jc w:val="left"/>
              <w:rPr/>
            </w:pPr>
            <w:hyperlink w:anchor="income">
              <w:r>
                <w:rPr>
                  <w:rStyle w:val="InternetLink"/>
                  <w:rFonts w:ascii="Times New Roman;Times;serif" w:hAnsi="Times New Roman;Times;serif"/>
                  <w:sz w:val="20"/>
                </w:rPr>
                <w:t>Consolidated Statements of Income - For the Three and Nine Months Ended  September 30, 2024 and 2023 (unaudited)</w:t>
              </w:r>
            </w:hyperlink>
          </w:p>
        </w:tc>
        <w:tc>
          <w:tcPr>
            <w:tcW w:w="456" w:type="dxa"/>
            <w:tcBorders/>
            <w:vAlign w:val="center"/>
          </w:tcPr>
          <w:p>
            <w:pPr>
              <w:pStyle w:val="TableContents"/>
              <w:bidi w:val="0"/>
              <w:spacing w:before="0" w:after="0"/>
              <w:ind w:left="0" w:right="0" w:hanging="0"/>
              <w:jc w:val="center"/>
              <w:rPr/>
            </w:pPr>
            <w:hyperlink w:anchor="income">
              <w:r>
                <w:rPr>
                  <w:rStyle w:val="InternetLink"/>
                  <w:rFonts w:ascii="Times New Roman;Times;serif" w:hAnsi="Times New Roman;Times;serif"/>
                  <w:caps w:val="false"/>
                  <w:smallCaps w:val="false"/>
                  <w:sz w:val="20"/>
                </w:rPr>
                <w:t>4</w:t>
              </w:r>
            </w:hyperlink>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283"/>
              <w:jc w:val="left"/>
              <w:rPr/>
            </w:pPr>
            <w:hyperlink w:anchor="compincome">
              <w:r>
                <w:rPr>
                  <w:rStyle w:val="InternetLink"/>
                  <w:rFonts w:ascii="Times New Roman;Times;serif" w:hAnsi="Times New Roman;Times;serif"/>
                  <w:sz w:val="20"/>
                </w:rPr>
                <w:t>Consolidated Statements of Comprehensive Income - For the Three and Nine Months Ended September 30, 2024 and 2023 (unaudited)</w:t>
              </w:r>
            </w:hyperlink>
          </w:p>
        </w:tc>
        <w:tc>
          <w:tcPr>
            <w:tcW w:w="456" w:type="dxa"/>
            <w:tcBorders/>
            <w:vAlign w:val="center"/>
          </w:tcPr>
          <w:p>
            <w:pPr>
              <w:pStyle w:val="TableContents"/>
              <w:bidi w:val="0"/>
              <w:spacing w:before="0" w:after="0"/>
              <w:ind w:left="0" w:right="0" w:hanging="0"/>
              <w:jc w:val="center"/>
              <w:rPr/>
            </w:pPr>
            <w:hyperlink w:anchor="compincome">
              <w:r>
                <w:rPr>
                  <w:rStyle w:val="InternetLink"/>
                  <w:rFonts w:ascii="Times New Roman;Times;serif" w:hAnsi="Times New Roman;Times;serif"/>
                  <w:caps w:val="false"/>
                  <w:smallCaps w:val="false"/>
                  <w:sz w:val="20"/>
                </w:rPr>
                <w:t>5</w:t>
              </w:r>
            </w:hyperlink>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283"/>
              <w:jc w:val="left"/>
              <w:rPr/>
            </w:pPr>
            <w:hyperlink w:anchor="eq">
              <w:r>
                <w:rPr>
                  <w:rStyle w:val="InternetLink"/>
                  <w:rFonts w:ascii="Times New Roman;Times;serif" w:hAnsi="Times New Roman;Times;serif"/>
                  <w:sz w:val="20"/>
                </w:rPr>
                <w:t>Consolidated Statements of Shareholders’ Equity – For the Three and Nine Months Ended September 30, 2024 and 2023 (unaudited)</w:t>
              </w:r>
            </w:hyperlink>
          </w:p>
        </w:tc>
        <w:tc>
          <w:tcPr>
            <w:tcW w:w="456" w:type="dxa"/>
            <w:tcBorders/>
            <w:vAlign w:val="center"/>
          </w:tcPr>
          <w:p>
            <w:pPr>
              <w:pStyle w:val="TableContents"/>
              <w:bidi w:val="0"/>
              <w:spacing w:before="0" w:after="0"/>
              <w:ind w:left="0" w:right="0" w:hanging="0"/>
              <w:jc w:val="center"/>
              <w:rPr/>
            </w:pPr>
            <w:hyperlink w:anchor="eq">
              <w:r>
                <w:rPr>
                  <w:rStyle w:val="InternetLink"/>
                  <w:rFonts w:ascii="Times New Roman;Times;serif" w:hAnsi="Times New Roman;Times;serif"/>
                  <w:caps w:val="false"/>
                  <w:smallCaps w:val="false"/>
                  <w:sz w:val="20"/>
                </w:rPr>
                <w:t>6</w:t>
              </w:r>
            </w:hyperlink>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283"/>
              <w:jc w:val="left"/>
              <w:rPr/>
            </w:pPr>
            <w:hyperlink w:anchor="cf">
              <w:r>
                <w:rPr>
                  <w:rStyle w:val="InternetLink"/>
                  <w:rFonts w:ascii="Times New Roman;Times;serif" w:hAnsi="Times New Roman;Times;serif"/>
                  <w:sz w:val="20"/>
                </w:rPr>
                <w:t>Consolidated Statements of Cash Flows - For the Nine Months Ended September 30, 2024 and 2023 (unaudited) </w:t>
              </w:r>
            </w:hyperlink>
          </w:p>
        </w:tc>
        <w:tc>
          <w:tcPr>
            <w:tcW w:w="456" w:type="dxa"/>
            <w:tcBorders/>
            <w:vAlign w:val="center"/>
          </w:tcPr>
          <w:p>
            <w:pPr>
              <w:pStyle w:val="TableContents"/>
              <w:bidi w:val="0"/>
              <w:spacing w:before="0" w:after="0"/>
              <w:ind w:left="0" w:right="0" w:hanging="0"/>
              <w:jc w:val="center"/>
              <w:rPr/>
            </w:pPr>
            <w:hyperlink w:anchor="cf">
              <w:r>
                <w:rPr>
                  <w:rStyle w:val="InternetLink"/>
                  <w:rFonts w:ascii="Times New Roman;Times;serif" w:hAnsi="Times New Roman;Times;serif"/>
                  <w:caps w:val="false"/>
                  <w:smallCaps w:val="false"/>
                  <w:sz w:val="20"/>
                </w:rPr>
                <w:t>8</w:t>
              </w:r>
            </w:hyperlink>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caps w:val="false"/>
                  <w:smallCaps w:val="false"/>
                  <w:sz w:val="20"/>
                  <w:u w:val="single"/>
                </w:rPr>
                <w:t>Notes to Consolidated Financial Statements (unaudited)</w:t>
              </w:r>
            </w:hyperlink>
          </w:p>
        </w:tc>
        <w:tc>
          <w:tcPr>
            <w:tcW w:w="456" w:type="dxa"/>
            <w:tcBorders/>
            <w:vAlign w:val="center"/>
          </w:tcPr>
          <w:p>
            <w:pPr>
              <w:pStyle w:val="TableContents"/>
              <w:bidi w:val="0"/>
              <w:spacing w:before="0" w:after="0"/>
              <w:ind w:left="0" w:right="0" w:hanging="0"/>
              <w:jc w:val="center"/>
              <w:rPr/>
            </w:pPr>
            <w:hyperlink w:anchor="notes">
              <w:r>
                <w:rPr>
                  <w:rStyle w:val="InternetLink"/>
                  <w:rFonts w:ascii="Times New Roman;Times;serif" w:hAnsi="Times New Roman;Times;serif"/>
                  <w:caps w:val="false"/>
                  <w:smallCaps w:val="false"/>
                  <w:sz w:val="20"/>
                </w:rPr>
                <w:t>9</w:t>
              </w:r>
            </w:hyperlink>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9136" w:type="dxa"/>
            <w:tcBorders/>
            <w:vAlign w:val="center"/>
          </w:tcPr>
          <w:p>
            <w:pPr>
              <w:pStyle w:val="TableContents"/>
              <w:bidi w:val="0"/>
              <w:spacing w:before="0" w:after="0"/>
              <w:ind w:left="0" w:right="0" w:hanging="0"/>
              <w:jc w:val="left"/>
              <w:rPr/>
            </w:pPr>
            <w:hyperlink w:anchor="item2">
              <w:r>
                <w:rPr>
                  <w:rStyle w:val="InternetLink"/>
                  <w:rFonts w:ascii="Times New Roman;Times;serif" w:hAnsi="Times New Roman;Times;serif"/>
                  <w:caps w:val="false"/>
                  <w:smallCaps w:val="false"/>
                  <w:sz w:val="20"/>
                </w:rPr>
                <w:t>Management’</w:t>
              </w:r>
            </w:hyperlink>
            <w:hyperlink w:anchor="item2">
              <w:r>
                <w:rPr>
                  <w:rStyle w:val="InternetLink"/>
                  <w:rFonts w:ascii="Times New Roman;Times;serif" w:hAnsi="Times New Roman;Times;serif"/>
                  <w:caps w:val="false"/>
                  <w:smallCaps w:val="false"/>
                  <w:sz w:val="20"/>
                  <w:u w:val="single"/>
                </w:rPr>
                <w:t>s Discussion and Analysis of Financial Condition and Results of Operations</w:t>
              </w:r>
            </w:hyperlink>
          </w:p>
        </w:tc>
        <w:tc>
          <w:tcPr>
            <w:tcW w:w="456" w:type="dxa"/>
            <w:tcBorders/>
            <w:vAlign w:val="center"/>
          </w:tcPr>
          <w:p>
            <w:pPr>
              <w:pStyle w:val="TableContents"/>
              <w:bidi w:val="0"/>
              <w:spacing w:before="0" w:after="0"/>
              <w:ind w:left="0" w:right="0" w:hanging="0"/>
              <w:jc w:val="center"/>
              <w:rPr/>
            </w:pPr>
            <w:hyperlink w:anchor="item2">
              <w:r>
                <w:rPr>
                  <w:rStyle w:val="InternetLink"/>
                  <w:rFonts w:ascii="Times New Roman;Times;serif" w:hAnsi="Times New Roman;Times;serif"/>
                  <w:caps w:val="false"/>
                  <w:smallCaps w:val="false"/>
                  <w:sz w:val="20"/>
                </w:rPr>
                <w:t>14</w:t>
              </w:r>
            </w:hyperlink>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9136"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caps w:val="false"/>
                  <w:smallCaps w:val="false"/>
                  <w:sz w:val="20"/>
                  <w:u w:val="single"/>
                </w:rPr>
                <w:t>Quantitative and Qualitative Disclosures About Market Risk</w:t>
              </w:r>
            </w:hyperlink>
          </w:p>
        </w:tc>
        <w:tc>
          <w:tcPr>
            <w:tcW w:w="456" w:type="dxa"/>
            <w:tcBorders/>
            <w:vAlign w:val="center"/>
          </w:tcPr>
          <w:p>
            <w:pPr>
              <w:pStyle w:val="TableContents"/>
              <w:bidi w:val="0"/>
              <w:spacing w:before="0" w:after="0"/>
              <w:ind w:left="0" w:right="0" w:hanging="0"/>
              <w:jc w:val="center"/>
              <w:rPr/>
            </w:pPr>
            <w:hyperlink w:anchor="item3">
              <w:r>
                <w:rPr>
                  <w:rStyle w:val="InternetLink"/>
                  <w:rFonts w:ascii="Times New Roman;Times;serif" w:hAnsi="Times New Roman;Times;serif"/>
                  <w:caps w:val="false"/>
                  <w:smallCaps w:val="false"/>
                  <w:sz w:val="20"/>
                </w:rPr>
                <w:t>26</w:t>
              </w:r>
            </w:hyperlink>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9136"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caps w:val="false"/>
                  <w:smallCaps w:val="false"/>
                  <w:sz w:val="20"/>
                  <w:u w:val="single"/>
                </w:rPr>
                <w:t>Controls and Procedures</w:t>
              </w:r>
            </w:hyperlink>
          </w:p>
        </w:tc>
        <w:tc>
          <w:tcPr>
            <w:tcW w:w="456" w:type="dxa"/>
            <w:tcBorders/>
            <w:vAlign w:val="center"/>
          </w:tcPr>
          <w:p>
            <w:pPr>
              <w:pStyle w:val="TableContents"/>
              <w:bidi w:val="0"/>
              <w:spacing w:before="0" w:after="0"/>
              <w:ind w:left="0" w:right="0" w:hanging="0"/>
              <w:jc w:val="center"/>
              <w:rPr/>
            </w:pPr>
            <w:hyperlink w:anchor="item4">
              <w:r>
                <w:rPr>
                  <w:rStyle w:val="InternetLink"/>
                  <w:rFonts w:ascii="Times New Roman;Times;serif" w:hAnsi="Times New Roman;Times;serif"/>
                  <w:caps w:val="false"/>
                  <w:smallCaps w:val="false"/>
                  <w:sz w:val="20"/>
                </w:rPr>
                <w:t>26</w:t>
              </w:r>
            </w:hyperlink>
          </w:p>
        </w:tc>
      </w:tr>
    </w:tbl>
    <w:p>
      <w:pPr>
        <w:pStyle w:val="TextBody"/>
        <w:bidi w:val="0"/>
        <w:spacing w:before="0" w:after="0"/>
        <w:ind w:left="0" w:right="0" w:hanging="0"/>
        <w:jc w:val="left"/>
        <w:rPr>
          <w:caps w:val="false"/>
          <w:smallCaps w:val="false"/>
        </w:rPr>
      </w:pPr>
      <w:r>
        <w:rPr>
          <w:caps w:val="false"/>
          <w:smallCaps w:val="false"/>
        </w:rPr>
        <w:t> </w:t>
      </w:r>
    </w:p>
    <w:tbl>
      <w:tblPr>
        <w:tblW w:w="5865" w:type="dxa"/>
        <w:jc w:val="left"/>
        <w:tblInd w:w="0" w:type="dxa"/>
        <w:tblLayout w:type="fixed"/>
        <w:tblCellMar>
          <w:top w:w="0" w:type="dxa"/>
          <w:left w:w="0" w:type="dxa"/>
          <w:bottom w:w="0" w:type="dxa"/>
          <w:right w:w="0" w:type="dxa"/>
        </w:tblCellMar>
      </w:tblPr>
      <w:tblGrid>
        <w:gridCol w:w="75"/>
        <w:gridCol w:w="710"/>
        <w:gridCol w:w="4835"/>
        <w:gridCol w:w="245"/>
      </w:tblGrid>
      <w:tr>
        <w:trPr/>
        <w:tc>
          <w:tcPr>
            <w:tcW w:w="5620" w:type="dxa"/>
            <w:gridSpan w:val="3"/>
            <w:tcBorders/>
            <w:vAlign w:val="center"/>
          </w:tcPr>
          <w:p>
            <w:pPr>
              <w:pStyle w:val="TableContents"/>
              <w:bidi w:val="0"/>
              <w:spacing w:before="0" w:after="0"/>
              <w:ind w:left="0" w:right="0" w:hanging="0"/>
              <w:jc w:val="left"/>
              <w:rPr/>
            </w:pPr>
            <w:hyperlink w:anchor="part2">
              <w:r>
                <w:rPr>
                  <w:rStyle w:val="InternetLink"/>
                  <w:rFonts w:ascii="Times New Roman;Times;serif" w:hAnsi="Times New Roman;Times;serif"/>
                  <w:b/>
                  <w:caps w:val="false"/>
                  <w:smallCaps w:val="false"/>
                  <w:sz w:val="20"/>
                  <w:u w:val="single"/>
                </w:rPr>
                <w:t>PART II.</w:t>
              </w:r>
            </w:hyperlink>
            <w:hyperlink w:anchor="part2">
              <w:r>
                <w:rPr>
                  <w:rStyle w:val="InternetLink"/>
                  <w:rFonts w:ascii="Times New Roman;Times;serif" w:hAnsi="Times New Roman;Times;serif"/>
                  <w:caps w:val="false"/>
                  <w:smallCaps w:val="false"/>
                  <w:sz w:val="20"/>
                  <w:u w:val="single"/>
                </w:rPr>
                <w:t>  </w:t>
              </w:r>
            </w:hyperlink>
            <w:hyperlink w:anchor="part2">
              <w:r>
                <w:rPr>
                  <w:rStyle w:val="InternetLink"/>
                  <w:rFonts w:ascii="Times New Roman;Times;serif" w:hAnsi="Times New Roman;Times;serif"/>
                  <w:b/>
                  <w:caps w:val="false"/>
                  <w:smallCaps w:val="false"/>
                  <w:sz w:val="20"/>
                  <w:u w:val="single"/>
                </w:rPr>
                <w:t>OTHER INFORMATION</w:t>
              </w:r>
            </w:hyperlink>
          </w:p>
        </w:tc>
        <w:tc>
          <w:tcPr>
            <w:tcW w:w="2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4835" w:type="dxa"/>
            <w:tcBorders/>
            <w:vAlign w:val="center"/>
          </w:tcPr>
          <w:p>
            <w:pPr>
              <w:pStyle w:val="TableContents"/>
              <w:bidi w:val="0"/>
              <w:spacing w:before="0" w:after="0"/>
              <w:ind w:left="0" w:right="0" w:hanging="0"/>
              <w:jc w:val="left"/>
              <w:rPr/>
            </w:pPr>
            <w:hyperlink w:anchor="legal">
              <w:r>
                <w:rPr>
                  <w:rStyle w:val="InternetLink"/>
                  <w:rFonts w:ascii="Times New Roman;Times;serif" w:hAnsi="Times New Roman;Times;serif"/>
                  <w:caps w:val="false"/>
                  <w:smallCaps w:val="false"/>
                  <w:sz w:val="20"/>
                  <w:u w:val="single"/>
                </w:rPr>
                <w:t>Legal Proceedings</w:t>
              </w:r>
            </w:hyperlink>
          </w:p>
        </w:tc>
        <w:tc>
          <w:tcPr>
            <w:tcW w:w="245" w:type="dxa"/>
            <w:tcBorders/>
            <w:vAlign w:val="center"/>
          </w:tcPr>
          <w:p>
            <w:pPr>
              <w:pStyle w:val="TableContents"/>
              <w:bidi w:val="0"/>
              <w:spacing w:before="0" w:after="0"/>
              <w:ind w:left="0" w:right="0" w:hanging="0"/>
              <w:jc w:val="center"/>
              <w:rPr/>
            </w:pPr>
            <w:hyperlink w:anchor="legal">
              <w:r>
                <w:rPr>
                  <w:rStyle w:val="InternetLink"/>
                  <w:rFonts w:ascii="Times New Roman;Times;serif" w:hAnsi="Times New Roman;Times;serif"/>
                  <w:caps w:val="false"/>
                  <w:smallCaps w:val="false"/>
                  <w:sz w:val="20"/>
                  <w:u w:val="single"/>
                </w:rPr>
                <w:t>26</w:t>
              </w:r>
            </w:hyperlink>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1A.</w:t>
            </w:r>
          </w:p>
        </w:tc>
        <w:tc>
          <w:tcPr>
            <w:tcW w:w="4835" w:type="dxa"/>
            <w:tcBorders/>
            <w:vAlign w:val="center"/>
          </w:tcPr>
          <w:p>
            <w:pPr>
              <w:pStyle w:val="TableContents"/>
              <w:bidi w:val="0"/>
              <w:spacing w:before="0" w:after="0"/>
              <w:ind w:left="0" w:right="0" w:hanging="0"/>
              <w:jc w:val="left"/>
              <w:rPr/>
            </w:pPr>
            <w:hyperlink w:anchor="risk">
              <w:r>
                <w:rPr>
                  <w:rStyle w:val="InternetLink"/>
                  <w:rFonts w:ascii="Times New Roman;Times;serif" w:hAnsi="Times New Roman;Times;serif"/>
                  <w:caps w:val="false"/>
                  <w:smallCaps w:val="false"/>
                  <w:sz w:val="20"/>
                  <w:u w:val="single"/>
                </w:rPr>
                <w:t>Risk Factors</w:t>
              </w:r>
            </w:hyperlink>
          </w:p>
        </w:tc>
        <w:tc>
          <w:tcPr>
            <w:tcW w:w="245" w:type="dxa"/>
            <w:tcBorders/>
            <w:vAlign w:val="center"/>
          </w:tcPr>
          <w:p>
            <w:pPr>
              <w:pStyle w:val="TableContents"/>
              <w:bidi w:val="0"/>
              <w:spacing w:before="0" w:after="0"/>
              <w:ind w:left="0" w:right="0" w:hanging="0"/>
              <w:jc w:val="center"/>
              <w:rPr/>
            </w:pPr>
            <w:hyperlink w:anchor="risk">
              <w:r>
                <w:rPr>
                  <w:rStyle w:val="InternetLink"/>
                  <w:rFonts w:ascii="Times New Roman;Times;serif" w:hAnsi="Times New Roman;Times;serif"/>
                  <w:caps w:val="false"/>
                  <w:smallCaps w:val="false"/>
                  <w:sz w:val="20"/>
                  <w:u w:val="single"/>
                </w:rPr>
                <w:t>27</w:t>
              </w:r>
            </w:hyperlink>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4835" w:type="dxa"/>
            <w:tcBorders/>
            <w:vAlign w:val="center"/>
          </w:tcPr>
          <w:p>
            <w:pPr>
              <w:pStyle w:val="TableContents"/>
              <w:bidi w:val="0"/>
              <w:spacing w:before="0" w:after="0"/>
              <w:ind w:left="0" w:right="0" w:hanging="0"/>
              <w:jc w:val="left"/>
              <w:rPr/>
            </w:pPr>
            <w:hyperlink w:anchor="unreg">
              <w:r>
                <w:rPr>
                  <w:rStyle w:val="InternetLink"/>
                  <w:rFonts w:ascii="Times New Roman;Times;serif" w:hAnsi="Times New Roman;Times;serif"/>
                  <w:caps w:val="false"/>
                  <w:smallCaps w:val="false"/>
                  <w:sz w:val="20"/>
                  <w:u w:val="single"/>
                </w:rPr>
                <w:t>Unregistered Sales of Equity Securities and Use of Proceeds</w:t>
              </w:r>
            </w:hyperlink>
          </w:p>
        </w:tc>
        <w:tc>
          <w:tcPr>
            <w:tcW w:w="245" w:type="dxa"/>
            <w:tcBorders/>
            <w:vAlign w:val="center"/>
          </w:tcPr>
          <w:p>
            <w:pPr>
              <w:pStyle w:val="TableContents"/>
              <w:bidi w:val="0"/>
              <w:spacing w:before="0" w:after="0"/>
              <w:ind w:left="0" w:right="0" w:hanging="0"/>
              <w:jc w:val="center"/>
              <w:rPr/>
            </w:pPr>
            <w:hyperlink w:anchor="unreg">
              <w:r>
                <w:rPr>
                  <w:rStyle w:val="InternetLink"/>
                  <w:rFonts w:ascii="Times New Roman;Times;serif" w:hAnsi="Times New Roman;Times;serif"/>
                  <w:caps w:val="false"/>
                  <w:smallCaps w:val="false"/>
                  <w:sz w:val="20"/>
                  <w:u w:val="single"/>
                </w:rPr>
                <w:t>27</w:t>
              </w:r>
            </w:hyperlink>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4835" w:type="dxa"/>
            <w:tcBorders/>
            <w:vAlign w:val="center"/>
          </w:tcPr>
          <w:p>
            <w:pPr>
              <w:pStyle w:val="TableContents"/>
              <w:bidi w:val="0"/>
              <w:spacing w:before="0" w:after="0"/>
              <w:ind w:left="0" w:right="0" w:hanging="0"/>
              <w:jc w:val="left"/>
              <w:rPr/>
            </w:pPr>
            <w:hyperlink w:anchor="def">
              <w:r>
                <w:rPr>
                  <w:rStyle w:val="InternetLink"/>
                  <w:rFonts w:ascii="Times New Roman;Times;serif" w:hAnsi="Times New Roman;Times;serif"/>
                  <w:caps w:val="false"/>
                  <w:smallCaps w:val="false"/>
                  <w:sz w:val="20"/>
                  <w:u w:val="single"/>
                </w:rPr>
                <w:t>Defaults Upon Senior Securities</w:t>
              </w:r>
            </w:hyperlink>
          </w:p>
        </w:tc>
        <w:tc>
          <w:tcPr>
            <w:tcW w:w="245" w:type="dxa"/>
            <w:tcBorders/>
            <w:vAlign w:val="center"/>
          </w:tcPr>
          <w:p>
            <w:pPr>
              <w:pStyle w:val="TableContents"/>
              <w:bidi w:val="0"/>
              <w:spacing w:before="0" w:after="0"/>
              <w:ind w:left="0" w:right="0" w:hanging="0"/>
              <w:jc w:val="center"/>
              <w:rPr/>
            </w:pPr>
            <w:hyperlink w:anchor="def">
              <w:r>
                <w:rPr>
                  <w:rStyle w:val="InternetLink"/>
                  <w:rFonts w:ascii="Times New Roman;Times;serif" w:hAnsi="Times New Roman;Times;serif"/>
                  <w:caps w:val="false"/>
                  <w:smallCaps w:val="false"/>
                  <w:sz w:val="20"/>
                  <w:u w:val="single"/>
                </w:rPr>
                <w:t>27</w:t>
              </w:r>
            </w:hyperlink>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4835" w:type="dxa"/>
            <w:tcBorders/>
            <w:vAlign w:val="center"/>
          </w:tcPr>
          <w:p>
            <w:pPr>
              <w:pStyle w:val="TableContents"/>
              <w:bidi w:val="0"/>
              <w:spacing w:before="0" w:after="0"/>
              <w:ind w:left="0" w:right="0" w:hanging="0"/>
              <w:jc w:val="left"/>
              <w:rPr/>
            </w:pPr>
            <w:hyperlink w:anchor="mine">
              <w:r>
                <w:rPr>
                  <w:rStyle w:val="InternetLink"/>
                  <w:rFonts w:ascii="Times New Roman;Times;serif" w:hAnsi="Times New Roman;Times;serif"/>
                  <w:caps w:val="false"/>
                  <w:smallCaps w:val="false"/>
                  <w:sz w:val="20"/>
                  <w:u w:val="single"/>
                </w:rPr>
                <w:t>Mine Safety Disclosures</w:t>
              </w:r>
            </w:hyperlink>
          </w:p>
        </w:tc>
        <w:tc>
          <w:tcPr>
            <w:tcW w:w="245" w:type="dxa"/>
            <w:tcBorders/>
            <w:vAlign w:val="center"/>
          </w:tcPr>
          <w:p>
            <w:pPr>
              <w:pStyle w:val="TableContents"/>
              <w:bidi w:val="0"/>
              <w:spacing w:before="0" w:after="0"/>
              <w:ind w:left="0" w:right="0" w:hanging="0"/>
              <w:jc w:val="center"/>
              <w:rPr/>
            </w:pPr>
            <w:hyperlink w:anchor="mine">
              <w:r>
                <w:rPr>
                  <w:rStyle w:val="InternetLink"/>
                  <w:rFonts w:ascii="Times New Roman;Times;serif" w:hAnsi="Times New Roman;Times;serif"/>
                  <w:caps w:val="false"/>
                  <w:smallCaps w:val="false"/>
                  <w:sz w:val="20"/>
                  <w:u w:val="single"/>
                </w:rPr>
                <w:t>27</w:t>
              </w:r>
            </w:hyperlink>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5.</w:t>
            </w:r>
          </w:p>
        </w:tc>
        <w:tc>
          <w:tcPr>
            <w:tcW w:w="4835" w:type="dxa"/>
            <w:tcBorders/>
            <w:vAlign w:val="center"/>
          </w:tcPr>
          <w:p>
            <w:pPr>
              <w:pStyle w:val="TableContents"/>
              <w:bidi w:val="0"/>
              <w:spacing w:before="0" w:after="0"/>
              <w:ind w:left="0" w:right="0" w:hanging="0"/>
              <w:jc w:val="left"/>
              <w:rPr/>
            </w:pPr>
            <w:hyperlink w:anchor="other">
              <w:r>
                <w:rPr>
                  <w:rStyle w:val="InternetLink"/>
                  <w:rFonts w:ascii="Times New Roman;Times;serif" w:hAnsi="Times New Roman;Times;serif"/>
                  <w:caps w:val="false"/>
                  <w:smallCaps w:val="false"/>
                  <w:sz w:val="20"/>
                  <w:u w:val="single"/>
                </w:rPr>
                <w:t>Other Information</w:t>
              </w:r>
            </w:hyperlink>
          </w:p>
        </w:tc>
        <w:tc>
          <w:tcPr>
            <w:tcW w:w="245" w:type="dxa"/>
            <w:tcBorders/>
            <w:vAlign w:val="center"/>
          </w:tcPr>
          <w:p>
            <w:pPr>
              <w:pStyle w:val="TableContents"/>
              <w:bidi w:val="0"/>
              <w:spacing w:before="0" w:after="0"/>
              <w:ind w:left="0" w:right="0" w:hanging="0"/>
              <w:jc w:val="center"/>
              <w:rPr/>
            </w:pPr>
            <w:hyperlink w:anchor="other">
              <w:r>
                <w:rPr>
                  <w:rStyle w:val="InternetLink"/>
                  <w:rFonts w:ascii="Times New Roman;Times;serif" w:hAnsi="Times New Roman;Times;serif"/>
                  <w:caps w:val="false"/>
                  <w:smallCaps w:val="false"/>
                  <w:sz w:val="20"/>
                  <w:u w:val="single"/>
                </w:rPr>
                <w:t>27</w:t>
              </w:r>
            </w:hyperlink>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6.</w:t>
            </w:r>
          </w:p>
        </w:tc>
        <w:tc>
          <w:tcPr>
            <w:tcW w:w="4835"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caps w:val="false"/>
                  <w:smallCaps w:val="false"/>
                  <w:sz w:val="20"/>
                  <w:u w:val="single"/>
                </w:rPr>
                <w:t>Exhibits</w:t>
              </w:r>
            </w:hyperlink>
          </w:p>
        </w:tc>
        <w:tc>
          <w:tcPr>
            <w:tcW w:w="245" w:type="dxa"/>
            <w:tcBorders/>
            <w:vAlign w:val="center"/>
          </w:tcPr>
          <w:p>
            <w:pPr>
              <w:pStyle w:val="TableContents"/>
              <w:bidi w:val="0"/>
              <w:spacing w:before="0" w:after="0"/>
              <w:ind w:left="0" w:right="0" w:hanging="0"/>
              <w:jc w:val="center"/>
              <w:rPr/>
            </w:pPr>
            <w:hyperlink w:anchor="exhibits">
              <w:r>
                <w:rPr>
                  <w:rStyle w:val="InternetLink"/>
                  <w:rFonts w:ascii="Times New Roman;Times;serif" w:hAnsi="Times New Roman;Times;serif"/>
                  <w:caps w:val="false"/>
                  <w:smallCaps w:val="false"/>
                  <w:sz w:val="20"/>
                  <w:u w:val="single"/>
                </w:rPr>
                <w:t>28</w:t>
              </w:r>
            </w:hyperlink>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5620" w:type="dxa"/>
            <w:gridSpan w:val="3"/>
            <w:tcBorders/>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b/>
                  <w:caps w:val="false"/>
                  <w:smallCaps w:val="false"/>
                  <w:sz w:val="20"/>
                  <w:u w:val="single"/>
                </w:rPr>
                <w:t>SIGNATURES</w:t>
              </w:r>
            </w:hyperlink>
          </w:p>
        </w:tc>
        <w:tc>
          <w:tcPr>
            <w:tcW w:w="245" w:type="dxa"/>
            <w:tcBorders/>
            <w:vAlign w:val="center"/>
          </w:tcPr>
          <w:p>
            <w:pPr>
              <w:pStyle w:val="TableContents"/>
              <w:bidi w:val="0"/>
              <w:spacing w:before="0" w:after="0"/>
              <w:ind w:left="0" w:right="0" w:hanging="0"/>
              <w:jc w:val="center"/>
              <w:rPr/>
            </w:pPr>
            <w:hyperlink w:anchor="sigs">
              <w:r>
                <w:rPr>
                  <w:rStyle w:val="InternetLink"/>
                  <w:rFonts w:ascii="Times New Roman;Times;serif" w:hAnsi="Times New Roman;Times;serif"/>
                  <w:caps w:val="false"/>
                  <w:smallCaps w:val="false"/>
                  <w:sz w:val="20"/>
                  <w:u w:val="single"/>
                </w:rPr>
                <w:t>29</w:t>
              </w:r>
            </w:hyperlink>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 w:name="p1"/>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rFonts w:ascii="Times New Roman" w:hAnsi="Times New Roman"/>
          <w:b/>
          <w:caps w:val="false"/>
          <w:smallCaps w:val="false"/>
          <w:sz w:val="20"/>
        </w:rPr>
      </w:pPr>
      <w:bookmarkStart w:id="4" w:name="item1"/>
      <w:bookmarkEnd w:id="4"/>
      <w:r>
        <w:rPr>
          <w:rFonts w:ascii="Times New Roman" w:hAnsi="Times New Roman"/>
          <w:b/>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bookmarkStart w:id="5" w:name="bs"/>
      <w:bookmarkEnd w:id="5"/>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BALANCE SHEETS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40"/>
        <w:gridCol w:w="60"/>
        <w:gridCol w:w="135"/>
        <w:gridCol w:w="914"/>
        <w:gridCol w:w="80"/>
        <w:gridCol w:w="60"/>
        <w:gridCol w:w="133"/>
        <w:gridCol w:w="901"/>
        <w:gridCol w:w="82"/>
      </w:tblGrid>
      <w:tr>
        <w:trPr/>
        <w:tc>
          <w:tcPr>
            <w:tcW w:w="7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2" w:type="dxa"/>
            <w:tcBorders/>
            <w:vAlign w:val="center"/>
          </w:tcPr>
          <w:p>
            <w:pPr>
              <w:pStyle w:val="TableContents"/>
              <w:bidi w:val="0"/>
              <w:spacing w:before="0" w:after="283"/>
              <w:jc w:val="left"/>
              <w:rPr/>
            </w:pPr>
            <w:r>
              <w:rPr/>
              <w:t> </w:t>
            </w:r>
          </w:p>
        </w:tc>
      </w:tr>
      <w:tr>
        <w:trPr/>
        <w:tc>
          <w:tcPr>
            <w:tcW w:w="7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2" w:type="dxa"/>
            <w:tcBorders/>
            <w:vAlign w:val="center"/>
          </w:tcPr>
          <w:p>
            <w:pPr>
              <w:pStyle w:val="TableContents"/>
              <w:bidi w:val="0"/>
              <w:spacing w:before="0" w:after="283"/>
              <w:jc w:val="left"/>
              <w:rPr/>
            </w:pPr>
            <w:r>
              <w:rPr/>
              <w:t> </w:t>
            </w:r>
          </w:p>
        </w:tc>
      </w:tr>
      <w:tr>
        <w:trPr/>
        <w:tc>
          <w:tcPr>
            <w:tcW w:w="7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ind w:left="180" w:right="0" w:hanging="0"/>
              <w:jc w:val="left"/>
              <w:rPr/>
            </w:pPr>
            <w:r>
              <w:rPr/>
              <w:t> </w:t>
            </w:r>
          </w:p>
        </w:tc>
      </w:tr>
      <w:tr>
        <w:trPr/>
        <w:tc>
          <w:tcPr>
            <w:tcW w:w="7840" w:type="dxa"/>
            <w:tcBorders>
              <w:bottom w:val="single" w:sz="2" w:space="0" w:color="000000"/>
            </w:tcBorders>
            <w:shd w:fill="CCEEFF" w:val="clear"/>
            <w:tcMar>
              <w:bottom w:w="28" w:type="dxa"/>
            </w:tcMar>
            <w:vAlign w:val="center"/>
          </w:tcPr>
          <w:p>
            <w:pPr>
              <w:pStyle w:val="TableContents"/>
              <w:bidi w:val="0"/>
              <w:spacing w:before="0" w:after="0"/>
              <w:ind w:left="36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183,725</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282,553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259,353</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Notes receivable from affiliate</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1,964,835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1,801,447</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15,779</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2,460,393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2,260,304</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1,568,056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1,488,086</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120,162</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net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420,708</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 net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74,981</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40" w:type="dxa"/>
            <w:tcBorders/>
            <w:shd w:fill="CCEEFF" w:val="clear"/>
            <w:vAlign w:val="center"/>
          </w:tcPr>
          <w:p>
            <w:pPr>
              <w:pStyle w:val="TableContents"/>
              <w:bidi w:val="0"/>
              <w:spacing w:before="0" w:after="0"/>
              <w:ind w:left="36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4,648,471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4,364,241</w:t>
            </w:r>
          </w:p>
        </w:tc>
        <w:tc>
          <w:tcPr>
            <w:tcW w:w="82" w:type="dxa"/>
            <w:tcBorders/>
            <w:shd w:fill="CCEEFF" w:val="clear"/>
            <w:vAlign w:val="center"/>
          </w:tcPr>
          <w:p>
            <w:pPr>
              <w:pStyle w:val="TableContents"/>
              <w:bidi w:val="0"/>
              <w:spacing w:before="0" w:after="283"/>
              <w:jc w:val="left"/>
              <w:rPr/>
            </w:pPr>
            <w:r>
              <w:rPr/>
              <w:t> </w:t>
            </w:r>
          </w:p>
        </w:tc>
      </w:tr>
      <w:tr>
        <w:trPr/>
        <w:tc>
          <w:tcPr>
            <w:tcW w:w="7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40" w:type="dxa"/>
            <w:tcBorders>
              <w:bottom w:val="single" w:sz="2" w:space="0" w:color="000000"/>
            </w:tcBorders>
            <w:shd w:fill="CCEEFF" w:val="clear"/>
            <w:tcMar>
              <w:bottom w:w="28"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Floor plan notes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1,285,033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1,139,744</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finance lease obligations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36,119</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operating lease obligations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17,438</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payable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162,134</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deposits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145,326</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172,549</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1,752,032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1,673,310</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 of current maturities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399,674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414,002</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obligations, net of current maturities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97,617</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obligations, net of current maturities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104,514</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24,811</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170,571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159,571</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par value $.01 per share; 1,000,000 shares authorized; 0 shares outstanding in 2024 and 2023</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par value $.01 per share; 105,000,000 Class A shares and 35,000,000 Class B shares authorized; 62,307,564 Class A shares and 16,695,873 Class B shares outstanding in 2024; and 61,461,281 Class A shares and 16,364,158 Class B shares outstanding in 2023</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577,665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542,046</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1,299,589 Class A shares and 1,750,566 Class B shares in 2024; and 1,092,142 Class A shares and 1,731,157 Class B shares in 2023</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(119,835</w:t>
            </w:r>
          </w:p>
        </w:tc>
        <w:tc>
          <w:tcPr>
            <w:tcW w:w="82" w:type="dxa"/>
            <w:tcBorders/>
            <w:shd w:fill="CCEE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78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1,638,257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1,450,025</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(2,163</w:t>
            </w:r>
          </w:p>
        </w:tc>
        <w:tc>
          <w:tcPr>
            <w:tcW w:w="82" w:type="dxa"/>
            <w:tcBorders/>
            <w:shd w:fill="CCEE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78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Rush Enterprises, Inc. shareholders’ equity</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2,083,129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1,870,879</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19,537</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784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2,102,957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1,890,416</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78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Total liabilities and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4,648,471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4,364,241</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bookmarkStart w:id="6" w:name="income"/>
      <w:bookmarkEnd w:id="6"/>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INCOME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 Share Amounts)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845"/>
        <w:gridCol w:w="60"/>
        <w:gridCol w:w="125"/>
        <w:gridCol w:w="845"/>
        <w:gridCol w:w="60"/>
        <w:gridCol w:w="60"/>
        <w:gridCol w:w="125"/>
        <w:gridCol w:w="845"/>
        <w:gridCol w:w="60"/>
        <w:gridCol w:w="60"/>
        <w:gridCol w:w="125"/>
        <w:gridCol w:w="845"/>
        <w:gridCol w:w="60"/>
        <w:gridCol w:w="60"/>
        <w:gridCol w:w="125"/>
        <w:gridCol w:w="845"/>
        <w:gridCol w:w="60"/>
      </w:tblGrid>
      <w:tr>
        <w:trPr/>
        <w:tc>
          <w:tcPr>
            <w:tcW w:w="5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2060" w:type="dxa"/>
            <w:gridSpan w:val="6"/>
            <w:tcBorders>
              <w:bottom w:val="single" w:sz="2" w:space="0" w:color="000000"/>
            </w:tcBorders>
            <w:tcMar>
              <w:bottom w:w="28" w:type="dxa"/>
            </w:tcMar>
            <w:vAlign w:val="center"/>
          </w:tcPr>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2060" w:type="dxa"/>
            <w:gridSpan w:val="6"/>
            <w:tcBorders>
              <w:bottom w:val="single" w:sz="2" w:space="0" w:color="000000"/>
            </w:tcBorders>
            <w:tcMar>
              <w:bottom w:w="28" w:type="dxa"/>
            </w:tcMar>
            <w:vAlign w:val="center"/>
          </w:tcPr>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r>
      <w:tr>
        <w:trPr/>
        <w:tc>
          <w:tcPr>
            <w:tcW w:w="5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5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84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84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1,163,255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1,235,767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3,586,882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3,648,286</w:t>
            </w:r>
          </w:p>
        </w:tc>
        <w:tc>
          <w:tcPr>
            <w:tcW w:w="60" w:type="dxa"/>
            <w:tcBorders/>
            <w:shd w:fill="FFFFFF" w:val="clear"/>
            <w:vAlign w:val="center"/>
          </w:tcPr>
          <w:p>
            <w:pPr>
              <w:pStyle w:val="TableContents"/>
              <w:bidi w:val="0"/>
              <w:spacing w:before="0" w:after="283"/>
              <w:jc w:val="left"/>
              <w:rPr/>
            </w:pPr>
            <w:r>
              <w:rPr/>
              <w:t> </w:t>
            </w:r>
          </w:p>
        </w:tc>
      </w:tr>
      <w:tr>
        <w:trPr/>
        <w:tc>
          <w:tcPr>
            <w:tcW w:w="584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1,909,672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1,942,979</w:t>
            </w:r>
          </w:p>
        </w:tc>
        <w:tc>
          <w:tcPr>
            <w:tcW w:w="60" w:type="dxa"/>
            <w:tcBorders/>
            <w:shd w:fill="CCEEFF" w:val="clear"/>
            <w:vAlign w:val="center"/>
          </w:tcPr>
          <w:p>
            <w:pPr>
              <w:pStyle w:val="TableContents"/>
              <w:bidi w:val="0"/>
              <w:spacing w:before="0" w:after="283"/>
              <w:jc w:val="left"/>
              <w:rPr/>
            </w:pPr>
            <w:r>
              <w:rPr/>
              <w:t> </w:t>
            </w:r>
          </w:p>
        </w:tc>
      </w:tr>
      <w:tr>
        <w:trPr/>
        <w:tc>
          <w:tcPr>
            <w:tcW w:w="584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264,696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264,681</w:t>
            </w:r>
          </w:p>
        </w:tc>
        <w:tc>
          <w:tcPr>
            <w:tcW w:w="60" w:type="dxa"/>
            <w:tcBorders/>
            <w:shd w:fill="FFFFFF" w:val="clear"/>
            <w:vAlign w:val="center"/>
          </w:tcPr>
          <w:p>
            <w:pPr>
              <w:pStyle w:val="TableContents"/>
              <w:bidi w:val="0"/>
              <w:spacing w:before="0" w:after="283"/>
              <w:jc w:val="left"/>
              <w:rPr/>
            </w:pPr>
            <w:r>
              <w:rPr/>
              <w:t> </w:t>
            </w:r>
          </w:p>
        </w:tc>
      </w:tr>
      <w:tr>
        <w:trPr/>
        <w:tc>
          <w:tcPr>
            <w:tcW w:w="584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and insurance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19,077</w:t>
            </w:r>
          </w:p>
        </w:tc>
        <w:tc>
          <w:tcPr>
            <w:tcW w:w="60" w:type="dxa"/>
            <w:tcBorders/>
            <w:shd w:fill="CCEEFF" w:val="clear"/>
            <w:vAlign w:val="center"/>
          </w:tcPr>
          <w:p>
            <w:pPr>
              <w:pStyle w:val="TableContents"/>
              <w:bidi w:val="0"/>
              <w:spacing w:before="0" w:after="283"/>
              <w:jc w:val="left"/>
              <w:rPr/>
            </w:pPr>
            <w:r>
              <w:rPr/>
              <w:t> </w:t>
            </w:r>
          </w:p>
        </w:tc>
      </w:tr>
      <w:tr>
        <w:trPr/>
        <w:tc>
          <w:tcPr>
            <w:tcW w:w="584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20,536</w:t>
            </w:r>
          </w:p>
        </w:tc>
        <w:tc>
          <w:tcPr>
            <w:tcW w:w="60" w:type="dxa"/>
            <w:tcBorders/>
            <w:shd w:fill="FFFFFF" w:val="clear"/>
            <w:vAlign w:val="center"/>
          </w:tcPr>
          <w:p>
            <w:pPr>
              <w:pStyle w:val="TableContents"/>
              <w:bidi w:val="0"/>
              <w:spacing w:before="0" w:after="283"/>
              <w:jc w:val="left"/>
              <w:rPr/>
            </w:pPr>
            <w:r>
              <w:rPr/>
              <w:t> </w:t>
            </w:r>
          </w:p>
        </w:tc>
      </w:tr>
      <w:tr>
        <w:trPr/>
        <w:tc>
          <w:tcPr>
            <w:tcW w:w="584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1,896,133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1,980,740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5,795,160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5,895,559</w:t>
            </w:r>
          </w:p>
        </w:tc>
        <w:tc>
          <w:tcPr>
            <w:tcW w:w="60" w:type="dxa"/>
            <w:tcBorders/>
            <w:shd w:fill="CCEEFF" w:val="clear"/>
            <w:vAlign w:val="center"/>
          </w:tcPr>
          <w:p>
            <w:pPr>
              <w:pStyle w:val="TableContents"/>
              <w:bidi w:val="0"/>
              <w:spacing w:before="0" w:after="283"/>
              <w:jc w:val="left"/>
              <w:rPr/>
            </w:pPr>
            <w:r>
              <w:rPr/>
              <w:t> </w:t>
            </w:r>
          </w:p>
        </w:tc>
      </w:tr>
      <w:tr>
        <w:trPr/>
        <w:tc>
          <w:tcPr>
            <w:tcW w:w="584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84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1,053,512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3,287,998</w:t>
            </w:r>
          </w:p>
        </w:tc>
        <w:tc>
          <w:tcPr>
            <w:tcW w:w="60" w:type="dxa"/>
            <w:tcBorders/>
            <w:shd w:fill="CCEEFF" w:val="clear"/>
            <w:vAlign w:val="center"/>
          </w:tcPr>
          <w:p>
            <w:pPr>
              <w:pStyle w:val="TableContents"/>
              <w:bidi w:val="0"/>
              <w:spacing w:before="0" w:after="283"/>
              <w:jc w:val="left"/>
              <w:rPr/>
            </w:pPr>
            <w:r>
              <w:rPr/>
              <w:t> </w:t>
            </w:r>
          </w:p>
        </w:tc>
      </w:tr>
      <w:tr>
        <w:trPr/>
        <w:tc>
          <w:tcPr>
            <w:tcW w:w="584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399,973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1,216,441</w:t>
            </w:r>
          </w:p>
        </w:tc>
        <w:tc>
          <w:tcPr>
            <w:tcW w:w="60" w:type="dxa"/>
            <w:tcBorders/>
            <w:shd w:fill="FFFFFF" w:val="clear"/>
            <w:vAlign w:val="center"/>
          </w:tcPr>
          <w:p>
            <w:pPr>
              <w:pStyle w:val="TableContents"/>
              <w:bidi w:val="0"/>
              <w:spacing w:before="0" w:after="283"/>
              <w:jc w:val="left"/>
              <w:rPr/>
            </w:pPr>
            <w:r>
              <w:rPr/>
              <w:t> </w:t>
            </w:r>
          </w:p>
        </w:tc>
      </w:tr>
      <w:tr>
        <w:trPr/>
        <w:tc>
          <w:tcPr>
            <w:tcW w:w="584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sales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184,098</w:t>
            </w:r>
          </w:p>
        </w:tc>
        <w:tc>
          <w:tcPr>
            <w:tcW w:w="60" w:type="dxa"/>
            <w:tcBorders/>
            <w:shd w:fill="CCEEFF" w:val="clear"/>
            <w:vAlign w:val="center"/>
          </w:tcPr>
          <w:p>
            <w:pPr>
              <w:pStyle w:val="TableContents"/>
              <w:bidi w:val="0"/>
              <w:spacing w:before="0" w:after="283"/>
              <w:jc w:val="left"/>
              <w:rPr/>
            </w:pPr>
            <w:r>
              <w:rPr/>
              <w:t> </w:t>
            </w:r>
          </w:p>
        </w:tc>
      </w:tr>
      <w:tr>
        <w:trPr/>
        <w:tc>
          <w:tcPr>
            <w:tcW w:w="584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products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4,633,855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4,688,537</w:t>
            </w:r>
          </w:p>
        </w:tc>
        <w:tc>
          <w:tcPr>
            <w:tcW w:w="60" w:type="dxa"/>
            <w:tcBorders/>
            <w:shd w:fill="FFFFFF" w:val="clear"/>
            <w:vAlign w:val="center"/>
          </w:tcPr>
          <w:p>
            <w:pPr>
              <w:pStyle w:val="TableContents"/>
              <w:bidi w:val="0"/>
              <w:spacing w:before="0" w:after="283"/>
              <w:jc w:val="left"/>
              <w:rPr/>
            </w:pPr>
            <w:r>
              <w:rPr/>
              <w:t> </w:t>
            </w:r>
          </w:p>
        </w:tc>
      </w:tr>
      <w:tr>
        <w:trPr/>
        <w:tc>
          <w:tcPr>
            <w:tcW w:w="584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1,207,022</w:t>
            </w:r>
          </w:p>
        </w:tc>
        <w:tc>
          <w:tcPr>
            <w:tcW w:w="60" w:type="dxa"/>
            <w:tcBorders/>
            <w:shd w:fill="CCEEFF" w:val="clear"/>
            <w:vAlign w:val="center"/>
          </w:tcPr>
          <w:p>
            <w:pPr>
              <w:pStyle w:val="TableContents"/>
              <w:bidi w:val="0"/>
              <w:spacing w:before="0" w:after="283"/>
              <w:jc w:val="left"/>
              <w:rPr/>
            </w:pPr>
            <w:r>
              <w:rPr/>
              <w:t> </w:t>
            </w:r>
          </w:p>
        </w:tc>
      </w:tr>
      <w:tr>
        <w:trPr/>
        <w:tc>
          <w:tcPr>
            <w:tcW w:w="58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239,741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770,631</w:t>
            </w:r>
          </w:p>
        </w:tc>
        <w:tc>
          <w:tcPr>
            <w:tcW w:w="60" w:type="dxa"/>
            <w:tcBorders/>
            <w:shd w:fill="FFFFFF" w:val="clear"/>
            <w:vAlign w:val="center"/>
          </w:tcPr>
          <w:p>
            <w:pPr>
              <w:pStyle w:val="TableContents"/>
              <w:bidi w:val="0"/>
              <w:spacing w:before="0" w:after="283"/>
              <w:jc w:val="left"/>
              <w:rPr/>
            </w:pPr>
            <w:r>
              <w:rPr/>
              <w:t> </w:t>
            </w:r>
          </w:p>
        </w:tc>
      </w:tr>
      <w:tr>
        <w:trPr/>
        <w:tc>
          <w:tcPr>
            <w:tcW w:w="58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44,731</w:t>
            </w:r>
          </w:p>
        </w:tc>
        <w:tc>
          <w:tcPr>
            <w:tcW w:w="60" w:type="dxa"/>
            <w:tcBorders/>
            <w:shd w:fill="CCEEFF" w:val="clear"/>
            <w:vAlign w:val="center"/>
          </w:tcPr>
          <w:p>
            <w:pPr>
              <w:pStyle w:val="TableContents"/>
              <w:bidi w:val="0"/>
              <w:spacing w:before="0" w:after="283"/>
              <w:jc w:val="left"/>
              <w:rPr/>
            </w:pPr>
            <w:r>
              <w:rPr/>
              <w:t> </w:t>
            </w:r>
          </w:p>
        </w:tc>
      </w:tr>
      <w:tr>
        <w:trPr/>
        <w:tc>
          <w:tcPr>
            <w:tcW w:w="58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disposition of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w:t>
            </w:r>
          </w:p>
        </w:tc>
        <w:tc>
          <w:tcPr>
            <w:tcW w:w="60" w:type="dxa"/>
            <w:tcBorders/>
            <w:shd w:fill="FFFFFF" w:val="clear"/>
            <w:vAlign w:val="center"/>
          </w:tcPr>
          <w:p>
            <w:pPr>
              <w:pStyle w:val="TableContents"/>
              <w:bidi w:val="0"/>
              <w:spacing w:before="0" w:after="283"/>
              <w:jc w:val="left"/>
              <w:rPr/>
            </w:pPr>
            <w:r>
              <w:rPr/>
              <w:t> </w:t>
            </w:r>
          </w:p>
        </w:tc>
      </w:tr>
      <w:tr>
        <w:trPr/>
        <w:tc>
          <w:tcPr>
            <w:tcW w:w="584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392,256</w:t>
            </w:r>
          </w:p>
        </w:tc>
        <w:tc>
          <w:tcPr>
            <w:tcW w:w="60" w:type="dxa"/>
            <w:tcBorders/>
            <w:shd w:fill="CCEEFF" w:val="clear"/>
            <w:vAlign w:val="center"/>
          </w:tcPr>
          <w:p>
            <w:pPr>
              <w:pStyle w:val="TableContents"/>
              <w:bidi w:val="0"/>
              <w:spacing w:before="0" w:after="283"/>
              <w:jc w:val="left"/>
              <w:rPr/>
            </w:pPr>
            <w:r>
              <w:rPr/>
              <w:t> </w:t>
            </w:r>
          </w:p>
        </w:tc>
      </w:tr>
      <w:tr>
        <w:trPr/>
        <w:tc>
          <w:tcPr>
            <w:tcW w:w="58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2,384</w:t>
            </w:r>
          </w:p>
        </w:tc>
        <w:tc>
          <w:tcPr>
            <w:tcW w:w="60" w:type="dxa"/>
            <w:tcBorders/>
            <w:shd w:fill="FFFFFF" w:val="clear"/>
            <w:vAlign w:val="center"/>
          </w:tcPr>
          <w:p>
            <w:pPr>
              <w:pStyle w:val="TableContents"/>
              <w:bidi w:val="0"/>
              <w:spacing w:before="0" w:after="283"/>
              <w:jc w:val="left"/>
              <w:rPr/>
            </w:pPr>
            <w:r>
              <w:rPr/>
              <w:t> </w:t>
            </w:r>
          </w:p>
        </w:tc>
      </w:tr>
      <w:tr>
        <w:trPr/>
        <w:tc>
          <w:tcPr>
            <w:tcW w:w="58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37,415</w:t>
            </w:r>
          </w:p>
        </w:tc>
        <w:tc>
          <w:tcPr>
            <w:tcW w:w="60" w:type="dxa"/>
            <w:tcBorders/>
            <w:shd w:fill="CCEEFF" w:val="clear"/>
            <w:vAlign w:val="center"/>
          </w:tcPr>
          <w:p>
            <w:pPr>
              <w:pStyle w:val="TableContents"/>
              <w:bidi w:val="0"/>
              <w:spacing w:before="0" w:after="283"/>
              <w:jc w:val="left"/>
              <w:rPr/>
            </w:pPr>
            <w:r>
              <w:rPr/>
              <w:t> </w:t>
            </w:r>
          </w:p>
        </w:tc>
      </w:tr>
      <w:tr>
        <w:trPr/>
        <w:tc>
          <w:tcPr>
            <w:tcW w:w="584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before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357,225</w:t>
            </w:r>
          </w:p>
        </w:tc>
        <w:tc>
          <w:tcPr>
            <w:tcW w:w="60" w:type="dxa"/>
            <w:tcBorders/>
            <w:shd w:fill="FFFFFF" w:val="clear"/>
            <w:vAlign w:val="center"/>
          </w:tcPr>
          <w:p>
            <w:pPr>
              <w:pStyle w:val="TableContents"/>
              <w:bidi w:val="0"/>
              <w:spacing w:before="0" w:after="283"/>
              <w:jc w:val="left"/>
              <w:rPr/>
            </w:pPr>
            <w:r>
              <w:rPr/>
              <w:t> </w:t>
            </w:r>
          </w:p>
        </w:tc>
      </w:tr>
      <w:tr>
        <w:trPr/>
        <w:tc>
          <w:tcPr>
            <w:tcW w:w="58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87,277</w:t>
            </w:r>
          </w:p>
        </w:tc>
        <w:tc>
          <w:tcPr>
            <w:tcW w:w="60" w:type="dxa"/>
            <w:tcBorders/>
            <w:shd w:fill="CCEEFF" w:val="clear"/>
            <w:vAlign w:val="center"/>
          </w:tcPr>
          <w:p>
            <w:pPr>
              <w:pStyle w:val="TableContents"/>
              <w:bidi w:val="0"/>
              <w:spacing w:before="0" w:after="283"/>
              <w:jc w:val="left"/>
              <w:rPr/>
            </w:pPr>
            <w:r>
              <w:rPr/>
              <w:t> </w:t>
            </w:r>
          </w:p>
        </w:tc>
      </w:tr>
      <w:tr>
        <w:trPr/>
        <w:tc>
          <w:tcPr>
            <w:tcW w:w="584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Net income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269,948</w:t>
            </w:r>
          </w:p>
        </w:tc>
        <w:tc>
          <w:tcPr>
            <w:tcW w:w="60" w:type="dxa"/>
            <w:tcBorders/>
            <w:shd w:fill="FFFFFF" w:val="clear"/>
            <w:vAlign w:val="center"/>
          </w:tcPr>
          <w:p>
            <w:pPr>
              <w:pStyle w:val="TableContents"/>
              <w:bidi w:val="0"/>
              <w:spacing w:before="0" w:after="283"/>
              <w:jc w:val="left"/>
              <w:rPr/>
            </w:pPr>
            <w:r>
              <w:rPr/>
              <w:t> </w:t>
            </w:r>
          </w:p>
        </w:tc>
      </w:tr>
      <w:tr>
        <w:trPr/>
        <w:tc>
          <w:tcPr>
            <w:tcW w:w="58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Net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w:t>
            </w:r>
          </w:p>
        </w:tc>
        <w:tc>
          <w:tcPr>
            <w:tcW w:w="60" w:type="dxa"/>
            <w:tcBorders/>
            <w:shd w:fill="CCEEFF" w:val="clear"/>
            <w:vAlign w:val="center"/>
          </w:tcPr>
          <w:p>
            <w:pPr>
              <w:pStyle w:val="TableContents"/>
              <w:bidi w:val="0"/>
              <w:spacing w:before="0" w:after="283"/>
              <w:jc w:val="left"/>
              <w:rPr/>
            </w:pPr>
            <w:r>
              <w:rPr/>
              <w:t> </w:t>
            </w:r>
          </w:p>
        </w:tc>
      </w:tr>
      <w:tr>
        <w:trPr/>
        <w:tc>
          <w:tcPr>
            <w:tcW w:w="584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Rush Enterprises, Inc.</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269,008</w:t>
            </w:r>
          </w:p>
        </w:tc>
        <w:tc>
          <w:tcPr>
            <w:tcW w:w="60" w:type="dxa"/>
            <w:tcBorders/>
            <w:shd w:fill="FFFFFF" w:val="clear"/>
            <w:vAlign w:val="center"/>
          </w:tcPr>
          <w:p>
            <w:pPr>
              <w:pStyle w:val="TableContents"/>
              <w:bidi w:val="0"/>
              <w:spacing w:before="0" w:after="283"/>
              <w:jc w:val="left"/>
              <w:rPr/>
            </w:pPr>
            <w:r>
              <w:rPr/>
              <w:t> </w:t>
            </w:r>
          </w:p>
        </w:tc>
      </w:tr>
      <w:tr>
        <w:trPr/>
        <w:tc>
          <w:tcPr>
            <w:tcW w:w="5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84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Rush Enterprises, Inc. per share of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8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60" w:type="dxa"/>
            <w:tcBorders/>
            <w:shd w:fill="CCEEFF" w:val="clear"/>
            <w:vAlign w:val="center"/>
          </w:tcPr>
          <w:p>
            <w:pPr>
              <w:pStyle w:val="TableContents"/>
              <w:bidi w:val="0"/>
              <w:spacing w:before="0" w:after="283"/>
              <w:jc w:val="left"/>
              <w:rPr/>
            </w:pPr>
            <w:r>
              <w:rPr/>
              <w:t> </w:t>
            </w:r>
          </w:p>
        </w:tc>
      </w:tr>
      <w:tr>
        <w:trPr/>
        <w:tc>
          <w:tcPr>
            <w:tcW w:w="58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60" w:type="dxa"/>
            <w:tcBorders/>
            <w:shd w:fill="FFFFFF" w:val="clear"/>
            <w:vAlign w:val="center"/>
          </w:tcPr>
          <w:p>
            <w:pPr>
              <w:pStyle w:val="TableContents"/>
              <w:bidi w:val="0"/>
              <w:spacing w:before="0" w:after="283"/>
              <w:jc w:val="left"/>
              <w:rPr/>
            </w:pPr>
            <w:r>
              <w:rPr/>
              <w:t> </w:t>
            </w:r>
          </w:p>
        </w:tc>
      </w:tr>
      <w:tr>
        <w:trPr/>
        <w:tc>
          <w:tcPr>
            <w:tcW w:w="5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84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8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81,629</w:t>
            </w:r>
          </w:p>
        </w:tc>
        <w:tc>
          <w:tcPr>
            <w:tcW w:w="60" w:type="dxa"/>
            <w:tcBorders/>
            <w:shd w:fill="CCEEFF" w:val="clear"/>
            <w:vAlign w:val="center"/>
          </w:tcPr>
          <w:p>
            <w:pPr>
              <w:pStyle w:val="TableContents"/>
              <w:bidi w:val="0"/>
              <w:spacing w:before="0" w:after="283"/>
              <w:jc w:val="left"/>
              <w:rPr/>
            </w:pPr>
            <w:r>
              <w:rPr/>
              <w:t> </w:t>
            </w:r>
          </w:p>
        </w:tc>
      </w:tr>
      <w:tr>
        <w:trPr/>
        <w:tc>
          <w:tcPr>
            <w:tcW w:w="58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84,251</w:t>
            </w:r>
          </w:p>
        </w:tc>
        <w:tc>
          <w:tcPr>
            <w:tcW w:w="60" w:type="dxa"/>
            <w:tcBorders/>
            <w:shd w:fill="FFFFFF" w:val="clear"/>
            <w:vAlign w:val="center"/>
          </w:tcPr>
          <w:p>
            <w:pPr>
              <w:pStyle w:val="TableContents"/>
              <w:bidi w:val="0"/>
              <w:spacing w:before="0" w:after="283"/>
              <w:jc w:val="left"/>
              <w:rPr/>
            </w:pPr>
            <w:r>
              <w:rPr/>
              <w:t> </w:t>
            </w:r>
          </w:p>
        </w:tc>
      </w:tr>
      <w:tr>
        <w:trPr/>
        <w:tc>
          <w:tcPr>
            <w:tcW w:w="5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84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Dividends declared per common share</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bookmarkStart w:id="7" w:name="compincome"/>
      <w:bookmarkEnd w:id="7"/>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COMPREHENSIVE INCOME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718" w:type="dxa"/>
        <w:jc w:val="left"/>
        <w:tblInd w:w="0" w:type="dxa"/>
        <w:tblLayout w:type="fixed"/>
        <w:tblCellMar>
          <w:top w:w="0" w:type="dxa"/>
          <w:left w:w="0" w:type="dxa"/>
          <w:bottom w:w="0" w:type="dxa"/>
          <w:right w:w="0" w:type="dxa"/>
        </w:tblCellMar>
      </w:tblPr>
      <w:tblGrid>
        <w:gridCol w:w="5870"/>
        <w:gridCol w:w="60"/>
        <w:gridCol w:w="144"/>
        <w:gridCol w:w="681"/>
        <w:gridCol w:w="69"/>
        <w:gridCol w:w="69"/>
        <w:gridCol w:w="144"/>
        <w:gridCol w:w="681"/>
        <w:gridCol w:w="80"/>
        <w:gridCol w:w="60"/>
        <w:gridCol w:w="125"/>
        <w:gridCol w:w="695"/>
        <w:gridCol w:w="80"/>
        <w:gridCol w:w="60"/>
        <w:gridCol w:w="125"/>
        <w:gridCol w:w="695"/>
        <w:gridCol w:w="80"/>
      </w:tblGrid>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1780" w:type="dxa"/>
            <w:gridSpan w:val="6"/>
            <w:tcBorders>
              <w:bottom w:val="single" w:sz="2" w:space="0" w:color="000000"/>
            </w:tcBorders>
            <w:tcMar>
              <w:bottom w:w="28" w:type="dxa"/>
            </w:tcMar>
            <w:vAlign w:val="center"/>
          </w:tcPr>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2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79,420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229,692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269,948</w:t>
            </w:r>
          </w:p>
        </w:tc>
        <w:tc>
          <w:tcPr>
            <w:tcW w:w="8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7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attributable to Rush Enterprises, Inc.</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7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80,378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227,886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269,761</w:t>
            </w:r>
          </w:p>
        </w:tc>
        <w:tc>
          <w:tcPr>
            <w:tcW w:w="8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Comprehensive income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w:t>
            </w:r>
          </w:p>
        </w:tc>
        <w:tc>
          <w:tcPr>
            <w:tcW w:w="8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income attributable to Rush Enterprises, Inc.</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80,090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228,177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268,821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bookmarkStart w:id="8" w:name="eq"/>
      <w:bookmarkEnd w:id="8"/>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SHAREHOLDERS’ EQUITY</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0220" w:type="dxa"/>
        <w:jc w:val="left"/>
        <w:tblInd w:w="0" w:type="dxa"/>
        <w:tblLayout w:type="fixed"/>
        <w:tblCellMar>
          <w:top w:w="0" w:type="dxa"/>
          <w:left w:w="0" w:type="dxa"/>
          <w:bottom w:w="0" w:type="dxa"/>
          <w:right w:w="0" w:type="dxa"/>
        </w:tblCellMar>
      </w:tblPr>
      <w:tblGrid>
        <w:gridCol w:w="800"/>
        <w:gridCol w:w="60"/>
        <w:gridCol w:w="60"/>
        <w:gridCol w:w="515"/>
        <w:gridCol w:w="80"/>
        <w:gridCol w:w="60"/>
        <w:gridCol w:w="60"/>
        <w:gridCol w:w="515"/>
        <w:gridCol w:w="80"/>
        <w:gridCol w:w="60"/>
        <w:gridCol w:w="116"/>
        <w:gridCol w:w="309"/>
        <w:gridCol w:w="60"/>
        <w:gridCol w:w="60"/>
        <w:gridCol w:w="116"/>
        <w:gridCol w:w="639"/>
        <w:gridCol w:w="80"/>
        <w:gridCol w:w="60"/>
        <w:gridCol w:w="110"/>
        <w:gridCol w:w="665"/>
        <w:gridCol w:w="80"/>
        <w:gridCol w:w="60"/>
        <w:gridCol w:w="110"/>
        <w:gridCol w:w="740"/>
        <w:gridCol w:w="80"/>
        <w:gridCol w:w="60"/>
        <w:gridCol w:w="203"/>
        <w:gridCol w:w="897"/>
        <w:gridCol w:w="80"/>
        <w:gridCol w:w="60"/>
        <w:gridCol w:w="119"/>
        <w:gridCol w:w="801"/>
        <w:gridCol w:w="80"/>
        <w:gridCol w:w="60"/>
        <w:gridCol w:w="201"/>
        <w:gridCol w:w="944"/>
        <w:gridCol w:w="80"/>
        <w:gridCol w:w="60"/>
        <w:gridCol w:w="119"/>
        <w:gridCol w:w="801"/>
        <w:gridCol w:w="80"/>
      </w:tblGrid>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Shares</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Outstanding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2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Additional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Paid -In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Accumulated</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Other</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Rush Enterprises,</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Shareholders’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Non-controlling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Shareholders’</w:t>
            </w:r>
          </w:p>
        </w:tc>
        <w:tc>
          <w:tcPr>
            <w:tcW w:w="8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Class A</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5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Class B</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2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Value</w:t>
            </w:r>
          </w:p>
        </w:tc>
        <w:tc>
          <w:tcPr>
            <w:tcW w:w="60"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center"/>
              <w:rPr/>
            </w:pPr>
            <w:r>
              <w:rPr/>
              <w:t> </w:t>
            </w:r>
          </w:p>
        </w:tc>
        <w:tc>
          <w:tcPr>
            <w:tcW w:w="75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Capital</w:t>
            </w:r>
          </w:p>
        </w:tc>
        <w:tc>
          <w:tcPr>
            <w:tcW w:w="80"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center"/>
              <w:rPr/>
            </w:pPr>
            <w:r>
              <w:rPr/>
              <w:t> </w:t>
            </w:r>
          </w:p>
        </w:tc>
        <w:tc>
          <w:tcPr>
            <w:tcW w:w="7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Stock</w:t>
            </w:r>
          </w:p>
        </w:tc>
        <w:tc>
          <w:tcPr>
            <w:tcW w:w="80"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center"/>
              <w:rPr/>
            </w:pPr>
            <w:r>
              <w:rPr/>
              <w:t> </w:t>
            </w:r>
          </w:p>
        </w:tc>
        <w:tc>
          <w:tcPr>
            <w:tcW w:w="85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Earnings</w:t>
            </w:r>
          </w:p>
        </w:tc>
        <w:tc>
          <w:tcPr>
            <w:tcW w:w="80"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center"/>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Income (Loss)</w:t>
            </w:r>
          </w:p>
        </w:tc>
        <w:tc>
          <w:tcPr>
            <w:tcW w:w="80"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center"/>
              <w:rPr/>
            </w:pPr>
            <w:r>
              <w:rPr/>
              <w:t> </w:t>
            </w:r>
          </w:p>
        </w:tc>
        <w:tc>
          <w:tcPr>
            <w:tcW w:w="92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Equity</w:t>
            </w:r>
          </w:p>
        </w:tc>
        <w:tc>
          <w:tcPr>
            <w:tcW w:w="80"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center"/>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Interest</w:t>
            </w:r>
          </w:p>
        </w:tc>
        <w:tc>
          <w:tcPr>
            <w:tcW w:w="80"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center"/>
              <w:rPr/>
            </w:pPr>
            <w:r>
              <w:rPr/>
              <w:t> </w:t>
            </w:r>
          </w:p>
        </w:tc>
        <w:tc>
          <w:tcPr>
            <w:tcW w:w="92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Equity</w:t>
            </w:r>
          </w:p>
        </w:tc>
        <w:tc>
          <w:tcPr>
            <w:tcW w:w="8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61,461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16,364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542,046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(119,835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1,450,025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(2,163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1,870,879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19,537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1,890,416</w:t>
            </w:r>
          </w:p>
        </w:tc>
        <w:tc>
          <w:tcPr>
            <w:tcW w:w="80"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6,001</w:t>
            </w:r>
          </w:p>
        </w:tc>
        <w:tc>
          <w:tcPr>
            <w:tcW w:w="80" w:type="dxa"/>
            <w:tcBorders/>
            <w:shd w:fill="FFFFFF" w:val="clear"/>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14,090</w:t>
            </w:r>
          </w:p>
        </w:tc>
        <w:tc>
          <w:tcPr>
            <w:tcW w:w="80"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share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(9,486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(9,482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(9,482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3.355</w:t>
            </w:r>
          </w:p>
        </w:tc>
        <w:tc>
          <w:tcPr>
            <w:tcW w:w="80"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(5,627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(5,627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(5,627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(10,467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(10,467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(10,467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(2,964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(2,964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(2,964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(1,891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(1,891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(1,891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71,608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71,608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71,489</w:t>
            </w:r>
          </w:p>
        </w:tc>
        <w:tc>
          <w:tcPr>
            <w:tcW w:w="80" w:type="dxa"/>
            <w:tcBorders/>
            <w:shd w:fill="FFFFFF" w:val="clear"/>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61,813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16,715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556,001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(125,462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1,508,202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(4,054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1,935,502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19,418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1,954,920</w:t>
            </w:r>
          </w:p>
        </w:tc>
        <w:tc>
          <w:tcPr>
            <w:tcW w:w="80"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2,099</w:t>
            </w:r>
          </w:p>
        </w:tc>
        <w:tc>
          <w:tcPr>
            <w:tcW w:w="80" w:type="dxa"/>
            <w:tcBorders/>
            <w:shd w:fill="FFFFFF" w:val="clear"/>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5,515</w:t>
            </w:r>
          </w:p>
        </w:tc>
        <w:tc>
          <w:tcPr>
            <w:tcW w:w="80"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share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(3,953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(3,953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(3,953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(10,523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(10,523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(10,523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(3,024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(3,024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(3,024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78,661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78,661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78,783</w:t>
            </w:r>
          </w:p>
        </w:tc>
        <w:tc>
          <w:tcPr>
            <w:tcW w:w="80" w:type="dxa"/>
            <w:tcBorders/>
            <w:shd w:fill="FFFFFF" w:val="clear"/>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61,869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16,700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563,604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(129,415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1,573,316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(4,927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2,003,394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19,540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2,022,934</w:t>
            </w:r>
          </w:p>
        </w:tc>
        <w:tc>
          <w:tcPr>
            <w:tcW w:w="80"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5,260</w:t>
            </w:r>
          </w:p>
        </w:tc>
        <w:tc>
          <w:tcPr>
            <w:tcW w:w="80" w:type="dxa"/>
            <w:tcBorders/>
            <w:shd w:fill="FFFFFF" w:val="clear"/>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5,293</w:t>
            </w:r>
          </w:p>
        </w:tc>
        <w:tc>
          <w:tcPr>
            <w:tcW w:w="80"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3,512</w:t>
            </w:r>
          </w:p>
        </w:tc>
        <w:tc>
          <w:tcPr>
            <w:tcW w:w="80" w:type="dxa"/>
            <w:tcBorders/>
            <w:shd w:fill="FFFFFF" w:val="clear"/>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(11,185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(11,185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(11,185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958</w:t>
            </w:r>
          </w:p>
        </w:tc>
        <w:tc>
          <w:tcPr>
            <w:tcW w:w="80" w:type="dxa"/>
            <w:tcBorders/>
            <w:shd w:fill="FFFFFF" w:val="clear"/>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79,132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79,132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79,420</w:t>
            </w:r>
          </w:p>
        </w:tc>
        <w:tc>
          <w:tcPr>
            <w:tcW w:w="80"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62,308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16,695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577,665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(129,644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1,638,257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(3,969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2,083,129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19,828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2,102,957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SHAREHOLDERS’ EQUITY (continued)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4"/>
        <w:gridCol w:w="60"/>
        <w:gridCol w:w="60"/>
        <w:gridCol w:w="515"/>
        <w:gridCol w:w="80"/>
        <w:gridCol w:w="60"/>
        <w:gridCol w:w="60"/>
        <w:gridCol w:w="515"/>
        <w:gridCol w:w="80"/>
        <w:gridCol w:w="60"/>
        <w:gridCol w:w="116"/>
        <w:gridCol w:w="309"/>
        <w:gridCol w:w="60"/>
        <w:gridCol w:w="60"/>
        <w:gridCol w:w="116"/>
        <w:gridCol w:w="639"/>
        <w:gridCol w:w="80"/>
        <w:gridCol w:w="60"/>
        <w:gridCol w:w="110"/>
        <w:gridCol w:w="665"/>
        <w:gridCol w:w="80"/>
        <w:gridCol w:w="60"/>
        <w:gridCol w:w="110"/>
        <w:gridCol w:w="740"/>
        <w:gridCol w:w="80"/>
        <w:gridCol w:w="60"/>
        <w:gridCol w:w="203"/>
        <w:gridCol w:w="897"/>
        <w:gridCol w:w="80"/>
        <w:gridCol w:w="60"/>
        <w:gridCol w:w="119"/>
        <w:gridCol w:w="801"/>
        <w:gridCol w:w="80"/>
        <w:gridCol w:w="60"/>
        <w:gridCol w:w="201"/>
        <w:gridCol w:w="944"/>
        <w:gridCol w:w="60"/>
        <w:gridCol w:w="60"/>
        <w:gridCol w:w="119"/>
        <w:gridCol w:w="801"/>
        <w:gridCol w:w="81"/>
      </w:tblGrid>
      <w:tr>
        <w:trPr/>
        <w:tc>
          <w:tcPr>
            <w:tcW w:w="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Shares</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Outstanding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2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Additional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Paid -In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Accumulated</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Other</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Rush Enterprises,</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Shareholders’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Non-controlling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Shareholders’</w:t>
            </w:r>
          </w:p>
        </w:tc>
        <w:tc>
          <w:tcPr>
            <w:tcW w:w="81" w:type="dxa"/>
            <w:tcBorders/>
            <w:vAlign w:val="center"/>
          </w:tcPr>
          <w:p>
            <w:pPr>
              <w:pStyle w:val="TableContents"/>
              <w:bidi w:val="0"/>
              <w:spacing w:before="0" w:after="283"/>
              <w:jc w:val="left"/>
              <w:rPr/>
            </w:pPr>
            <w:r>
              <w:rPr/>
              <w:t> </w:t>
            </w:r>
          </w:p>
        </w:tc>
      </w:tr>
      <w:tr>
        <w:trPr/>
        <w:tc>
          <w:tcPr>
            <w:tcW w:w="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Class A</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5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Class B</w:t>
            </w:r>
          </w:p>
        </w:tc>
        <w:tc>
          <w:tcPr>
            <w:tcW w:w="80"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center"/>
              <w:rPr/>
            </w:pPr>
            <w:r>
              <w:rPr/>
              <w:t> </w:t>
            </w:r>
          </w:p>
        </w:tc>
        <w:tc>
          <w:tcPr>
            <w:tcW w:w="42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Value</w:t>
            </w:r>
          </w:p>
        </w:tc>
        <w:tc>
          <w:tcPr>
            <w:tcW w:w="60"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center"/>
              <w:rPr/>
            </w:pPr>
            <w:r>
              <w:rPr/>
              <w:t> </w:t>
            </w:r>
          </w:p>
        </w:tc>
        <w:tc>
          <w:tcPr>
            <w:tcW w:w="75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Capital</w:t>
            </w:r>
          </w:p>
        </w:tc>
        <w:tc>
          <w:tcPr>
            <w:tcW w:w="80"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center"/>
              <w:rPr/>
            </w:pPr>
            <w:r>
              <w:rPr/>
              <w:t> </w:t>
            </w:r>
          </w:p>
        </w:tc>
        <w:tc>
          <w:tcPr>
            <w:tcW w:w="7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Stock</w:t>
            </w:r>
          </w:p>
        </w:tc>
        <w:tc>
          <w:tcPr>
            <w:tcW w:w="80"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center"/>
              <w:rPr/>
            </w:pPr>
            <w:r>
              <w:rPr/>
              <w:t> </w:t>
            </w:r>
          </w:p>
        </w:tc>
        <w:tc>
          <w:tcPr>
            <w:tcW w:w="85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Earnings</w:t>
            </w:r>
          </w:p>
        </w:tc>
        <w:tc>
          <w:tcPr>
            <w:tcW w:w="80"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Income (Loss)</w:t>
            </w:r>
          </w:p>
        </w:tc>
        <w:tc>
          <w:tcPr>
            <w:tcW w:w="80"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2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Equity</w:t>
            </w:r>
          </w:p>
        </w:tc>
        <w:tc>
          <w:tcPr>
            <w:tcW w:w="80"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Interest</w:t>
            </w:r>
          </w:p>
        </w:tc>
        <w:tc>
          <w:tcPr>
            <w:tcW w:w="60"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2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Equity</w:t>
            </w:r>
          </w:p>
        </w:tc>
        <w:tc>
          <w:tcPr>
            <w:tcW w:w="81" w:type="dxa"/>
            <w:tcBorders/>
            <w:vAlign w:val="center"/>
          </w:tcPr>
          <w:p>
            <w:pPr>
              <w:pStyle w:val="TableContents"/>
              <w:bidi w:val="0"/>
              <w:spacing w:before="0" w:after="283"/>
              <w:jc w:val="left"/>
              <w:rPr/>
            </w:pPr>
            <w:r>
              <w:rPr/>
              <w:t> </w:t>
            </w:r>
          </w:p>
        </w:tc>
      </w:tr>
      <w:tr>
        <w:trPr/>
        <w:tc>
          <w:tcPr>
            <w:tcW w:w="804"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63,518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500,642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(130,930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1,378,337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(4,130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1,744,491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1,763,022</w:t>
            </w:r>
          </w:p>
        </w:tc>
        <w:tc>
          <w:tcPr>
            <w:tcW w:w="81" w:type="dxa"/>
            <w:tcBorders/>
            <w:shd w:fill="CCEEFF" w:val="clear"/>
            <w:vAlign w:val="center"/>
          </w:tcPr>
          <w:p>
            <w:pPr>
              <w:pStyle w:val="TableContents"/>
              <w:bidi w:val="0"/>
              <w:spacing w:before="0" w:after="283"/>
              <w:jc w:val="left"/>
              <w:rPr/>
            </w:pPr>
            <w:r>
              <w:rPr/>
              <w:t> </w:t>
            </w:r>
          </w:p>
        </w:tc>
      </w:tr>
      <w:tr>
        <w:trPr/>
        <w:tc>
          <w:tcPr>
            <w:tcW w:w="80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3,414</w:t>
            </w:r>
          </w:p>
        </w:tc>
        <w:tc>
          <w:tcPr>
            <w:tcW w:w="81" w:type="dxa"/>
            <w:tcBorders/>
            <w:shd w:fill="FFFFFF" w:val="clear"/>
            <w:vAlign w:val="center"/>
          </w:tcPr>
          <w:p>
            <w:pPr>
              <w:pStyle w:val="TableContents"/>
              <w:bidi w:val="0"/>
              <w:spacing w:before="0" w:after="283"/>
              <w:jc w:val="left"/>
              <w:rPr/>
            </w:pPr>
            <w:r>
              <w:rPr/>
              <w:t> </w:t>
            </w:r>
          </w:p>
        </w:tc>
      </w:tr>
      <w:tr>
        <w:trPr/>
        <w:tc>
          <w:tcPr>
            <w:tcW w:w="80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13,080</w:t>
            </w:r>
          </w:p>
        </w:tc>
        <w:tc>
          <w:tcPr>
            <w:tcW w:w="81" w:type="dxa"/>
            <w:tcBorders/>
            <w:shd w:fill="CCEEFF" w:val="clear"/>
            <w:vAlign w:val="center"/>
          </w:tcPr>
          <w:p>
            <w:pPr>
              <w:pStyle w:val="TableContents"/>
              <w:bidi w:val="0"/>
              <w:spacing w:before="0" w:after="283"/>
              <w:jc w:val="left"/>
              <w:rPr/>
            </w:pPr>
            <w:r>
              <w:rPr/>
              <w:t> </w:t>
            </w:r>
          </w:p>
        </w:tc>
      </w:tr>
      <w:tr>
        <w:trPr/>
        <w:tc>
          <w:tcPr>
            <w:tcW w:w="80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share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(6,964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(6,961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(6,961</w:t>
            </w:r>
          </w:p>
        </w:tc>
        <w:tc>
          <w:tcPr>
            <w:tcW w:w="8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2,828</w:t>
            </w:r>
          </w:p>
        </w:tc>
        <w:tc>
          <w:tcPr>
            <w:tcW w:w="81" w:type="dxa"/>
            <w:tcBorders/>
            <w:shd w:fill="CCEEFF" w:val="clear"/>
            <w:vAlign w:val="center"/>
          </w:tcPr>
          <w:p>
            <w:pPr>
              <w:pStyle w:val="TableContents"/>
              <w:bidi w:val="0"/>
              <w:spacing w:before="0" w:after="283"/>
              <w:jc w:val="left"/>
              <w:rPr/>
            </w:pPr>
            <w:r>
              <w:rPr/>
              <w:t> </w:t>
            </w:r>
          </w:p>
        </w:tc>
      </w:tr>
      <w:tr>
        <w:trPr/>
        <w:tc>
          <w:tcPr>
            <w:tcW w:w="80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(25,280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(25,280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(25,280</w:t>
            </w:r>
          </w:p>
        </w:tc>
        <w:tc>
          <w:tcPr>
            <w:tcW w:w="8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(8,897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(8,897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(8,897</w:t>
            </w:r>
          </w:p>
        </w:tc>
        <w:tc>
          <w:tcPr>
            <w:tcW w:w="8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(2,692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(2,692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(2,692</w:t>
            </w:r>
          </w:p>
        </w:tc>
        <w:tc>
          <w:tcPr>
            <w:tcW w:w="8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w:t>
            </w:r>
          </w:p>
        </w:tc>
        <w:tc>
          <w:tcPr>
            <w:tcW w:w="81" w:type="dxa"/>
            <w:tcBorders/>
            <w:shd w:fill="CCEEFF" w:val="clear"/>
            <w:vAlign w:val="center"/>
          </w:tcPr>
          <w:p>
            <w:pPr>
              <w:pStyle w:val="TableContents"/>
              <w:bidi w:val="0"/>
              <w:spacing w:before="0" w:after="283"/>
              <w:jc w:val="left"/>
              <w:rPr/>
            </w:pPr>
            <w:r>
              <w:rPr/>
              <w:t> </w:t>
            </w:r>
          </w:p>
        </w:tc>
      </w:tr>
      <w:tr>
        <w:trPr/>
        <w:tc>
          <w:tcPr>
            <w:tcW w:w="80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90,455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90,455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90,790</w:t>
            </w:r>
          </w:p>
        </w:tc>
        <w:tc>
          <w:tcPr>
            <w:tcW w:w="81" w:type="dxa"/>
            <w:tcBorders/>
            <w:shd w:fill="FFFFFF" w:val="clear"/>
            <w:vAlign w:val="center"/>
          </w:tcPr>
          <w:p>
            <w:pPr>
              <w:pStyle w:val="TableContents"/>
              <w:bidi w:val="0"/>
              <w:spacing w:before="0" w:after="283"/>
              <w:jc w:val="left"/>
              <w:rPr/>
            </w:pPr>
            <w:r>
              <w:rPr/>
              <w:t> </w:t>
            </w:r>
          </w:p>
        </w:tc>
      </w:tr>
      <w:tr>
        <w:trPr/>
        <w:tc>
          <w:tcPr>
            <w:tcW w:w="804"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63,225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18,463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512,998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(156,210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1,457,203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(3,898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1,810,670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1,829,536</w:t>
            </w:r>
          </w:p>
        </w:tc>
        <w:tc>
          <w:tcPr>
            <w:tcW w:w="81" w:type="dxa"/>
            <w:tcBorders/>
            <w:shd w:fill="CCEEFF" w:val="clear"/>
            <w:vAlign w:val="center"/>
          </w:tcPr>
          <w:p>
            <w:pPr>
              <w:pStyle w:val="TableContents"/>
              <w:bidi w:val="0"/>
              <w:spacing w:before="0" w:after="283"/>
              <w:jc w:val="left"/>
              <w:rPr/>
            </w:pPr>
            <w:r>
              <w:rPr/>
              <w:t> </w:t>
            </w:r>
          </w:p>
        </w:tc>
      </w:tr>
      <w:tr>
        <w:trPr/>
        <w:tc>
          <w:tcPr>
            <w:tcW w:w="80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3,480</w:t>
            </w:r>
          </w:p>
        </w:tc>
        <w:tc>
          <w:tcPr>
            <w:tcW w:w="81" w:type="dxa"/>
            <w:tcBorders/>
            <w:shd w:fill="FFFFFF" w:val="clear"/>
            <w:vAlign w:val="center"/>
          </w:tcPr>
          <w:p>
            <w:pPr>
              <w:pStyle w:val="TableContents"/>
              <w:bidi w:val="0"/>
              <w:spacing w:before="0" w:after="283"/>
              <w:jc w:val="left"/>
              <w:rPr/>
            </w:pPr>
            <w:r>
              <w:rPr/>
              <w:t> </w:t>
            </w:r>
          </w:p>
        </w:tc>
      </w:tr>
      <w:tr>
        <w:trPr/>
        <w:tc>
          <w:tcPr>
            <w:tcW w:w="80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5,952</w:t>
            </w:r>
          </w:p>
        </w:tc>
        <w:tc>
          <w:tcPr>
            <w:tcW w:w="81" w:type="dxa"/>
            <w:tcBorders/>
            <w:shd w:fill="CCEEFF" w:val="clear"/>
            <w:vAlign w:val="center"/>
          </w:tcPr>
          <w:p>
            <w:pPr>
              <w:pStyle w:val="TableContents"/>
              <w:bidi w:val="0"/>
              <w:spacing w:before="0" w:after="283"/>
              <w:jc w:val="left"/>
              <w:rPr/>
            </w:pPr>
            <w:r>
              <w:rPr/>
              <w:t> </w:t>
            </w:r>
          </w:p>
        </w:tc>
      </w:tr>
      <w:tr>
        <w:trPr/>
        <w:tc>
          <w:tcPr>
            <w:tcW w:w="80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share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w:t>
            </w:r>
          </w:p>
        </w:tc>
        <w:tc>
          <w:tcPr>
            <w:tcW w:w="8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(40,305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(40,305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(40,305</w:t>
            </w:r>
          </w:p>
        </w:tc>
        <w:tc>
          <w:tcPr>
            <w:tcW w:w="8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(8,812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(8,812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(8,812</w:t>
            </w:r>
          </w:p>
        </w:tc>
        <w:tc>
          <w:tcPr>
            <w:tcW w:w="8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(2,725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(2,725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(2,725</w:t>
            </w:r>
          </w:p>
        </w:tc>
        <w:tc>
          <w:tcPr>
            <w:tcW w:w="8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1,689</w:t>
            </w:r>
          </w:p>
        </w:tc>
        <w:tc>
          <w:tcPr>
            <w:tcW w:w="81" w:type="dxa"/>
            <w:tcBorders/>
            <w:shd w:fill="FFFFFF" w:val="clear"/>
            <w:vAlign w:val="center"/>
          </w:tcPr>
          <w:p>
            <w:pPr>
              <w:pStyle w:val="TableContents"/>
              <w:bidi w:val="0"/>
              <w:spacing w:before="0" w:after="283"/>
              <w:jc w:val="left"/>
              <w:rPr/>
            </w:pPr>
            <w:r>
              <w:rPr/>
              <w:t> </w:t>
            </w:r>
          </w:p>
        </w:tc>
      </w:tr>
      <w:tr>
        <w:trPr/>
        <w:tc>
          <w:tcPr>
            <w:tcW w:w="80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98,275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98,275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98,524</w:t>
            </w:r>
          </w:p>
        </w:tc>
        <w:tc>
          <w:tcPr>
            <w:tcW w:w="81" w:type="dxa"/>
            <w:tcBorders/>
            <w:shd w:fill="CCEEFF" w:val="clear"/>
            <w:vAlign w:val="center"/>
          </w:tcPr>
          <w:p>
            <w:pPr>
              <w:pStyle w:val="TableContents"/>
              <w:bidi w:val="0"/>
              <w:spacing w:before="0" w:after="283"/>
              <w:jc w:val="left"/>
              <w:rPr/>
            </w:pPr>
            <w:r>
              <w:rPr/>
              <w:t> </w:t>
            </w:r>
          </w:p>
        </w:tc>
      </w:tr>
      <w:tr>
        <w:trPr/>
        <w:tc>
          <w:tcPr>
            <w:tcW w:w="804"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June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62,572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18,268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522,375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(196,515</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1,543,941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(2,209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9"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1,868,170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1,887,285</w:t>
            </w:r>
          </w:p>
        </w:tc>
        <w:tc>
          <w:tcPr>
            <w:tcW w:w="81" w:type="dxa"/>
            <w:tcBorders/>
            <w:shd w:fill="FFFFFF" w:val="clear"/>
            <w:vAlign w:val="center"/>
          </w:tcPr>
          <w:p>
            <w:pPr>
              <w:pStyle w:val="TableContents"/>
              <w:bidi w:val="0"/>
              <w:spacing w:before="0" w:after="283"/>
              <w:jc w:val="left"/>
              <w:rPr/>
            </w:pPr>
            <w:r>
              <w:rPr/>
              <w:t> </w:t>
            </w:r>
          </w:p>
        </w:tc>
      </w:tr>
      <w:tr>
        <w:trPr/>
        <w:tc>
          <w:tcPr>
            <w:tcW w:w="80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1,889</w:t>
            </w:r>
          </w:p>
        </w:tc>
        <w:tc>
          <w:tcPr>
            <w:tcW w:w="81" w:type="dxa"/>
            <w:tcBorders/>
            <w:shd w:fill="CCEEFF" w:val="clear"/>
            <w:vAlign w:val="center"/>
          </w:tcPr>
          <w:p>
            <w:pPr>
              <w:pStyle w:val="TableContents"/>
              <w:bidi w:val="0"/>
              <w:spacing w:before="0" w:after="283"/>
              <w:jc w:val="left"/>
              <w:rPr/>
            </w:pPr>
            <w:r>
              <w:rPr/>
              <w:t> </w:t>
            </w:r>
          </w:p>
        </w:tc>
      </w:tr>
      <w:tr>
        <w:trPr/>
        <w:tc>
          <w:tcPr>
            <w:tcW w:w="80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6,265</w:t>
            </w:r>
          </w:p>
        </w:tc>
        <w:tc>
          <w:tcPr>
            <w:tcW w:w="81" w:type="dxa"/>
            <w:tcBorders/>
            <w:shd w:fill="FFFFFF" w:val="clear"/>
            <w:vAlign w:val="center"/>
          </w:tcPr>
          <w:p>
            <w:pPr>
              <w:pStyle w:val="TableContents"/>
              <w:bidi w:val="0"/>
              <w:spacing w:before="0" w:after="283"/>
              <w:jc w:val="left"/>
              <w:rPr/>
            </w:pPr>
            <w:r>
              <w:rPr/>
              <w:t> </w:t>
            </w:r>
          </w:p>
        </w:tc>
      </w:tr>
      <w:tr>
        <w:trPr/>
        <w:tc>
          <w:tcPr>
            <w:tcW w:w="80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3,124</w:t>
            </w:r>
          </w:p>
        </w:tc>
        <w:tc>
          <w:tcPr>
            <w:tcW w:w="81" w:type="dxa"/>
            <w:tcBorders/>
            <w:shd w:fill="CCEEFF" w:val="clear"/>
            <w:vAlign w:val="center"/>
          </w:tcPr>
          <w:p>
            <w:pPr>
              <w:pStyle w:val="TableContents"/>
              <w:bidi w:val="0"/>
              <w:spacing w:before="0" w:after="283"/>
              <w:jc w:val="left"/>
              <w:rPr/>
            </w:pPr>
            <w:r>
              <w:rPr/>
              <w:t> </w:t>
            </w:r>
          </w:p>
        </w:tc>
      </w:tr>
      <w:tr>
        <w:trPr/>
        <w:tc>
          <w:tcPr>
            <w:tcW w:w="80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(44,174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(44,174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(44,174</w:t>
            </w:r>
          </w:p>
        </w:tc>
        <w:tc>
          <w:tcPr>
            <w:tcW w:w="8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Retirement of treasury shares and par value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6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6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6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224,520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(224,744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6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6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8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(10,574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(10,574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(10,574</w:t>
            </w:r>
          </w:p>
        </w:tc>
        <w:tc>
          <w:tcPr>
            <w:tcW w:w="8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(3,255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(3,255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(3,255</w:t>
            </w:r>
          </w:p>
        </w:tc>
        <w:tc>
          <w:tcPr>
            <w:tcW w:w="8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(2,108</w:t>
            </w:r>
          </w:p>
        </w:tc>
        <w:tc>
          <w:tcPr>
            <w:tcW w:w="8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80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80,278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80,278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80,634</w:t>
            </w:r>
          </w:p>
        </w:tc>
        <w:tc>
          <w:tcPr>
            <w:tcW w:w="81" w:type="dxa"/>
            <w:tcBorders/>
            <w:shd w:fill="CCEEFF" w:val="clear"/>
            <w:vAlign w:val="center"/>
          </w:tcPr>
          <w:p>
            <w:pPr>
              <w:pStyle w:val="TableContents"/>
              <w:bidi w:val="0"/>
              <w:spacing w:before="0" w:after="283"/>
              <w:jc w:val="left"/>
              <w:rPr/>
            </w:pPr>
            <w:r>
              <w:rPr/>
              <w:t> </w:t>
            </w:r>
          </w:p>
        </w:tc>
      </w:tr>
      <w:tr>
        <w:trPr/>
        <w:tc>
          <w:tcPr>
            <w:tcW w:w="804"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62,053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17,989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533,648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(16,169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1,385,646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(4,317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1,899,612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19,471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1,919,083</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bookmarkStart w:id="9" w:name="cf"/>
      <w:bookmarkEnd w:id="9"/>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CASH FLOWS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15"/>
        <w:gridCol w:w="60"/>
        <w:gridCol w:w="125"/>
        <w:gridCol w:w="905"/>
        <w:gridCol w:w="80"/>
        <w:gridCol w:w="60"/>
        <w:gridCol w:w="125"/>
        <w:gridCol w:w="755"/>
        <w:gridCol w:w="80"/>
      </w:tblGrid>
      <w:tr>
        <w:trPr/>
        <w:tc>
          <w:tcPr>
            <w:tcW w:w="8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5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5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4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4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801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01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229,692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269,948</w:t>
            </w:r>
          </w:p>
        </w:tc>
        <w:tc>
          <w:tcPr>
            <w:tcW w:w="80" w:type="dxa"/>
            <w:tcBorders/>
            <w:shd w:fill="FFFFFF" w:val="clear"/>
            <w:vAlign w:val="center"/>
          </w:tcPr>
          <w:p>
            <w:pPr>
              <w:pStyle w:val="TableContents"/>
              <w:bidi w:val="0"/>
              <w:spacing w:before="0" w:after="283"/>
              <w:jc w:val="left"/>
              <w:rPr/>
            </w:pPr>
            <w:r>
              <w:rPr/>
              <w:t> </w:t>
            </w:r>
          </w:p>
        </w:tc>
      </w:tr>
      <w:tr>
        <w:trPr/>
        <w:tc>
          <w:tcPr>
            <w:tcW w:w="801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015"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175,461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165,145</w:t>
            </w:r>
          </w:p>
        </w:tc>
        <w:tc>
          <w:tcPr>
            <w:tcW w:w="80" w:type="dxa"/>
            <w:tcBorders/>
            <w:shd w:fill="FFFFFF" w:val="clear"/>
            <w:vAlign w:val="center"/>
          </w:tcPr>
          <w:p>
            <w:pPr>
              <w:pStyle w:val="TableContents"/>
              <w:bidi w:val="0"/>
              <w:spacing w:before="0" w:after="283"/>
              <w:jc w:val="left"/>
              <w:rPr/>
            </w:pPr>
            <w:r>
              <w:rPr/>
              <w:t> </w:t>
            </w:r>
          </w:p>
        </w:tc>
      </w:tr>
      <w:tr>
        <w:trPr/>
        <w:tc>
          <w:tcPr>
            <w:tcW w:w="8015"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15"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 related to stock options and employee stock purchases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25,297</w:t>
            </w:r>
          </w:p>
        </w:tc>
        <w:tc>
          <w:tcPr>
            <w:tcW w:w="80" w:type="dxa"/>
            <w:tcBorders/>
            <w:shd w:fill="FFFFFF" w:val="clear"/>
            <w:vAlign w:val="center"/>
          </w:tcPr>
          <w:p>
            <w:pPr>
              <w:pStyle w:val="TableContents"/>
              <w:bidi w:val="0"/>
              <w:spacing w:before="0" w:after="283"/>
              <w:jc w:val="left"/>
              <w:rPr/>
            </w:pPr>
            <w:r>
              <w:rPr/>
              <w:t> </w:t>
            </w:r>
          </w:p>
        </w:tc>
      </w:tr>
      <w:tr>
        <w:trPr/>
        <w:tc>
          <w:tcPr>
            <w:tcW w:w="8015"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deferred 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3,508</w:t>
            </w:r>
          </w:p>
        </w:tc>
        <w:tc>
          <w:tcPr>
            <w:tcW w:w="80" w:type="dxa"/>
            <w:tcBorders/>
            <w:shd w:fill="CCEEFF" w:val="clear"/>
            <w:vAlign w:val="center"/>
          </w:tcPr>
          <w:p>
            <w:pPr>
              <w:pStyle w:val="TableContents"/>
              <w:bidi w:val="0"/>
              <w:spacing w:before="0" w:after="283"/>
              <w:jc w:val="left"/>
              <w:rPr/>
            </w:pPr>
            <w:r>
              <w:rPr/>
              <w:t> </w:t>
            </w:r>
          </w:p>
        </w:tc>
      </w:tr>
      <w:tr>
        <w:trPr/>
        <w:tc>
          <w:tcPr>
            <w:tcW w:w="8015"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15"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inventories,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(193,668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15"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prepaid expenses and other,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15"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trade 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4,576</w:t>
            </w:r>
          </w:p>
        </w:tc>
        <w:tc>
          <w:tcPr>
            <w:tcW w:w="80" w:type="dxa"/>
            <w:tcBorders/>
            <w:shd w:fill="CCEEFF" w:val="clear"/>
            <w:vAlign w:val="center"/>
          </w:tcPr>
          <w:p>
            <w:pPr>
              <w:pStyle w:val="TableContents"/>
              <w:bidi w:val="0"/>
              <w:spacing w:before="0" w:after="283"/>
              <w:jc w:val="left"/>
              <w:rPr/>
            </w:pPr>
            <w:r>
              <w:rPr/>
              <w:t> </w:t>
            </w:r>
          </w:p>
        </w:tc>
      </w:tr>
      <w:tr>
        <w:trPr/>
        <w:tc>
          <w:tcPr>
            <w:tcW w:w="8015"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customer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15"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15"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15" w:type="dxa"/>
            <w:tcBorders/>
            <w:shd w:fill="CCEEFF" w:val="clear"/>
            <w:vAlign w:val="center"/>
          </w:tcPr>
          <w:p>
            <w:pPr>
              <w:pStyle w:val="TableContents"/>
              <w:bidi w:val="0"/>
              <w:spacing w:before="0" w:after="0"/>
              <w:ind w:left="10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227,268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211,059</w:t>
            </w:r>
          </w:p>
        </w:tc>
        <w:tc>
          <w:tcPr>
            <w:tcW w:w="80" w:type="dxa"/>
            <w:tcBorders/>
            <w:shd w:fill="CCEEFF" w:val="clear"/>
            <w:vAlign w:val="center"/>
          </w:tcPr>
          <w:p>
            <w:pPr>
              <w:pStyle w:val="TableContents"/>
              <w:bidi w:val="0"/>
              <w:spacing w:before="0" w:after="283"/>
              <w:jc w:val="left"/>
              <w:rPr/>
            </w:pPr>
            <w:r>
              <w:rPr/>
              <w:t> </w:t>
            </w:r>
          </w:p>
        </w:tc>
      </w:tr>
      <w:tr>
        <w:trPr/>
        <w:tc>
          <w:tcPr>
            <w:tcW w:w="801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01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(304,231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(289,079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1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the sale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1,890</w:t>
            </w:r>
          </w:p>
        </w:tc>
        <w:tc>
          <w:tcPr>
            <w:tcW w:w="80" w:type="dxa"/>
            <w:tcBorders/>
            <w:shd w:fill="FFFFFF" w:val="clear"/>
            <w:vAlign w:val="center"/>
          </w:tcPr>
          <w:p>
            <w:pPr>
              <w:pStyle w:val="TableContents"/>
              <w:bidi w:val="0"/>
              <w:spacing w:before="0" w:after="283"/>
              <w:jc w:val="left"/>
              <w:rPr/>
            </w:pPr>
            <w:r>
              <w:rPr/>
              <w:t> </w:t>
            </w:r>
          </w:p>
        </w:tc>
      </w:tr>
      <w:tr>
        <w:trPr/>
        <w:tc>
          <w:tcPr>
            <w:tcW w:w="801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Business acquisition, net of cash acquired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801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15" w:type="dxa"/>
            <w:tcBorders/>
            <w:shd w:fill="CCEEFF" w:val="clear"/>
            <w:vAlign w:val="center"/>
          </w:tcPr>
          <w:p>
            <w:pPr>
              <w:pStyle w:val="TableContents"/>
              <w:bidi w:val="0"/>
              <w:spacing w:before="0" w:after="0"/>
              <w:ind w:left="10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(305,828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(290,954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1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01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Draws on floor plan notes payable – non-trade,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188,420</w:t>
            </w:r>
          </w:p>
        </w:tc>
        <w:tc>
          <w:tcPr>
            <w:tcW w:w="80" w:type="dxa"/>
            <w:tcBorders/>
            <w:shd w:fill="CCEEFF" w:val="clear"/>
            <w:vAlign w:val="center"/>
          </w:tcPr>
          <w:p>
            <w:pPr>
              <w:pStyle w:val="TableContents"/>
              <w:bidi w:val="0"/>
              <w:spacing w:before="0" w:after="283"/>
              <w:jc w:val="left"/>
              <w:rPr/>
            </w:pPr>
            <w:r>
              <w:rPr/>
              <w:t> </w:t>
            </w:r>
          </w:p>
        </w:tc>
      </w:tr>
      <w:tr>
        <w:trPr/>
        <w:tc>
          <w:tcPr>
            <w:tcW w:w="801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1,621,288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995,081</w:t>
            </w:r>
          </w:p>
        </w:tc>
        <w:tc>
          <w:tcPr>
            <w:tcW w:w="80" w:type="dxa"/>
            <w:tcBorders/>
            <w:shd w:fill="FFFFFF" w:val="clear"/>
            <w:vAlign w:val="center"/>
          </w:tcPr>
          <w:p>
            <w:pPr>
              <w:pStyle w:val="TableContents"/>
              <w:bidi w:val="0"/>
              <w:spacing w:before="0" w:after="283"/>
              <w:jc w:val="left"/>
              <w:rPr/>
            </w:pPr>
            <w:r>
              <w:rPr/>
              <w:t> </w:t>
            </w:r>
          </w:p>
        </w:tc>
      </w:tr>
      <w:tr>
        <w:trPr/>
        <w:tc>
          <w:tcPr>
            <w:tcW w:w="801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on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(1,634,543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(962,792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1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on finance lease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1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shares relating to employee stock options and employee stock purchases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14,734</w:t>
            </w:r>
          </w:p>
        </w:tc>
        <w:tc>
          <w:tcPr>
            <w:tcW w:w="80" w:type="dxa"/>
            <w:tcBorders/>
            <w:shd w:fill="CCEEFF" w:val="clear"/>
            <w:vAlign w:val="center"/>
          </w:tcPr>
          <w:p>
            <w:pPr>
              <w:pStyle w:val="TableContents"/>
              <w:bidi w:val="0"/>
              <w:spacing w:before="0" w:after="283"/>
              <w:jc w:val="left"/>
              <w:rPr/>
            </w:pPr>
            <w:r>
              <w:rPr/>
              <w:t> </w:t>
            </w:r>
          </w:p>
        </w:tc>
      </w:tr>
      <w:tr>
        <w:trPr/>
        <w:tc>
          <w:tcPr>
            <w:tcW w:w="801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paid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1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cash dividends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1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repurchased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15" w:type="dxa"/>
            <w:tcBorders/>
            <w:shd w:fill="CCEEFF" w:val="clear"/>
            <w:vAlign w:val="center"/>
          </w:tcPr>
          <w:p>
            <w:pPr>
              <w:pStyle w:val="TableContents"/>
              <w:bidi w:val="0"/>
              <w:spacing w:before="0" w:after="0"/>
              <w:ind w:left="10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70,845</w:t>
            </w:r>
          </w:p>
        </w:tc>
        <w:tc>
          <w:tcPr>
            <w:tcW w:w="80" w:type="dxa"/>
            <w:tcBorders/>
            <w:shd w:fill="CCEEFF" w:val="clear"/>
            <w:vAlign w:val="center"/>
          </w:tcPr>
          <w:p>
            <w:pPr>
              <w:pStyle w:val="TableContents"/>
              <w:bidi w:val="0"/>
              <w:spacing w:before="0" w:after="283"/>
              <w:jc w:val="left"/>
              <w:rPr/>
            </w:pPr>
            <w:r>
              <w:rPr/>
              <w:t> </w:t>
            </w:r>
          </w:p>
        </w:tc>
      </w:tr>
      <w:tr>
        <w:trPr/>
        <w:tc>
          <w:tcPr>
            <w:tcW w:w="801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increase(decrease)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on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183,725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201,044</w:t>
            </w:r>
          </w:p>
        </w:tc>
        <w:tc>
          <w:tcPr>
            <w:tcW w:w="80" w:type="dxa"/>
            <w:tcBorders/>
            <w:shd w:fill="FFFFFF" w:val="clear"/>
            <w:vAlign w:val="center"/>
          </w:tcPr>
          <w:p>
            <w:pPr>
              <w:pStyle w:val="TableContents"/>
              <w:bidi w:val="0"/>
              <w:spacing w:before="0" w:after="283"/>
              <w:jc w:val="left"/>
              <w:rPr/>
            </w:pPr>
            <w:r>
              <w:rPr/>
              <w:t> </w:t>
            </w:r>
          </w:p>
        </w:tc>
      </w:tr>
      <w:tr>
        <w:trPr/>
        <w:tc>
          <w:tcPr>
            <w:tcW w:w="801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cash equivalents and restricted cash, end of period</w:t>
            </w:r>
          </w:p>
        </w:tc>
        <w:tc>
          <w:tcPr>
            <w:tcW w:w="60" w:type="dxa"/>
            <w:tcBorders/>
            <w:shd w:fill="CCEEFF" w:val="clear"/>
            <w:vAlign w:val="center"/>
          </w:tcPr>
          <w:p>
            <w:pPr>
              <w:pStyle w:val="TableContents"/>
              <w:bidi w:val="0"/>
              <w:spacing w:before="0" w:after="283"/>
              <w:ind w:left="4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4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191,988</w:t>
            </w:r>
          </w:p>
        </w:tc>
        <w:tc>
          <w:tcPr>
            <w:tcW w:w="80" w:type="dxa"/>
            <w:tcBorders/>
            <w:shd w:fill="CCEEFF" w:val="clear"/>
            <w:vAlign w:val="center"/>
          </w:tcPr>
          <w:p>
            <w:pPr>
              <w:pStyle w:val="TableContents"/>
              <w:bidi w:val="0"/>
              <w:spacing w:before="0" w:after="283"/>
              <w:jc w:val="left"/>
              <w:rPr/>
            </w:pPr>
            <w:r>
              <w:rPr/>
              <w:t> </w:t>
            </w:r>
          </w:p>
        </w:tc>
      </w:tr>
      <w:tr>
        <w:trPr/>
        <w:tc>
          <w:tcPr>
            <w:tcW w:w="801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01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01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40,233</w:t>
            </w:r>
          </w:p>
        </w:tc>
        <w:tc>
          <w:tcPr>
            <w:tcW w:w="80" w:type="dxa"/>
            <w:tcBorders/>
            <w:shd w:fill="FFFFFF" w:val="clear"/>
            <w:vAlign w:val="center"/>
          </w:tcPr>
          <w:p>
            <w:pPr>
              <w:pStyle w:val="TableContents"/>
              <w:bidi w:val="0"/>
              <w:spacing w:before="0" w:after="283"/>
              <w:jc w:val="left"/>
              <w:rPr/>
            </w:pPr>
            <w:r>
              <w:rPr/>
              <w:t> </w:t>
            </w:r>
          </w:p>
        </w:tc>
      </w:tr>
      <w:tr>
        <w:trPr/>
        <w:tc>
          <w:tcPr>
            <w:tcW w:w="801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net of refunds</w:t>
            </w:r>
          </w:p>
        </w:tc>
        <w:tc>
          <w:tcPr>
            <w:tcW w:w="60" w:type="dxa"/>
            <w:tcBorders/>
            <w:shd w:fill="CCEEFF" w:val="clear"/>
            <w:vAlign w:val="center"/>
          </w:tcPr>
          <w:p>
            <w:pPr>
              <w:pStyle w:val="TableContents"/>
              <w:bidi w:val="0"/>
              <w:spacing w:before="0" w:after="283"/>
              <w:ind w:left="40" w:right="0" w:hanging="0"/>
              <w:jc w:val="left"/>
              <w:rPr/>
            </w:pPr>
            <w:r>
              <w:rPr/>
              <w:t> </w:t>
            </w:r>
          </w:p>
        </w:tc>
        <w:tc>
          <w:tcPr>
            <w:tcW w:w="125" w:type="dxa"/>
            <w:tcBorders/>
            <w:shd w:fill="CCEE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40" w:right="0" w:hanging="0"/>
              <w:jc w:val="left"/>
              <w:rPr/>
            </w:pPr>
            <w:r>
              <w:rPr/>
              <w:t> </w:t>
            </w:r>
          </w:p>
        </w:tc>
        <w:tc>
          <w:tcPr>
            <w:tcW w:w="125" w:type="dxa"/>
            <w:tcBorders/>
            <w:shd w:fill="CCEE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80,759</w:t>
            </w:r>
          </w:p>
        </w:tc>
        <w:tc>
          <w:tcPr>
            <w:tcW w:w="80" w:type="dxa"/>
            <w:tcBorders/>
            <w:shd w:fill="CCEEFF" w:val="clear"/>
            <w:vAlign w:val="center"/>
          </w:tcPr>
          <w:p>
            <w:pPr>
              <w:pStyle w:val="TableContents"/>
              <w:bidi w:val="0"/>
              <w:spacing w:before="0" w:after="283"/>
              <w:jc w:val="left"/>
              <w:rPr/>
            </w:pPr>
            <w:r>
              <w:rPr/>
              <w:t> </w:t>
            </w:r>
          </w:p>
        </w:tc>
      </w:tr>
      <w:tr>
        <w:trPr/>
        <w:tc>
          <w:tcPr>
            <w:tcW w:w="801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01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acquired under finance leases</w:t>
            </w:r>
          </w:p>
        </w:tc>
        <w:tc>
          <w:tcPr>
            <w:tcW w:w="60" w:type="dxa"/>
            <w:tcBorders/>
            <w:shd w:fill="CCEEFF" w:val="clear"/>
            <w:vAlign w:val="center"/>
          </w:tcPr>
          <w:p>
            <w:pPr>
              <w:pStyle w:val="TableContents"/>
              <w:bidi w:val="0"/>
              <w:spacing w:before="0" w:after="283"/>
              <w:ind w:left="40" w:right="0" w:hanging="0"/>
              <w:jc w:val="left"/>
              <w:rPr/>
            </w:pPr>
            <w:r>
              <w:rPr/>
              <w:t> </w:t>
            </w:r>
          </w:p>
        </w:tc>
        <w:tc>
          <w:tcPr>
            <w:tcW w:w="125" w:type="dxa"/>
            <w:tcBorders/>
            <w:shd w:fill="CCEE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40" w:right="0" w:hanging="0"/>
              <w:jc w:val="left"/>
              <w:rPr/>
            </w:pPr>
            <w:r>
              <w:rPr/>
              <w:t> </w:t>
            </w:r>
          </w:p>
        </w:tc>
        <w:tc>
          <w:tcPr>
            <w:tcW w:w="125" w:type="dxa"/>
            <w:tcBorders/>
            <w:shd w:fill="CCEE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40,144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0" w:name="notes"/>
      <w:bookmarkEnd w:id="10"/>
      <w:r>
        <w:rPr>
          <w:rFonts w:ascii="Times New Roman" w:hAnsi="Times New Roman"/>
          <w:b/>
          <w:caps w:val="false"/>
          <w:smallCaps w:val="false"/>
          <w:sz w:val="20"/>
        </w:rPr>
        <w:t>RUSH ENTERPRISES,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 </w:t>
      </w:r>
      <w:r>
        <w:rPr>
          <w:rFonts w:ascii="Times New Roman" w:hAnsi="Times New Roman"/>
          <w:caps w:val="false"/>
          <w:smallCaps w:val="false"/>
          <w:sz w:val="20"/>
        </w:rPr>
        <w:t xml:space="preserve">– </w:t>
      </w:r>
      <w:r>
        <w:rPr>
          <w:rFonts w:ascii="Times New Roman" w:hAnsi="Times New Roman"/>
          <w:b/>
          <w:caps w:val="false"/>
          <w:smallCaps w:val="false"/>
          <w:sz w:val="20"/>
        </w:rPr>
        <w:t>Principles of Consolidation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2023. Results of operations for interim periods are not necessarily indicative of results that may be expected for any other interim periods or the full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Restricted cash consists of deposits for the statutory restriction on cash related to the Company’s captive insurance company of $4.1 million as of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Authorized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May 16, 2023, the Company’s shareholders approved the Certificate of Amendment to the Restated Articles of Incorporation of the Company to increase the number of authorized shares of Class A Common Stock from 60,000,000 to 105,000,000 and Class B Common Stock from 20,000,000 to 35,000,000.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25, 2023, the Company’s Board of Directors declared a three-for-two stock split with respect to both the Company’s Class A and Class B common stock. The stock split was effected in the form of a stock dividend paid on August 28, 2023, to shareholders of record as of August 7, 2023. Holders of the Company’s common stock received an additional one-half share for each share of common stock held as of the record date. All share and per share data in this Form 10-Q have been adjusted to reflect the stock split as if it occurred on the first day of the earliest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Foreign Currency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functional currency of the Company’s foreign subsidiary, Rush Truck Centres of Canada Limited (“RTC Canada”), is the local currency, the Canadian dollar. Results of operations for RTC Canada are translated to USD using the average monthly exchange rate during each quarter. The assets and liabilities of RTC Canada are translated into USD using the exchange rate in effect on the balance sheet date. The related translation adjustments are recorded as a separate component of the Company’s Consolidated Statements of Shareholders’ Equity in accumulated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2 </w:t>
      </w:r>
      <w:r>
        <w:rPr>
          <w:rFonts w:ascii="Times New Roman" w:hAnsi="Times New Roman"/>
          <w:caps w:val="false"/>
          <w:smallCaps w:val="false"/>
          <w:sz w:val="20"/>
        </w:rPr>
        <w:t xml:space="preserve">– </w:t>
      </w:r>
      <w:r>
        <w:rPr>
          <w:rFonts w:ascii="Times New Roman" w:hAnsi="Times New Roman"/>
          <w:b/>
          <w:caps w:val="false"/>
          <w:smallCaps w:val="false"/>
          <w:sz w:val="20"/>
        </w:rPr>
        <w:t>Commitments and Contingencies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the Company is involved in litigation arising out of its operations in the ordinary course of business. The Company maintains liability insurance, including product liability coverage, in amounts deemed adequate by management. However, an uninsured or partially insured claim, or claim for which indemnification is not available, could have a material adverse effect on the Company’s financial condition or results of operations. As of September 30, 2024, the Company believes that there are no pending claims or litigation, individually or in the aggregate, that are reasonably likely to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3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Earnings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earnings per share (in thousands, except per share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39"/>
        <w:gridCol w:w="60"/>
        <w:gridCol w:w="134"/>
        <w:gridCol w:w="634"/>
        <w:gridCol w:w="63"/>
        <w:gridCol w:w="63"/>
        <w:gridCol w:w="134"/>
        <w:gridCol w:w="634"/>
        <w:gridCol w:w="60"/>
        <w:gridCol w:w="60"/>
        <w:gridCol w:w="125"/>
        <w:gridCol w:w="695"/>
        <w:gridCol w:w="60"/>
        <w:gridCol w:w="60"/>
        <w:gridCol w:w="125"/>
        <w:gridCol w:w="695"/>
        <w:gridCol w:w="64"/>
      </w:tblGrid>
      <w:tr>
        <w:trPr/>
        <w:tc>
          <w:tcPr>
            <w:tcW w:w="6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4" w:type="dxa"/>
            <w:tcBorders/>
            <w:vAlign w:val="center"/>
          </w:tcPr>
          <w:p>
            <w:pPr>
              <w:pStyle w:val="TableContents"/>
              <w:bidi w:val="0"/>
              <w:spacing w:before="0" w:after="283"/>
              <w:jc w:val="left"/>
              <w:rPr/>
            </w:pPr>
            <w:r>
              <w:rPr/>
              <w:t> </w:t>
            </w:r>
          </w:p>
        </w:tc>
      </w:tr>
      <w:tr>
        <w:trPr/>
        <w:tc>
          <w:tcPr>
            <w:tcW w:w="6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7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4" w:type="dxa"/>
            <w:tcBorders/>
            <w:vAlign w:val="center"/>
          </w:tcPr>
          <w:p>
            <w:pPr>
              <w:pStyle w:val="TableContents"/>
              <w:bidi w:val="0"/>
              <w:spacing w:before="0" w:after="283"/>
              <w:jc w:val="left"/>
              <w:rPr/>
            </w:pPr>
            <w:r>
              <w:rPr/>
              <w:t> </w:t>
            </w:r>
          </w:p>
        </w:tc>
      </w:tr>
      <w:tr>
        <w:trPr/>
        <w:tc>
          <w:tcPr>
            <w:tcW w:w="6539"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653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 for basic and diluted earnings per share – Net income available to common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79,132</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269,008</w:t>
            </w:r>
          </w:p>
        </w:tc>
        <w:tc>
          <w:tcPr>
            <w:tcW w:w="64" w:type="dxa"/>
            <w:tcBorders/>
            <w:shd w:fill="FFFFFF" w:val="clear"/>
            <w:vAlign w:val="center"/>
          </w:tcPr>
          <w:p>
            <w:pPr>
              <w:pStyle w:val="TableContents"/>
              <w:bidi w:val="0"/>
              <w:spacing w:before="0" w:after="283"/>
              <w:jc w:val="left"/>
              <w:rPr/>
            </w:pPr>
            <w:r>
              <w:rPr/>
              <w:t> </w:t>
            </w:r>
          </w:p>
        </w:tc>
      </w:tr>
      <w:tr>
        <w:trPr/>
        <w:tc>
          <w:tcPr>
            <w:tcW w:w="6539"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653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 for basic earnings per share – weighted average shares outstanding</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79,216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81,629</w:t>
            </w:r>
          </w:p>
        </w:tc>
        <w:tc>
          <w:tcPr>
            <w:tcW w:w="64" w:type="dxa"/>
            <w:tcBorders/>
            <w:shd w:fill="FFFFFF" w:val="clear"/>
            <w:vAlign w:val="center"/>
          </w:tcPr>
          <w:p>
            <w:pPr>
              <w:pStyle w:val="TableContents"/>
              <w:bidi w:val="0"/>
              <w:spacing w:before="0" w:after="283"/>
              <w:jc w:val="left"/>
              <w:rPr/>
            </w:pPr>
            <w:r>
              <w:rPr/>
              <w:t> </w:t>
            </w:r>
          </w:p>
        </w:tc>
      </w:tr>
      <w:tr>
        <w:trPr/>
        <w:tc>
          <w:tcPr>
            <w:tcW w:w="653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securities–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653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and director stock options and restricted share awards</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2,622</w:t>
            </w:r>
          </w:p>
        </w:tc>
        <w:tc>
          <w:tcPr>
            <w:tcW w:w="64" w:type="dxa"/>
            <w:tcBorders/>
            <w:shd w:fill="FFFFFF" w:val="clear"/>
            <w:vAlign w:val="center"/>
          </w:tcPr>
          <w:p>
            <w:pPr>
              <w:pStyle w:val="TableContents"/>
              <w:bidi w:val="0"/>
              <w:spacing w:before="0" w:after="283"/>
              <w:jc w:val="left"/>
              <w:rPr/>
            </w:pPr>
            <w:r>
              <w:rPr/>
              <w:t> </w:t>
            </w:r>
          </w:p>
        </w:tc>
      </w:tr>
      <w:tr>
        <w:trPr/>
        <w:tc>
          <w:tcPr>
            <w:tcW w:w="653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 for diluted earnings per share – adjusted weighted average shares outstanding and assumed conversions</w:t>
            </w:r>
          </w:p>
        </w:tc>
        <w:tc>
          <w:tcPr>
            <w:tcW w:w="60" w:type="dxa"/>
            <w:tcBorders/>
            <w:shd w:fill="CCEEFF" w:val="clear"/>
            <w:vAlign w:val="center"/>
          </w:tcPr>
          <w:p>
            <w:pPr>
              <w:pStyle w:val="TableContents"/>
              <w:bidi w:val="0"/>
              <w:spacing w:before="0" w:after="283"/>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81,884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84,251</w:t>
            </w:r>
          </w:p>
        </w:tc>
        <w:tc>
          <w:tcPr>
            <w:tcW w:w="64" w:type="dxa"/>
            <w:tcBorders/>
            <w:shd w:fill="CCEEFF" w:val="clear"/>
            <w:vAlign w:val="center"/>
          </w:tcPr>
          <w:p>
            <w:pPr>
              <w:pStyle w:val="TableContents"/>
              <w:bidi w:val="0"/>
              <w:spacing w:before="0" w:after="283"/>
              <w:jc w:val="left"/>
              <w:rPr/>
            </w:pPr>
            <w:r>
              <w:rPr/>
              <w:t> </w:t>
            </w:r>
          </w:p>
        </w:tc>
      </w:tr>
      <w:tr>
        <w:trPr/>
        <w:tc>
          <w:tcPr>
            <w:tcW w:w="6539"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64" w:type="dxa"/>
            <w:tcBorders/>
            <w:shd w:fill="FFFFFF" w:val="clear"/>
            <w:vAlign w:val="center"/>
          </w:tcPr>
          <w:p>
            <w:pPr>
              <w:pStyle w:val="TableContents"/>
              <w:bidi w:val="0"/>
              <w:spacing w:before="0" w:after="283"/>
              <w:jc w:val="left"/>
              <w:rPr/>
            </w:pPr>
            <w:r>
              <w:rPr/>
              <w:t> </w:t>
            </w:r>
          </w:p>
        </w:tc>
      </w:tr>
      <w:tr>
        <w:trPr/>
        <w:tc>
          <w:tcPr>
            <w:tcW w:w="6539"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common share and common share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Options to purchase shares of common stock that were outstanding for the three months and nine months ended September 30, 2024 and 2023 that were not included in the computation of diluted earnings per share because the effect would have been anti-dilutive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862" w:type="dxa"/>
        <w:jc w:val="left"/>
        <w:tblInd w:w="0" w:type="dxa"/>
        <w:tblLayout w:type="fixed"/>
        <w:tblCellMar>
          <w:top w:w="0" w:type="dxa"/>
          <w:left w:w="0" w:type="dxa"/>
          <w:bottom w:w="0" w:type="dxa"/>
          <w:right w:w="0" w:type="dxa"/>
        </w:tblCellMar>
      </w:tblPr>
      <w:tblGrid>
        <w:gridCol w:w="3230"/>
        <w:gridCol w:w="60"/>
        <w:gridCol w:w="97"/>
        <w:gridCol w:w="546"/>
        <w:gridCol w:w="97"/>
        <w:gridCol w:w="97"/>
        <w:gridCol w:w="97"/>
        <w:gridCol w:w="791"/>
        <w:gridCol w:w="60"/>
        <w:gridCol w:w="60"/>
        <w:gridCol w:w="93"/>
        <w:gridCol w:w="523"/>
        <w:gridCol w:w="93"/>
        <w:gridCol w:w="93"/>
        <w:gridCol w:w="93"/>
        <w:gridCol w:w="757"/>
        <w:gridCol w:w="75"/>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5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0"/>
              <w:jc w:val="left"/>
              <w:rPr/>
            </w:pPr>
            <w:r>
              <w:rPr/>
              <w:t> </w:t>
            </w:r>
          </w:p>
        </w:tc>
        <w:tc>
          <w:tcPr>
            <w:tcW w:w="8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anti-dilutive options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20" w:right="0" w:hanging="0"/>
              <w:jc w:val="left"/>
              <w:rPr/>
            </w:pPr>
            <w:r>
              <w:rPr/>
              <w:t> </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2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20" w:right="0" w:hanging="0"/>
              <w:jc w:val="left"/>
              <w:rPr/>
            </w:pPr>
            <w:r>
              <w:rPr/>
              <w:t> </w:t>
            </w:r>
          </w:p>
        </w:tc>
        <w:tc>
          <w:tcPr>
            <w:tcW w:w="5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2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4 </w:t>
      </w:r>
      <w:r>
        <w:rPr>
          <w:rFonts w:ascii="Times New Roman" w:hAnsi="Times New Roman"/>
          <w:caps w:val="false"/>
          <w:smallCaps w:val="false"/>
          <w:sz w:val="20"/>
        </w:rPr>
        <w:t xml:space="preserve">– </w:t>
      </w:r>
      <w:r>
        <w:rPr>
          <w:rFonts w:ascii="Times New Roman" w:hAnsi="Times New Roman"/>
          <w:b/>
          <w:caps w:val="false"/>
          <w:smallCaps w:val="false"/>
          <w:sz w:val="20"/>
        </w:rPr>
        <w:t>Stock Options and 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Valuation and Expense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Company accounts for stock-based compensation in accordance with Accounting Standards Codification (“ASC”) 718-10, </w:t>
      </w:r>
      <w:r>
        <w:rPr>
          <w:rFonts w:ascii="Times New Roman" w:hAnsi="Times New Roman"/>
          <w:i/>
          <w:caps w:val="false"/>
          <w:smallCaps w:val="false"/>
          <w:sz w:val="20"/>
        </w:rPr>
        <w:t xml:space="preserve">Compensation </w:t>
      </w:r>
      <w:r>
        <w:rPr>
          <w:rFonts w:ascii="Times New Roman" w:hAnsi="Times New Roman"/>
          <w:caps w:val="false"/>
          <w:smallCaps w:val="false"/>
          <w:sz w:val="20"/>
        </w:rPr>
        <w:t xml:space="preserve">– </w:t>
      </w:r>
      <w:r>
        <w:rPr>
          <w:rFonts w:ascii="Times New Roman" w:hAnsi="Times New Roman"/>
          <w:i/>
          <w:caps w:val="false"/>
          <w:smallCaps w:val="false"/>
          <w:sz w:val="20"/>
        </w:rPr>
        <w:t>Stock Compensation,</w:t>
      </w:r>
      <w:r>
        <w:rPr>
          <w:rFonts w:ascii="Times New Roman" w:hAnsi="Times New Roman"/>
          <w:caps w:val="false"/>
          <w:smallCaps w:val="false"/>
          <w:sz w:val="20"/>
        </w:rPr>
        <w:t xml:space="preserve"> which requires the measurement and recognition of compensation expense for all share-based payment awards made to the Company’s employees and directors, including employee stock options, restricted stock awards and employee stock purchases related to the Employee Stock Purchase Plan, based on estimated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Stock-based compensation expense, calculated using the Black-Scholes option-pricing model for employee stock options, and included in selling, general and administrative expense, was $5.3 million for the three months ended September 30, 2024, and $6.3 million for the three months ended September 30, 2023. Stock-based compensation expense was $24.9 million for the nine months ended September 30, 2024, and $25.3 million for the nine months ended September 30, 2023.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September 30, 2024, the Company had $14.2 million of unrecognized compensation expense related to non-vested employee stock options to be recognized over a weighted-average period of 2.2 years and $16.6 million of unrecognized compensation cost related to non-vested restricted stock awards to be recognized over a weighted-average period of 1.3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5 </w:t>
      </w:r>
      <w:r>
        <w:rPr>
          <w:rFonts w:ascii="Times New Roman" w:hAnsi="Times New Roman"/>
          <w:caps w:val="false"/>
          <w:smallCaps w:val="false"/>
          <w:sz w:val="20"/>
        </w:rPr>
        <w:t xml:space="preserve">– </w:t>
      </w:r>
      <w:r>
        <w:rPr>
          <w:rFonts w:ascii="Times New Roman" w:hAnsi="Times New Roman"/>
          <w:b/>
          <w:caps w:val="false"/>
          <w:smallCaps w:val="false"/>
          <w:sz w:val="20"/>
        </w:rPr>
        <w:t>Financial Instruments and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to their short-term nature or the existence of variable interest rates, which approximate market rates. Certain methods and assumptions were used by the Company in estimating the fair value of financial instruments as of September 30, 2024, and December 31, 2023. The carrying value of current assets and current liabilities approximates the fair value due to the short maturity of these items.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fair value of the Company’s long-term debt is based on secondary market indicators. Because the Company’s debt is not quoted, estimates are based on each obligation’s characteristics, including remaining maturities, variable interest rates, credit rating, collateral and liquidity. Accordingly, the Company concluded that the valuation measurement inputs of its long-term debt represent, at its lowest level, current market interest rates available to the Company for similar debt and the Company’s current credit standing. Thus, the carrying amount of such debt approximates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6 </w:t>
      </w:r>
      <w:r>
        <w:rPr>
          <w:rFonts w:ascii="Times New Roman" w:hAnsi="Times New Roman"/>
          <w:caps w:val="false"/>
          <w:smallCaps w:val="false"/>
          <w:sz w:val="20"/>
        </w:rPr>
        <w:t xml:space="preserve">– </w:t>
      </w:r>
      <w:r>
        <w:rPr>
          <w:rFonts w:ascii="Times New Roman" w:hAnsi="Times New Roman"/>
          <w:b/>
          <w:caps w:val="false"/>
          <w:smallCaps w:val="false"/>
          <w:sz w:val="20"/>
        </w:rPr>
        <w:t>Segment Information</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currently has one reportable business segment - the Truck Segment. The Truck Segment includes the Company’s operation of a network of commercial vehicle dealerships throughout the United States and Ontario, Canada that provide an integrated one-stop source for the commercial vehicle needs of its customers, including retail sales of new and used commercial vehicles; aftermarket parts, service and collision center facilities; and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accounting policies of the segments are the same as those described in the summary of significant accounting policies. The Company evaluates performance based on income before income taxes, not including extraordinary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contains summarized information about reportable segment revenues, segment income or loss from continuing operations and segment assets for the periods ended September 30, 2024 and 2023 (in thousands):</w:t>
      </w:r>
    </w:p>
    <w:p>
      <w:pPr>
        <w:pStyle w:val="TextBody"/>
        <w:bidi w:val="0"/>
        <w:spacing w:before="0" w:after="0"/>
        <w:ind w:left="0" w:right="0" w:hanging="0"/>
        <w:jc w:val="left"/>
        <w:rPr>
          <w:caps w:val="false"/>
          <w:smallCaps w:val="false"/>
        </w:rPr>
      </w:pPr>
      <w:r>
        <w:rPr>
          <w:caps w:val="false"/>
          <w:smallCaps w:val="false"/>
        </w:rPr>
        <w:t> </w:t>
      </w:r>
    </w:p>
    <w:tbl>
      <w:tblPr>
        <w:tblW w:w="7789" w:type="dxa"/>
        <w:jc w:val="left"/>
        <w:tblInd w:w="0" w:type="dxa"/>
        <w:tblLayout w:type="fixed"/>
        <w:tblCellMar>
          <w:top w:w="0" w:type="dxa"/>
          <w:left w:w="0" w:type="dxa"/>
          <w:bottom w:w="0" w:type="dxa"/>
          <w:right w:w="0" w:type="dxa"/>
        </w:tblCellMar>
      </w:tblPr>
      <w:tblGrid>
        <w:gridCol w:w="4685"/>
        <w:gridCol w:w="60"/>
        <w:gridCol w:w="125"/>
        <w:gridCol w:w="845"/>
        <w:gridCol w:w="60"/>
        <w:gridCol w:w="60"/>
        <w:gridCol w:w="134"/>
        <w:gridCol w:w="635"/>
        <w:gridCol w:w="80"/>
        <w:gridCol w:w="60"/>
        <w:gridCol w:w="125"/>
        <w:gridCol w:w="845"/>
        <w:gridCol w:w="75"/>
      </w:tblGrid>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Truck</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Segment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75"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As of and for the three months ended September 30,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from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1,891,777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1,896,133</w:t>
            </w:r>
          </w:p>
        </w:tc>
        <w:tc>
          <w:tcPr>
            <w:tcW w:w="7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120,754</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income before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103,239</w:t>
            </w:r>
          </w:p>
        </w:tc>
        <w:tc>
          <w:tcPr>
            <w:tcW w:w="7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4,591,223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4,648,471</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For the nine months ended September 30, 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from external customers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5,782,578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5,795,160</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355,845</w:t>
            </w:r>
          </w:p>
        </w:tc>
        <w:tc>
          <w:tcPr>
            <w:tcW w:w="7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income before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301,114</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As of and for the three months ended September 30, 2023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from external customers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1,976,395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1,980,740</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121,621</w:t>
            </w:r>
          </w:p>
        </w:tc>
        <w:tc>
          <w:tcPr>
            <w:tcW w:w="7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income before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107,560</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4,163,261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4,218,053</w:t>
            </w:r>
          </w:p>
        </w:tc>
        <w:tc>
          <w:tcPr>
            <w:tcW w:w="7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180" w:right="0" w:hanging="18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For the nine months ended September 30, 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from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5,883,127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5,895,559</w:t>
            </w:r>
          </w:p>
        </w:tc>
        <w:tc>
          <w:tcPr>
            <w:tcW w:w="7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391,870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392,256</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income before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356,839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357,225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7 </w:t>
      </w:r>
      <w:r>
        <w:rPr>
          <w:rFonts w:ascii="Times New Roman" w:hAnsi="Times New Roman"/>
          <w:caps w:val="false"/>
          <w:smallCaps w:val="false"/>
          <w:sz w:val="20"/>
        </w:rPr>
        <w:t xml:space="preserve">– </w:t>
      </w:r>
      <w:r>
        <w:rPr>
          <w:rFonts w:ascii="Times New Roman" w:hAnsi="Times New Roman"/>
          <w:b/>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had unrecognized income tax benefits totaling $6.7 million and $5.3 million as a component of accrued liabilities as of September 30, 2024 and December 31, 2023,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The Company had approximately $389,000 and $302,000 accrued for the payment of interest as of September 30, 2024 and December 31, 2023. No amounts were accrued for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does not anticipate a significant change in the amount of unrecognized tax benefits in the next 12 months. As of September 30, 2024, the tax years ended December 31, 2019 through 2022, remained subject to audit by federal tax authorities, and the tax years ended December 31, 2018 through 2022, remained subject to audit by state tax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8 </w:t>
      </w:r>
      <w:r>
        <w:rPr>
          <w:rFonts w:ascii="Times New Roman" w:hAnsi="Times New Roman"/>
          <w:caps w:val="false"/>
          <w:smallCaps w:val="false"/>
          <w:sz w:val="20"/>
        </w:rPr>
        <w:t xml:space="preserve">– </w:t>
      </w:r>
      <w:r>
        <w:rPr>
          <w:rFonts w:ascii="Times New Roman" w:hAnsi="Times New Roman"/>
          <w:b/>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non-lease and rental revenues are generated from the sale of finished products to customers. Revenue from sales predominantly contain a single delivery element and revenue from such sales is recognized when the customer obtains control, which is typically when the finished product is delivered to the customer. The Company’s material revenue streams have been identified as the following: the sale of new and used commercial vehicles, the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Company’s disaggregated revenue by revenue source, excluding lease and rental revenue, for the three months and nine months ended September 30, 2024 and 2023 (in thousands):</w:t>
      </w:r>
    </w:p>
    <w:p>
      <w:pPr>
        <w:pStyle w:val="TextBody"/>
        <w:bidi w:val="0"/>
        <w:spacing w:before="0" w:after="0"/>
        <w:ind w:left="0" w:right="0" w:hanging="0"/>
        <w:jc w:val="left"/>
        <w:rPr>
          <w:caps w:val="false"/>
          <w:smallCaps w:val="false"/>
        </w:rPr>
      </w:pPr>
      <w:r>
        <w:rPr>
          <w:caps w:val="false"/>
          <w:smallCaps w:val="false"/>
        </w:rPr>
        <w:t> </w:t>
      </w:r>
    </w:p>
    <w:tbl>
      <w:tblPr>
        <w:tblW w:w="7860" w:type="dxa"/>
        <w:jc w:val="left"/>
        <w:tblInd w:w="0" w:type="dxa"/>
        <w:tblLayout w:type="fixed"/>
        <w:tblCellMar>
          <w:top w:w="0" w:type="dxa"/>
          <w:left w:w="0" w:type="dxa"/>
          <w:bottom w:w="0" w:type="dxa"/>
          <w:right w:w="0" w:type="dxa"/>
        </w:tblCellMar>
      </w:tblPr>
      <w:tblGrid>
        <w:gridCol w:w="3485"/>
        <w:gridCol w:w="60"/>
        <w:gridCol w:w="125"/>
        <w:gridCol w:w="845"/>
        <w:gridCol w:w="60"/>
        <w:gridCol w:w="60"/>
        <w:gridCol w:w="125"/>
        <w:gridCol w:w="845"/>
        <w:gridCol w:w="60"/>
        <w:gridCol w:w="60"/>
        <w:gridCol w:w="125"/>
        <w:gridCol w:w="845"/>
        <w:gridCol w:w="60"/>
        <w:gridCol w:w="60"/>
        <w:gridCol w:w="125"/>
        <w:gridCol w:w="845"/>
        <w:gridCol w:w="75"/>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75" w:type="dxa"/>
            <w:tcBorders/>
            <w:vAlign w:val="center"/>
          </w:tcPr>
          <w:p>
            <w:pPr>
              <w:pStyle w:val="TableContents"/>
              <w:bidi w:val="0"/>
              <w:spacing w:before="0" w:after="283"/>
              <w:jc w:val="left"/>
              <w:rPr/>
            </w:pPr>
            <w:r>
              <w:rPr/>
              <w:t> </w:t>
            </w:r>
          </w:p>
        </w:tc>
      </w:tr>
      <w:tr>
        <w:trPr/>
        <w:tc>
          <w:tcPr>
            <w:tcW w:w="34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75" w:type="dxa"/>
            <w:tcBorders/>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 sales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1,163,255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3,586,882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3,648,286</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Parts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350,896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1,089,354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1,141,081</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 repair service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801,898</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9,369</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9,708</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16,799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20,536</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1,807,004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1,891,274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5,530,464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5,630,878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of the Company's performance obligations and associated revenues are generally transferred to customers at a point in time. The Company did not have any material contract assets or contract liabilities on the balance sheet as of September 30, 2024. Revenues related to commercial vehicle sales, parts sales, commercial vehicle repair service, finance and the majority of other revenues are related to the Truck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9 </w:t>
      </w:r>
      <w:r>
        <w:rPr>
          <w:rFonts w:ascii="Times New Roman" w:hAnsi="Times New Roman"/>
          <w:caps w:val="false"/>
          <w:smallCaps w:val="false"/>
          <w:sz w:val="20"/>
        </w:rPr>
        <w:t xml:space="preserve">– </w:t>
      </w: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Lease of Vehicles as Lessor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primarily leases commercial vehicles that the Company owns to customers primarily over periods of one to ten years. The Company does not separate lease and nonlease components. Nonlease components typically consist of maintenance and licensing for the commercial vehicle. The variable nonlease components are generally based on mileage. Some leases contain an option for the lessee to purchase the commercial vehicle at the end of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Lease and rental income during the three and nine months ended September 30, 2024 and September 30, 2023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921" w:type="dxa"/>
        <w:jc w:val="left"/>
        <w:tblInd w:w="0" w:type="dxa"/>
        <w:tblLayout w:type="fixed"/>
        <w:tblCellMar>
          <w:top w:w="0" w:type="dxa"/>
          <w:left w:w="0" w:type="dxa"/>
          <w:bottom w:w="0" w:type="dxa"/>
          <w:right w:w="0" w:type="dxa"/>
        </w:tblCellMar>
      </w:tblPr>
      <w:tblGrid>
        <w:gridCol w:w="2180"/>
        <w:gridCol w:w="60"/>
        <w:gridCol w:w="139"/>
        <w:gridCol w:w="658"/>
        <w:gridCol w:w="66"/>
        <w:gridCol w:w="66"/>
        <w:gridCol w:w="139"/>
        <w:gridCol w:w="658"/>
        <w:gridCol w:w="60"/>
        <w:gridCol w:w="60"/>
        <w:gridCol w:w="125"/>
        <w:gridCol w:w="695"/>
        <w:gridCol w:w="60"/>
        <w:gridCol w:w="60"/>
        <w:gridCol w:w="125"/>
        <w:gridCol w:w="695"/>
        <w:gridCol w:w="75"/>
      </w:tblGrid>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7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75"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Minimum rental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77,729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229,276</w:t>
            </w:r>
          </w:p>
        </w:tc>
        <w:tc>
          <w:tcPr>
            <w:tcW w:w="75"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Nonlease payments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35,405</w:t>
            </w:r>
          </w:p>
        </w:tc>
        <w:tc>
          <w:tcPr>
            <w:tcW w:w="75"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89,129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264,681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10 </w:t>
      </w:r>
      <w:r>
        <w:rPr>
          <w:rFonts w:ascii="Times New Roman" w:hAnsi="Times New Roman"/>
          <w:caps w:val="false"/>
          <w:smallCaps w:val="false"/>
          <w:sz w:val="20"/>
        </w:rPr>
        <w:t xml:space="preserve">– </w:t>
      </w:r>
      <w:r>
        <w:rPr>
          <w:rFonts w:ascii="Times New Roman" w:hAnsi="Times New Roman"/>
          <w:b/>
          <w:caps w:val="false"/>
          <w:smallCaps w:val="false"/>
          <w:sz w:val="20"/>
        </w:rPr>
        <w:t>Accumulated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shows the components of accumulated other comprehensive income (loss) (in thousands):</w:t>
      </w:r>
    </w:p>
    <w:p>
      <w:pPr>
        <w:pStyle w:val="TextBody"/>
        <w:bidi w:val="0"/>
        <w:spacing w:before="0" w:after="0"/>
        <w:ind w:left="0" w:right="0" w:hanging="0"/>
        <w:jc w:val="left"/>
        <w:rPr>
          <w:caps w:val="false"/>
          <w:smallCaps w:val="false"/>
        </w:rPr>
      </w:pPr>
      <w:r>
        <w:rPr>
          <w:caps w:val="false"/>
          <w:smallCaps w:val="false"/>
        </w:rPr>
        <w:t> </w:t>
      </w:r>
    </w:p>
    <w:tbl>
      <w:tblPr>
        <w:tblW w:w="4070" w:type="dxa"/>
        <w:jc w:val="left"/>
        <w:tblInd w:w="0" w:type="dxa"/>
        <w:tblLayout w:type="fixed"/>
        <w:tblCellMar>
          <w:top w:w="0" w:type="dxa"/>
          <w:left w:w="0" w:type="dxa"/>
          <w:bottom w:w="0" w:type="dxa"/>
          <w:right w:w="0" w:type="dxa"/>
        </w:tblCellMar>
      </w:tblPr>
      <w:tblGrid>
        <w:gridCol w:w="3260"/>
        <w:gridCol w:w="60"/>
        <w:gridCol w:w="125"/>
        <w:gridCol w:w="545"/>
        <w:gridCol w:w="80"/>
      </w:tblGrid>
      <w:tr>
        <w:trPr/>
        <w:tc>
          <w:tcPr>
            <w:tcW w:w="326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2023</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March 31, 2024</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June 30, 2024</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September 30, 2024</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functional currency of the Company’s foreign subsidiary, RTC Canada, is its local currency. Results of operations of RTC Canada are translated into USD using the monthly average exchange rates during the year. The assets and liabilities of RTC Canada are translated into USD using the exchange rates in effect on the balance sheet date. The related translation adjustments are recorded in a separate component of stockholders' equity in accumulated other comprehensive loss and the statement of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11 </w:t>
      </w:r>
      <w:r>
        <w:rPr>
          <w:rFonts w:ascii="Times New Roman" w:hAnsi="Times New Roman"/>
          <w:caps w:val="false"/>
          <w:smallCaps w:val="false"/>
          <w:sz w:val="20"/>
        </w:rPr>
        <w:t xml:space="preserve">– </w:t>
      </w:r>
      <w:r>
        <w:rPr>
          <w:rFonts w:ascii="Times New Roman" w:hAnsi="Times New Roman"/>
          <w:b/>
          <w:caps w:val="false"/>
          <w:smallCaps w:val="false"/>
          <w:sz w:val="20"/>
        </w:rPr>
        <w:t>Accounts Receivable and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Company establishes an allowance for credit losses to present the net amount of accounts receivable expected to be collected. Under Accounting Standards Update No. 2016-13, </w:t>
      </w:r>
      <w:r>
        <w:rPr>
          <w:rFonts w:ascii="Times New Roman" w:hAnsi="Times New Roman"/>
          <w:i/>
          <w:caps w:val="false"/>
          <w:smallCaps w:val="false"/>
          <w:sz w:val="20"/>
        </w:rPr>
        <w:t>Financial Instruments</w:t>
      </w:r>
      <w:r>
        <w:rPr>
          <w:rFonts w:ascii="Times New Roman" w:hAnsi="Times New Roman"/>
          <w:caps w:val="false"/>
          <w:smallCaps w:val="false"/>
          <w:sz w:val="20"/>
        </w:rPr>
        <w:t>—</w:t>
      </w:r>
      <w:r>
        <w:rPr>
          <w:rFonts w:ascii="Times New Roman" w:hAnsi="Times New Roman"/>
          <w:i/>
          <w:caps w:val="false"/>
          <w:smallCaps w:val="false"/>
          <w:sz w:val="20"/>
        </w:rPr>
        <w:t>Credit Losses (Topic 326): Measurement of Credit Losses on Financial Instruments</w:t>
      </w:r>
      <w:r>
        <w:rPr>
          <w:rFonts w:ascii="Times New Roman" w:hAnsi="Times New Roman"/>
          <w:caps w:val="false"/>
          <w:smallCaps w:val="false"/>
          <w:sz w:val="20"/>
        </w:rPr>
        <w:t>, the Company is required to remeasure expected credit losses for financial instruments held on the reporting date based on historical experience, current conditions and reasonable forecasts.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Accounts receivable consists primarily of commercial vehicle sales receivables, manufacturers’ receivables and leasing, parts and service sales receivables and other trade receivables. The Company maintains an allowance for credit losses based on the probability of default, its historical rate of losses, aging and current economic conditions. The Company writes off account balances when it has exhausted reasonable collection efforts and determined that the likelihood of collection is remote. These write-offs are charged against the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changes in the allowance for credit losses (in thousands):</w:t>
      </w:r>
    </w:p>
    <w:p>
      <w:pPr>
        <w:pStyle w:val="TextBody"/>
        <w:bidi w:val="0"/>
        <w:spacing w:before="0" w:after="0"/>
        <w:ind w:left="0" w:right="0" w:hanging="0"/>
        <w:jc w:val="left"/>
        <w:rPr>
          <w:caps w:val="false"/>
          <w:smallCaps w:val="false"/>
        </w:rPr>
      </w:pPr>
      <w:r>
        <w:rPr>
          <w:caps w:val="false"/>
          <w:smallCaps w:val="false"/>
        </w:rPr>
        <w:t> </w:t>
      </w:r>
    </w:p>
    <w:tbl>
      <w:tblPr>
        <w:tblW w:w="8321" w:type="dxa"/>
        <w:jc w:val="left"/>
        <w:tblInd w:w="0" w:type="dxa"/>
        <w:tblLayout w:type="fixed"/>
        <w:tblCellMar>
          <w:top w:w="0" w:type="dxa"/>
          <w:left w:w="0" w:type="dxa"/>
          <w:bottom w:w="28" w:type="dxa"/>
          <w:right w:w="0" w:type="dxa"/>
        </w:tblCellMar>
      </w:tblPr>
      <w:tblGrid>
        <w:gridCol w:w="3065"/>
        <w:gridCol w:w="60"/>
        <w:gridCol w:w="231"/>
        <w:gridCol w:w="898"/>
        <w:gridCol w:w="60"/>
        <w:gridCol w:w="60"/>
        <w:gridCol w:w="249"/>
        <w:gridCol w:w="970"/>
        <w:gridCol w:w="60"/>
        <w:gridCol w:w="60"/>
        <w:gridCol w:w="229"/>
        <w:gridCol w:w="1005"/>
        <w:gridCol w:w="80"/>
        <w:gridCol w:w="60"/>
        <w:gridCol w:w="240"/>
        <w:gridCol w:w="934"/>
        <w:gridCol w:w="60"/>
      </w:tblGrid>
      <w:tr>
        <w:trPr/>
        <w:tc>
          <w:tcPr>
            <w:tcW w:w="306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 Nine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Write offs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Against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net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of Recoveries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tcMar>
              <w:bottom w:w="0" w:type="dxa"/>
            </w:tcMar>
            <w:vAlign w:val="center"/>
          </w:tcPr>
          <w:p>
            <w:pPr>
              <w:pStyle w:val="TableContents"/>
              <w:bidi w:val="0"/>
              <w:spacing w:before="0" w:after="283"/>
              <w:jc w:val="left"/>
              <w:rPr/>
            </w:pPr>
            <w:r>
              <w:rPr/>
              <w:t> </w:t>
            </w:r>
          </w:p>
        </w:tc>
      </w:tr>
      <w:tr>
        <w:trPr/>
        <w:tc>
          <w:tcPr>
            <w:tcW w:w="30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1" w:type="dxa"/>
            <w:tcBorders/>
            <w:tcMar>
              <w:bottom w:w="0" w:type="dxa"/>
            </w:tcMar>
            <w:vAlign w:val="center"/>
          </w:tcPr>
          <w:p>
            <w:pPr>
              <w:pStyle w:val="TableContents"/>
              <w:bidi w:val="0"/>
              <w:spacing w:before="0" w:after="283"/>
              <w:jc w:val="left"/>
              <w:rPr/>
            </w:pPr>
            <w:r>
              <w:rPr/>
              <w:t> </w:t>
            </w:r>
          </w:p>
        </w:tc>
        <w:tc>
          <w:tcPr>
            <w:tcW w:w="8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9" w:type="dxa"/>
            <w:tcBorders/>
            <w:tcMar>
              <w:bottom w:w="0" w:type="dxa"/>
            </w:tcMar>
            <w:vAlign w:val="center"/>
          </w:tcPr>
          <w:p>
            <w:pPr>
              <w:pStyle w:val="TableContents"/>
              <w:bidi w:val="0"/>
              <w:spacing w:before="0" w:after="283"/>
              <w:jc w:val="left"/>
              <w:rPr/>
            </w:pPr>
            <w:r>
              <w:rPr/>
              <w:t> </w:t>
            </w:r>
          </w:p>
        </w:tc>
        <w:tc>
          <w:tcPr>
            <w:tcW w:w="9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9" w:type="dxa"/>
            <w:tcBorders/>
            <w:tcMar>
              <w:bottom w:w="0" w:type="dxa"/>
            </w:tcMar>
            <w:vAlign w:val="center"/>
          </w:tcPr>
          <w:p>
            <w:pPr>
              <w:pStyle w:val="TableContents"/>
              <w:bidi w:val="0"/>
              <w:spacing w:before="0" w:after="283"/>
              <w:jc w:val="left"/>
              <w:rPr/>
            </w:pPr>
            <w:r>
              <w:rPr/>
              <w:t> </w:t>
            </w:r>
          </w:p>
        </w:tc>
        <w:tc>
          <w:tcPr>
            <w:tcW w:w="100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3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3065"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 receivables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65"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Manufacturers’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ind w:left="0" w:right="0" w:hanging="0"/>
              <w:jc w:val="left"/>
              <w:rPr/>
            </w:pPr>
            <w:r>
              <w:rPr/>
              <w:t> </w:t>
            </w:r>
          </w:p>
        </w:tc>
        <w:tc>
          <w:tcPr>
            <w:tcW w:w="89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shd w:fill="FFFFFF" w:val="clear"/>
            <w:tcMar>
              <w:bottom w:w="0" w:type="dxa"/>
            </w:tcMar>
            <w:vAlign w:val="center"/>
          </w:tcPr>
          <w:p>
            <w:pPr>
              <w:pStyle w:val="TableContents"/>
              <w:bidi w:val="0"/>
              <w:spacing w:before="0" w:after="283"/>
              <w:ind w:left="0" w:right="0" w:hanging="0"/>
              <w:jc w:val="left"/>
              <w:rPr/>
            </w:pPr>
            <w:r>
              <w:rPr/>
              <w:t> </w:t>
            </w:r>
          </w:p>
        </w:tc>
        <w:tc>
          <w:tcPr>
            <w:tcW w:w="9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ind w:left="0" w:right="0" w:hanging="0"/>
              <w:jc w:val="left"/>
              <w:rPr/>
            </w:pPr>
            <w:r>
              <w:rPr/>
              <w:t> </w:t>
            </w:r>
          </w:p>
        </w:tc>
        <w:tc>
          <w:tcPr>
            <w:tcW w:w="10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ind w:left="0" w:right="0" w:hanging="0"/>
              <w:jc w:val="left"/>
              <w:rPr/>
            </w:pPr>
            <w:r>
              <w:rPr/>
              <w:t> </w:t>
            </w:r>
          </w:p>
        </w:tc>
        <w:tc>
          <w:tcPr>
            <w:tcW w:w="9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065"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Leasing, parts and service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ind w:left="0" w:right="0" w:hanging="0"/>
              <w:jc w:val="left"/>
              <w:rPr/>
            </w:pPr>
            <w:r>
              <w:rPr/>
              <w:t> </w:t>
            </w:r>
          </w:p>
        </w:tc>
        <w:tc>
          <w:tcPr>
            <w:tcW w:w="89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9" w:type="dxa"/>
            <w:tcBorders/>
            <w:shd w:fill="CCEEFF" w:val="clear"/>
            <w:tcMar>
              <w:bottom w:w="0" w:type="dxa"/>
            </w:tcMar>
            <w:vAlign w:val="center"/>
          </w:tcPr>
          <w:p>
            <w:pPr>
              <w:pStyle w:val="TableContents"/>
              <w:bidi w:val="0"/>
              <w:spacing w:before="0" w:after="283"/>
              <w:ind w:left="0" w:right="0" w:hanging="0"/>
              <w:jc w:val="left"/>
              <w:rPr/>
            </w:pPr>
            <w:r>
              <w:rPr/>
              <w:t> </w:t>
            </w:r>
          </w:p>
        </w:tc>
        <w:tc>
          <w:tcPr>
            <w:tcW w:w="9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ind w:left="0" w:right="0" w:hanging="0"/>
              <w:jc w:val="left"/>
              <w:rPr/>
            </w:pPr>
            <w:r>
              <w:rPr/>
              <w:t> </w:t>
            </w:r>
          </w:p>
        </w:tc>
        <w:tc>
          <w:tcPr>
            <w:tcW w:w="10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ind w:left="0" w:right="0" w:hanging="0"/>
              <w:jc w:val="left"/>
              <w:rPr/>
            </w:pPr>
            <w:r>
              <w:rPr/>
              <w:t> </w:t>
            </w:r>
          </w:p>
        </w:tc>
        <w:tc>
          <w:tcPr>
            <w:tcW w:w="9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65"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065"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0"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3,292</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12 </w:t>
      </w:r>
      <w:r>
        <w:rPr>
          <w:rFonts w:ascii="Times New Roman" w:hAnsi="Times New Roman"/>
          <w:caps w:val="false"/>
          <w:smallCaps w:val="false"/>
          <w:sz w:val="20"/>
        </w:rPr>
        <w:t xml:space="preserve">– </w:t>
      </w:r>
      <w:r>
        <w:rPr>
          <w:rFonts w:ascii="Times New Roman" w:hAnsi="Times New Roman"/>
          <w:b/>
          <w:caps w:val="false"/>
          <w:smallCaps w:val="false"/>
          <w:sz w:val="20"/>
        </w:rPr>
        <w:t>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acquisitions, unless otherwise noted, were considered business combinations accounted for under ASC 805 “Business Combinations.” Pro forma information was not included in accordance with ASC 805 because the acquisitions were not considered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4, 2023, the Company acquired certain assets of Freeway Ford Truck Sales, Inc., which included real estate and a Ford commercial vehicle franchise in Chicago, Illinois, along with commercial vehicle and parts inventory. The transaction was valued at approximately $16.3 million, with the purchase price paid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15, 2024, the Company acquired certain assets of Nebraska Peterbilt, which included real estate and a Peterbilt commercial vehicle franchise in Grand Island and North Platte, Nebraska, along with commercial vehicle and parts inventory. The transaction was valued at approximately $16.5 million, with the purchase price paid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11" w:name="item2"/>
      <w:bookmarkEnd w:id="11"/>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Certain statements contained in this Form 10-Q (or otherwise made by the Company or on the Company</w:t>
      </w:r>
      <w:r>
        <w:rPr>
          <w:rFonts w:ascii="Times New Roman" w:hAnsi="Times New Roman"/>
          <w:caps w:val="false"/>
          <w:smallCaps w:val="false"/>
          <w:sz w:val="20"/>
        </w:rPr>
        <w:t>’</w:t>
      </w:r>
      <w:r>
        <w:rPr>
          <w:rFonts w:ascii="Times New Roman" w:hAnsi="Times New Roman"/>
          <w:i/>
          <w:caps w:val="false"/>
          <w:smallCaps w:val="false"/>
          <w:sz w:val="20"/>
        </w:rPr>
        <w:t>s behalf from time to time in other reports, filings with the Securities and Exchange Commission (</w:t>
      </w:r>
      <w:r>
        <w:rPr>
          <w:rFonts w:ascii="Times New Roman" w:hAnsi="Times New Roman"/>
          <w:caps w:val="false"/>
          <w:smallCaps w:val="false"/>
          <w:sz w:val="20"/>
        </w:rPr>
        <w:t>“</w:t>
      </w:r>
      <w:r>
        <w:rPr>
          <w:rFonts w:ascii="Times New Roman" w:hAnsi="Times New Roman"/>
          <w:i/>
          <w:caps w:val="false"/>
          <w:smallCaps w:val="false"/>
          <w:sz w:val="20"/>
        </w:rPr>
        <w:t>SEC</w:t>
      </w:r>
      <w:r>
        <w:rPr>
          <w:rFonts w:ascii="Times New Roman" w:hAnsi="Times New Roman"/>
          <w:caps w:val="false"/>
          <w:smallCaps w:val="false"/>
          <w:sz w:val="20"/>
        </w:rPr>
        <w:t>”</w:t>
      </w:r>
      <w:r>
        <w:rPr>
          <w:rFonts w:ascii="Times New Roman" w:hAnsi="Times New Roman"/>
          <w:i/>
          <w:caps w:val="false"/>
          <w:smallCaps w:val="false"/>
          <w:sz w:val="20"/>
        </w:rPr>
        <w:t xml:space="preserve">), news releases, conferences, website postings or otherwise) that are not statements of historical fact constitute </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within the meaning of the Private Securities Litigation Reform Act of 1995, Section 27A of the Securities Act of 1933, as amended (the </w:t>
      </w:r>
      <w:r>
        <w:rPr>
          <w:rFonts w:ascii="Times New Roman" w:hAnsi="Times New Roman"/>
          <w:caps w:val="false"/>
          <w:smallCaps w:val="false"/>
          <w:sz w:val="20"/>
        </w:rPr>
        <w:t>“</w:t>
      </w:r>
      <w:r>
        <w:rPr>
          <w:rFonts w:ascii="Times New Roman" w:hAnsi="Times New Roman"/>
          <w:i/>
          <w:caps w:val="false"/>
          <w:smallCaps w:val="false"/>
          <w:sz w:val="20"/>
        </w:rPr>
        <w:t>Securities Act</w:t>
      </w:r>
      <w:r>
        <w:rPr>
          <w:rFonts w:ascii="Times New Roman" w:hAnsi="Times New Roman"/>
          <w:caps w:val="false"/>
          <w:smallCaps w:val="false"/>
          <w:sz w:val="20"/>
        </w:rPr>
        <w:t>”</w:t>
      </w:r>
      <w:r>
        <w:rPr>
          <w:rFonts w:ascii="Times New Roman" w:hAnsi="Times New Roman"/>
          <w:i/>
          <w:caps w:val="false"/>
          <w:smallCaps w:val="false"/>
          <w:sz w:val="20"/>
        </w:rPr>
        <w:t xml:space="preserve">), and Section 21E of the Exchange Act of 1934, as amended (the </w:t>
      </w:r>
      <w:r>
        <w:rPr>
          <w:rFonts w:ascii="Times New Roman" w:hAnsi="Times New Roman"/>
          <w:caps w:val="false"/>
          <w:smallCaps w:val="false"/>
          <w:sz w:val="20"/>
        </w:rPr>
        <w:t>“</w:t>
      </w:r>
      <w:r>
        <w:rPr>
          <w:rFonts w:ascii="Times New Roman" w:hAnsi="Times New Roman"/>
          <w:i/>
          <w:caps w:val="false"/>
          <w:smallCaps w:val="false"/>
          <w:sz w:val="20"/>
        </w:rPr>
        <w:t>Exchange Act</w:t>
      </w:r>
      <w:r>
        <w:rPr>
          <w:rFonts w:ascii="Times New Roman" w:hAnsi="Times New Roman"/>
          <w:caps w:val="false"/>
          <w:smallCaps w:val="false"/>
          <w:sz w:val="20"/>
        </w:rPr>
        <w:t>”</w:t>
      </w:r>
      <w:r>
        <w:rPr>
          <w:rFonts w:ascii="Times New Roman" w:hAnsi="Times New Roman"/>
          <w:i/>
          <w:caps w:val="false"/>
          <w:smallCaps w:val="false"/>
          <w:sz w:val="20"/>
        </w:rPr>
        <w:t>), notwithstanding that such statements are not specifically identified. Forward-looking statements include statements about the Company</w:t>
      </w:r>
      <w:r>
        <w:rPr>
          <w:rFonts w:ascii="Times New Roman" w:hAnsi="Times New Roman"/>
          <w:caps w:val="false"/>
          <w:smallCaps w:val="false"/>
          <w:sz w:val="20"/>
        </w:rPr>
        <w:t>’</w:t>
      </w:r>
      <w:r>
        <w:rPr>
          <w:rFonts w:ascii="Times New Roman" w:hAnsi="Times New Roman"/>
          <w:i/>
          <w:caps w:val="false"/>
          <w:smallCaps w:val="false"/>
          <w:sz w:val="20"/>
        </w:rPr>
        <w:t>s financial position, business strategy and plans and objectives of management of the Company for future operations. These forward-looking statements reflect the best judgments of the Company about the future events and trends based on the beliefs of the Company</w:t>
      </w:r>
      <w:r>
        <w:rPr>
          <w:rFonts w:ascii="Times New Roman" w:hAnsi="Times New Roman"/>
          <w:caps w:val="false"/>
          <w:smallCaps w:val="false"/>
          <w:sz w:val="20"/>
        </w:rPr>
        <w:t>’</w:t>
      </w:r>
      <w:r>
        <w:rPr>
          <w:rFonts w:ascii="Times New Roman" w:hAnsi="Times New Roman"/>
          <w:i/>
          <w:caps w:val="false"/>
          <w:smallCaps w:val="false"/>
          <w:sz w:val="20"/>
        </w:rPr>
        <w:t>s management as well as assumptions made by and information currently available to the Company</w:t>
      </w:r>
      <w:r>
        <w:rPr>
          <w:rFonts w:ascii="Times New Roman" w:hAnsi="Times New Roman"/>
          <w:caps w:val="false"/>
          <w:smallCaps w:val="false"/>
          <w:sz w:val="20"/>
        </w:rPr>
        <w:t>’</w:t>
      </w:r>
      <w:r>
        <w:rPr>
          <w:rFonts w:ascii="Times New Roman" w:hAnsi="Times New Roman"/>
          <w:i/>
          <w:caps w:val="false"/>
          <w:smallCaps w:val="false"/>
          <w:sz w:val="20"/>
        </w:rPr>
        <w:t xml:space="preserve">s management. Use of the words </w:t>
      </w:r>
      <w:r>
        <w:rPr>
          <w:rFonts w:ascii="Times New Roman" w:hAnsi="Times New Roman"/>
          <w:caps w:val="false"/>
          <w:smallCaps w:val="false"/>
          <w:sz w:val="20"/>
        </w:rPr>
        <w:t>“</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intend</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 the Company</w:t>
      </w:r>
      <w:r>
        <w:rPr>
          <w:rFonts w:ascii="Times New Roman" w:hAnsi="Times New Roman"/>
          <w:caps w:val="false"/>
          <w:smallCaps w:val="false"/>
          <w:sz w:val="20"/>
        </w:rPr>
        <w:t>’</w:t>
      </w:r>
      <w:r>
        <w:rPr>
          <w:rFonts w:ascii="Times New Roman" w:hAnsi="Times New Roman"/>
          <w:i/>
          <w:caps w:val="false"/>
          <w:smallCaps w:val="false"/>
          <w:sz w:val="20"/>
        </w:rPr>
        <w:t>s Annual Report on Form 10-K for the year ended December 31, 2023,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comments should be read in conjunction with the Company’s consolidated financial statements and related notes included elsewhere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Note Regarding Trademarks Commonly Used in the Company</w:t>
      </w:r>
      <w:r>
        <w:rPr>
          <w:rFonts w:ascii="Times New Roman" w:hAnsi="Times New Roman"/>
          <w:caps w:val="false"/>
          <w:smallCaps w:val="false"/>
          <w:sz w:val="20"/>
        </w:rPr>
        <w:t>’</w:t>
      </w:r>
      <w:r>
        <w:rPr>
          <w:rFonts w:ascii="Times New Roman" w:hAnsi="Times New Roman"/>
          <w:b/>
          <w:caps w:val="false"/>
          <w:smallCaps w:val="false"/>
          <w:sz w:val="20"/>
        </w:rPr>
        <w:t>s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Peterbilt</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Peterbilt Motors Company. PACCAR</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PACCAR, Inc. PacLease</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PACCAR Leasing Corporation. Navistar</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Navistar International, Inc. International</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International Motors, LLC (f/k/a Navistar, Inc.). Idealease is a registered trademark of Idealease, Inc. aka Idealease of North America, Inc. Blue Bird</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Blue Bird Investment Corporation. IC Bus</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IC Bus, LLC. Hino</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Hino Motors, Ltd. Isuzu</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Isuzu Motors Limited. Ford</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Ford Motor Company. Dennis Eagle</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Dennis Eagle Limited. Cummins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is a registered trademark of Cummins, Inc. This report contains additional trade names or trademarks of other companies. Our use of such trade names or trademarks should not imply any endorsement or relationship with such companies.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Rush Enterprises, Inc. was incorporated in Texas in 1965 and consists of one reportable segment, the Truck Segment, and conducts business through its subsidiaries. Our principal offices are located at 555 IH 35 South, Suite 500, New Braunfels, Texas 78130.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Dennis Eagle, IC Bus and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Rush Truck Centers are principally located in high traffic areas throughout the United States and Ontario, Canada. Since commencing operations as a Peterbilt heavy-duty truck dealer in 1966, we have grown to operate 124 franchised Rush Truck Centers in 23 states. In 2019, we purchased a 50% equity interest in an entity in Canada, Rush Truck Centres of Canada Limited (“RTC Canada”) and on May 2, 2022, we purchased an additional 30% equity interest in RTC Canada that increased our equity interest to 80%. RTC Canada currently owns and operates 15 International dealership locations in Ontario. Prior to acquiring the additional 30%, we accounted for the equity interest in RTC Canada using the equity method of accounting. The operating results of RTC Canada are consolidated in the Consolidated Statements of Operations, the Statements of Comprehensive Income, the Consolidated Balance Sheets and commercial vehicle unit sales data since May 2, 2022.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through our joint venture with Cummins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 to enable us to better serve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A.C.T. Research Co., LLC (“A.C.T. Research”), a commercial vehicle industry data and forecasting service provider, currently forecasts new U.S. Class 8 retail truck sales to be 235,000 units in 2024, which would represent a 13.5% decrease compared to 2023. We expect our U.S. market share of new Class 8 truck sales to range between 6.1% and 6.6% in 2024. This market share percentage would result in the sale of approximately 14,500 to 15,500 new Class 8 trucks in 2024. Additionally, we expect to sell approximately 450 new Class 8 trucks in Canada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respect to new U.S. Class 4 through 7 retail commercial vehicle sales, A.C.T. Research currently forecasts sales to be 268,300 units in 2024, which would represent a 4.2% increase compared to 2023.  We expect our U.S. market share of new Class 4 through 7 commercial vehicle sales to range between 5.0% and 5.4% in 2024. This market share percentage would result in the sale of approximately 13,500 to 14,500 new Class 4 through 7 commercial vehicles in 2024. Additionally, we expect to sell approximately 550 new Class 5 through 7 commercial vehicles in Canada in 2024.</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sell approximately 2,000 to 2,200 light-duty vehicles and approximately 6,500 to 7,500 used commercial vehicles in 2024. We expect lease and rental revenue to remain flat during 2024, compared to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respect to our parts, service, and collision center (collectively referred to herein as “Aftermarket Products and Services”) operations, revenues were down slightly year-over-year, but were improved compared to our second quarter results. Although the ongoing freight recession continues to negatively affect Aftermarket Products and Services results, we did experience growth in the third quarter with respect to our over-the-road and wholesale customers for the first time since 2023. We are hopeful that declines in Aftermarket Products and Sales revenues are behind us and that we will begin to experience more normal market conditions starting in the first quarter of 2025. We expect that our Aftermarket Products and Services revenues will remain flat to slightly down in 2024, compared to 2023.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preparation of our interim unaudited consolidated financial statements in accordance with GAAP requires us to make estimates and assumptions that affect the reported amounts of assets and liabilities, revenues and expenses and the related disclosures of contingent assets and liabilities in our interim unaudited consolidated financial statements and accompanying notes. In accordance with GAAP, we base our estimates on historical experience and on various other assumptions that we believe are reasonable under the circumstances. We evaluate our estimates, judgments and assumptions on an ongoing basis, and while we believe that our estimates, judgments and assumptions are reasonable, they are based upon information available at the time. Actual results might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significant accounting policies are discussed in Item 7, "Management's Discussion and Analysis of Financial Condition and Results of Operations" under the heading "Critical Accounting Policies and Estimates" in our Form 10-K. There were no material changes to our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discussion and analysis includes our historical results of operations for the three months and nine months ended September 30,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certain financial data as a percentage of total revenues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8107" w:type="dxa"/>
        <w:jc w:val="left"/>
        <w:tblInd w:w="0" w:type="dxa"/>
        <w:tblLayout w:type="fixed"/>
        <w:tblCellMar>
          <w:top w:w="0" w:type="dxa"/>
          <w:left w:w="0" w:type="dxa"/>
          <w:bottom w:w="0" w:type="dxa"/>
          <w:right w:w="0" w:type="dxa"/>
        </w:tblCellMar>
      </w:tblPr>
      <w:tblGrid>
        <w:gridCol w:w="4115"/>
        <w:gridCol w:w="60"/>
        <w:gridCol w:w="80"/>
        <w:gridCol w:w="650"/>
        <w:gridCol w:w="248"/>
        <w:gridCol w:w="80"/>
        <w:gridCol w:w="80"/>
        <w:gridCol w:w="650"/>
        <w:gridCol w:w="185"/>
        <w:gridCol w:w="60"/>
        <w:gridCol w:w="77"/>
        <w:gridCol w:w="623"/>
        <w:gridCol w:w="237"/>
        <w:gridCol w:w="77"/>
        <w:gridCol w:w="77"/>
        <w:gridCol w:w="623"/>
        <w:gridCol w:w="185"/>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18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3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w:t>
            </w:r>
          </w:p>
        </w:tc>
        <w:tc>
          <w:tcPr>
            <w:tcW w:w="2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w:t>
            </w:r>
          </w:p>
        </w:tc>
        <w:tc>
          <w:tcPr>
            <w:tcW w:w="2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sales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2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and insurance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2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73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20.0</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3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0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20.0</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0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20.5</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2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assets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2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2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3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3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Rush Enterprises, Inc.</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2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for the periods indicated the percent of gross profit by revenue source:</w:t>
      </w:r>
    </w:p>
    <w:p>
      <w:pPr>
        <w:pStyle w:val="TextBody"/>
        <w:bidi w:val="0"/>
        <w:spacing w:before="0" w:after="0"/>
        <w:ind w:left="0" w:right="0" w:hanging="0"/>
        <w:jc w:val="left"/>
        <w:rPr>
          <w:caps w:val="false"/>
          <w:smallCaps w:val="false"/>
        </w:rPr>
      </w:pPr>
      <w:r>
        <w:rPr>
          <w:caps w:val="false"/>
          <w:smallCaps w:val="false"/>
        </w:rPr>
        <w:t> </w:t>
      </w:r>
    </w:p>
    <w:tbl>
      <w:tblPr>
        <w:tblW w:w="7161" w:type="dxa"/>
        <w:jc w:val="left"/>
        <w:tblInd w:w="0" w:type="dxa"/>
        <w:tblLayout w:type="fixed"/>
        <w:tblCellMar>
          <w:top w:w="0" w:type="dxa"/>
          <w:left w:w="0" w:type="dxa"/>
          <w:bottom w:w="0" w:type="dxa"/>
          <w:right w:w="0" w:type="dxa"/>
        </w:tblCellMar>
      </w:tblPr>
      <w:tblGrid>
        <w:gridCol w:w="3215"/>
        <w:gridCol w:w="60"/>
        <w:gridCol w:w="80"/>
        <w:gridCol w:w="650"/>
        <w:gridCol w:w="248"/>
        <w:gridCol w:w="80"/>
        <w:gridCol w:w="80"/>
        <w:gridCol w:w="650"/>
        <w:gridCol w:w="185"/>
        <w:gridCol w:w="60"/>
        <w:gridCol w:w="75"/>
        <w:gridCol w:w="606"/>
        <w:gridCol w:w="231"/>
        <w:gridCol w:w="75"/>
        <w:gridCol w:w="75"/>
        <w:gridCol w:w="606"/>
        <w:gridCol w:w="18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18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3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2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w:t>
            </w:r>
          </w:p>
        </w:tc>
        <w:tc>
          <w:tcPr>
            <w:tcW w:w="23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w:t>
            </w:r>
          </w:p>
        </w:tc>
        <w:tc>
          <w:tcPr>
            <w:tcW w:w="18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2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231"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18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and insurance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3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8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31"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profit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unit sales and revenues for new heavy-duty, new medium-duty, new light-duty and used commercial vehicles and our absorption ratio (revenue in millions):</w:t>
      </w:r>
    </w:p>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2285"/>
        <w:gridCol w:w="60"/>
        <w:gridCol w:w="125"/>
        <w:gridCol w:w="635"/>
        <w:gridCol w:w="185"/>
        <w:gridCol w:w="60"/>
        <w:gridCol w:w="125"/>
        <w:gridCol w:w="635"/>
        <w:gridCol w:w="185"/>
        <w:gridCol w:w="60"/>
        <w:gridCol w:w="108"/>
        <w:gridCol w:w="797"/>
        <w:gridCol w:w="185"/>
        <w:gridCol w:w="60"/>
        <w:gridCol w:w="125"/>
        <w:gridCol w:w="635"/>
        <w:gridCol w:w="185"/>
        <w:gridCol w:w="60"/>
        <w:gridCol w:w="125"/>
        <w:gridCol w:w="635"/>
        <w:gridCol w:w="185"/>
        <w:gridCol w:w="60"/>
        <w:gridCol w:w="108"/>
        <w:gridCol w:w="797"/>
        <w:gridCol w:w="185"/>
      </w:tblGrid>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18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Vehicle unit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heavy-duty vehicles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12,991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medium-duty vehicles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light-duty vehicles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new vehicle unit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24,129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Used vehicles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8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Vehicle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heavy-duty vehicles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2,266.6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medium-duty vehicles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light-duty vehicles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new vehicle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3,311.5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Used vehicle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85" w:type="dxa"/>
            <w:tcBorders/>
            <w:shd w:fill="CCEEFF" w:val="clear"/>
            <w:vAlign w:val="center"/>
          </w:tcPr>
          <w:p>
            <w:pPr>
              <w:pStyle w:val="TableContents"/>
              <w:bidi w:val="0"/>
              <w:spacing w:lineRule="auto" w:line="288"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Other vehicle revenues:</w:t>
            </w:r>
            <w:r>
              <w:rPr>
                <w:rFonts w:ascii="Times New Roman;Times;serif" w:hAnsi="Times New Roman;Times;serif"/>
                <w:caps w:val="false"/>
                <w:smallCaps w:val="false"/>
                <w:sz w:val="20"/>
              </w:rPr>
              <w:t>(1)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8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Absorption ratio: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5525" w:type="dxa"/>
        <w:jc w:val="left"/>
        <w:tblInd w:w="0" w:type="dxa"/>
        <w:tblLayout w:type="fixed"/>
        <w:tblCellMar>
          <w:top w:w="0" w:type="dxa"/>
          <w:left w:w="0" w:type="dxa"/>
          <w:bottom w:w="0" w:type="dxa"/>
          <w:right w:w="0" w:type="dxa"/>
        </w:tblCellMar>
      </w:tblPr>
      <w:tblGrid>
        <w:gridCol w:w="5465"/>
        <w:gridCol w:w="60"/>
      </w:tblGrid>
      <w:tr>
        <w:trPr/>
        <w:tc>
          <w:tcPr>
            <w:tcW w:w="5465" w:type="dxa"/>
            <w:tcBorders/>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 Includes sales of truck bodies, trailers and other new equipment.</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Key Performance Indicator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Absorption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Management uses several performance metrics to evaluate the performance of our commercial vehicle dealerships and considers Rush Truck Centers’ “absorption ratio” to be of critical importance. Our absorption ratio is calculated by dividing the gross profit from our Aftermarket Products and Services departments by the overhead expenses all of a dealership’s departments, except for the selling expenses of the new and used commercial vehicle departments and carrying costs of new and used commercial vehicle inventory. When 100% absorption is achieved, the gross profit from the sale of a commercial vehicle, after sales commissions and inventory carrying costs, directly impacts operating profit. Our commercial vehicle dealerships achieved a 132.6% absorption ratio for the third quarter of 2024, compared to a 132.8% absorption ratio for the third quarter of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Three Months Ended September 30, 2024 Compared to Three Months Ended September 30, 2023</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Total revenues decreased $84.6 million, or 4.3%, in the third quarter of 2024, compared to the third quarter of 2023. This decrease was primarily the result of the ongoing freight recession resulting in continued weak demand for Class 8 trucks.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Aftermarket Products and Services revenues totaled $633.0 million in the third quarter of 2024, down 1.6% from the third quarter of 2023. The decrease in Aftermarket Parts and Services revenues was primarily a result of weaker demand caused by the ongoing freight recession.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Revenues from sales of new and used commercial vehicles decreased $72.5 million, or 5.9%, in the third quarter of 2024, compared to the third quarter of 2023. The decrease in new and used commercial vehicle revenues was primarily a result of weak demand for Class 8 trucks, which was partially offset by strong demand for Class 4 through 7 medium-duty commercial vehicles.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3,604 new Class 8 trucks in the third quarter of 2024, a 16.7% decrease compared to 4,326 new Class 8 trucks sold in the third quarter of 2023. The decrease in new Class 8 truck sales was primarily due to the ongoing freight recession that is negatively impacting over-the-road-carriers. New U.S. and Canadian Class 8 retail truck sales totaled 73,037 units in the third quarter of 2024, a decrease of 3.5% compared to the third quarter of 2023, according to ACT Research.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3,379 new Class 4 through 7 medium-duty commercial vehicles, including 258 buses, in the third quarter of 2024, a 4.2% increase compared to 3,224 new medium-duty commercial vehicles, including 422 buses, in the third quarter of 2023. The increase in new Class 4 through 7 commercial vehicle sales was primarily a result of strong demand and increased production of commercial vehicles from the manufacturers we represent. New U.S. and Canadian Class 4 through 7 retail commercial vehicle sales totaled 68,923 units in the third quarter of 2024, down 1.1% compared to the third quarter of 2023, according to ACT Research.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574 light-duty vehicles in the third quarter of 2024, a 35.1% increase compared to 425 light-duty vehicles sold in the third quarter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1,829 used commercial vehicles in the third quarter of 2024, a 1.8% increase compared to 1,797 used commercial vehicles in the third quarter of 2023. We experienced a slight increase in used commercial vehicle sales year-over-year primarily due to our ability to successfully execute on our commercial vehicle sales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Commercial vehicle lease and rental revenues decreased $0.3 million, or 0.4%, in the third quarter of 2024, compared to the third quarter of 2023. This decrease in commercial vehicle lease and rental revenues was primarily a result of a slight decrease in rental vehicle utilization.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Finance and insurance revenues decreased $0.5 million, or 8.5%, in the third quarter of 2024, compared to the third quarter of 2023.  This decrease is primarily due to the decline in sales of Class 8 trucks and tighter lending requirements from finance companies.  Finance and insurance revenues have limited direct costs and, therefore, contribute a disproportionate share of our operating profits.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profit decreased $15.4 million, or 3.6%, in the third quarter of 2024, compared to the third quarter of 2023. Gross profit as a percentage of sales increased to 20.0% in the third quarter of 2024, from 19.9% in the third quarter of 2023. This increase in gross profit as a percentage of sales is a result of a change in our product sales mix. Commercial vehicle sales, a lower margin revenue item, decreased as a percentage of total revenues to 61.3% in the third quarter of 2024, from 62.4% in the third quarter of 2023. Aftermarket Products and Services revenues, a higher margin revenue item, increased as a percentage of total revenues to 33.4% in the third quarter of 2024, from 32.5% in the third quarter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from our Aftermarket Products and Services operations increased to 36.8% in the third quarter of 2024, from 36.2% in the third quarter of 2023.  Gross profit for the Aftermarket Products and Services departments increased to $233.1 million in the third quarter of 2024, from $232.7 million in the third quarter of 2023. Historically, gross margins on parts sales range from 28% to 30% and gross margins on service and collision center operations range from 66% to 68%.  Gross profits from parts sales represented 57.5% of total gross profit for Aftermarket Products and Services operations in the third quarter of 2024 and 58.4% in the third quarter of 2023. Service and collision center operations represented 42.5% of total gross profit for Aftermarket Products and Services operations in the third quarter of 2024 and 41.6% in the third quarter of 2023.  We expect blended gross margins on Aftermarket Products and Services operations to range from 36.5% to 37.5%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new Class 8 truck sales decreased to 9.2% in the third quarter of 2024, from 9.9% in the third quarter of 2023. This decrease was primarily due to weak demand caused by the ongoing freight recession. For 2024, we expect overall gross margins from new Class 8 truck sales of approximately 9.0% to 10.0%.</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new Class 4 through 7 commercial vehicle sales increased to 10.3% in the third quarter of 2024, from 9.2% in the third quarter of 2023.  For 2024, we expect overall gross margins from new medium-duty commercial vehicle sales of approximately 9.0% to 10.0%, but this will largely depend upon the mix of purchasers and types of vehicles sold.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used commercial vehicle sales increased to 18.0% in the third quarter of 2024, from 11.3% in the third quarter of 2023. This increase was primarily due to the successful execution of our used commercial vehicle sales strategy. We expect margins on used commercial vehicles to range between 18.0% and 20.0%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from truck lease and rental sales decreased to 28.6% in the third quarter of 2024, from 30.6% in the third quarter of 2023. This decrease was primarily related to lower rental utilization. We expect gross margins from lease and rental sales of approximately 28.0% to 30.0% during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Finance and insurance revenues and other income, as described above, have limited direct costs and, therefore, contribute a disproportionate share of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(“SG&amp;A”) expenses decreased $17.4 million, or 6.8%, in the third quarter of 2024, compared to the third quarter of 2023.  This decrease primarily resulted from reductions to our operating expenses.  SG&amp;A expenses as a percentage of total revenues decreased to 12.6% in the third quarter of 2024, from 13.0% in the third quarter of 2023.  Annual SG&amp;A expenses as a percentage of total revenues have ranged from approximately 12.4% to 14.4% over the last five years.  In general, when new and used commercial vehicle revenues increase as a percentage of total revenues, SG&amp;A expenses as a percentage of total revenues will be at the lower end of this range.   For 2024, we expect SG&amp;A expenses as a percentage of total revenues to range from 12.5% to 13.5%.  For 2024, we expect the selling portion of SG&amp;A expenses to be approximately 25.0% to 30.0% of new and used commercial vehicle gross profit.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Expense,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interest expense increased $3.5 million, or 24.4%, in the third quarter of 2024, compared to the third quarter of 2023.  This increase in interest expense is a result of an increase in our vehicle inventory levels and elevated interest rates on our variable rate debt, compared to the third quarter of 2023.  For 2024, we expect net interest expense to increase 34.5% to 37.5% compared to 2023, primarily due to increased borrowings under our credit facilities and the interest related thereto.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Income before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result of the factors described above, income before income taxes decreased $4.3 million, or 4.0%, in the third quarter of 2024, compared to the third quarter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Income taxes decreased $3.1 million, or 11.5%, in the third quarter of 2024, compared to the third quarter of 2023.  We provided for taxes at a 23.0% effective rate in the third quarter of 2024 and 25.0% in the third quarter of 2023.  We expect our effective tax rate to be approximately 23.5% to 24.5% of pretax income in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Nine Months Ended September 30, 2024 Compared to Nine Months Ended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otherwise stated below, our variance explanations and future expectations with regard to the items discussed in this section are set forth in the discussion of the Three Months Ended September 30, 2024 Compared to Three Months Ended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Total revenues decreased $100.4 million, or 1.7%, in the first nine months of 2024, compared to the first nine months of 2023.</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Aftermarket Products and Services revenues decreased $33.3 million, or 1.7%, in the first nine months of 2024, compared to the first nine months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Revenues from the sales of new and used commercial vehicles decreased $61.4 million, or 1.7%, in the first nine months of 2024, compared to the first nine months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10,895 new Class 8 heavy-duty trucks during the first nine months of 2024, a 13.1% decrease compared to 12,536 new Class 8 heavy-duty trucks in the first nine months of 2023. According to A.C.T. Research, new U.S. Class 8 truck sales decreased 11.6% in the first nine months of 2024, compared to the first nine months of 2023. We sold 331 new Class 8 heavy-duty trucks in the first nine months of 2024 in Canada, a 27.3% decrease compared to 455 new Class 8 heavy-duty trucks in the first nine months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10,076 new Class 4 through 7 medium-duty commercial vehicles, including 922 buses, during the first nine months of 2024, a 6.3% increase compared to 9,483 new Class 4 through 7 medium-duty commercial vehicles, including 1,232 buses, in the first nine months of 2023. A.C.T. Research estimates that unit sales of new Class 4 through 7 commercial vehicles, including buses, in the U.S increased 0.2% in the first nine months of 2024, compared to the first nine months of 2023. We sold 325 new Class 5 through 7 medium-duty commercial vehicles in the first nine months of 2024 in Canada, an 18.6% increase compared to 274 new Class 5 through 7 medium-duty commercial vehicles in the first nine months of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1,567 new light-duty commercial vehicles during the first nine months of 2024, a 4.3% increase compared to 1,381 light-duty commercial vehicles in the first nine months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5,370 used commercial vehicles during the first nine months of 2024, a 0.4% increase compared to 5,350 used commercial vehicles in the first nine months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Truck lease and rental revenues remained flat in the first nine months of 2024, compared to the first nine months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Finance and insurance revenues decreased $2.0 million, or 10.3%, in the first nine months of 2024, compared to the first nine months of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profit decreased $45.7 million, or 3.8%, in the first nine months of 2024, compared to the first nine months of 2023. Gross profit as a percentage of sales decreased to 20.0% in the first nine months of 2024, from 20.5% in the first nine months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from our Aftermarket Products and Services operations decreased to 36.9% in the first nine months of 2024, from 37.4% in the first nine months of 2023. Gross profit for the Aftermarket Products and Services departments was $705.3 million in the first nine months of 2024, compared to $726.5 million in the first nine months of 2023. Gross profits from parts sales represented 57.9% of total gross profit for Aftermarket Products and Services operations in the first nine months of 2024 and 60.1% in the first nine months of 2023. Service and collision center operations represented 42.1% of total gross profit for Aftermarket Products and Services operations in the first nine months of 2024 and 39.9% in the first nine months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new Class 8 truck sales decreased to 9.1% in the first nine months of 2024, from 10.0% in the first nine months of 2023.</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new Class 4 through 7 medium-duty commercial vehicle sales increased to 9.3% in the first nine months of 2024, from 8.9% in the first nine months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used commercial vehicle sales increased to 19.7% in the first nine months of 2024, from 10.8% in the first nine months of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from truck lease and rental sales decreased to 28.2% in the first nine months of 2024, from 30.4% in the first nine months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SG&amp;A expenses decreased $15.9 million, or 2.1%, in the first nine months of 2024, compared to the first nine months of 2023. SG&amp;A expenses equaled 13.0% of total revenue in the first nine months of 2024, compared to 13.1% in the first nine months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interest expense increased $17.7 million, or 47.3%, in the first nine months of 2024, compared to the first nine months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Income before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Income before income taxes decreased $56.1 million, or 15.7%, in the first nine months of 2024, compared to the first nine months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Income taxes decreased $15.9 million in the first nine months of 2024, compared to the first nine months of 2023. We provided for taxes at a 23% rate in the first nine months of 2024 and a 24.4% rate in the first nine months of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September 30, 2024, we had working capital of approximately $714.2 million, including $185.1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various credit agreements. The resulting interest earned on the floor plan credit agreement with BMO Harris Bank N.A. (“BMO Harris”) (the “Floor Plan Credit Agreement”) is recognized as an offset to our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continually evaluate our liquidity and capital resources based upon: (i) our cash, cash equivalents and restricted cash on hand; (ii) the funds that we expect to generate through future operations; (iii) current and expected borrowing availability under our secured line of credit, working capital lines of credit available under certain of our credit agreements and our Floor Plan Credit Agreement; and (iv) the potential impact of our capital allocation strategy and any contemplated or pending future transactions, including, but not limited to, acquisitions, equity repurchases, dividends, or other capital expenditures. We believe we will have sufficient liquidity to meet our debt service and working capital requirements, commitments and contingencies, debt repayments, acquisitions, capital expenditures and any operating requirements for at least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 secured line of credit that provides for a maximum borrowing of $25.0 million. There were no advances outstanding under this secured line of credit on September 30, 2024, however, $18.9 million was pledged to secure various letters of credit related to self-insurance products, leaving $6.1 million available for future borrowings as of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long-term debt, floor plan financing agreements and the credit agreement with Wells Fargo Bank, National Association (the “WF Credit Agreement”) require us to satisfy various financial ratios such as the leverage ratio, the asset coverage ratio and the fixed charge coverage ratio. As of September 30, 2024, we were in compliance with all debt covenants related to debt secured by lease and rental units, our floor plan credit agreements and the WF Credit Agreement. We do not anticipate any breach of these covenants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purchase or lease commercial vehicles worth approximately $325.0 million to $350.0 million for our leasing operations during 2024, depending on customer demand.  We also expect to make capital expenditures for the purchase of recurring items such as computers, shop tools and equipment and company vehicles of approximately $40.0 million to $45.0 million during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third quarter of 2024, we paid a cash dividend of $14.2 million. Additionally, on October 28, 2024, our Board of Directors declared a cash dividend of $0.18 per share of Class A and Class B common stock, to be paid on December 12, 2024, to all shareholders of record as of November 12, 2024.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6, 2023, we announced that our Board of Directors approved a new stock repurchase program authorizing management to repurchase, from time to time, up to an aggregate of $150.0 million of our shares of Class A common stock and/or Class B common stock. In connection with the adoption of the new stock repurchase plan, we terminated the prior stock repurchase plan, which was scheduled to expire on December 31, 2023. Repurchases, if any, will be made at times and in amounts as we deem appropriate and may be made through open market transactions at prevailing market prices, privately negotiated transactions or by other means in accordance with federal securities laws. The actual timing, number of shares and value of repurchases under the stock repurchase program will be determined by management at its discretion and will depend on a number of factors, including market conditions, stock price and other factors. As of September 30, 2024, we had repurchased $77.4 million of our shares of common stock under the current stock repurchase program, excluding federal excise tax. The current stock repurchase program expires on December 31, 2024, and may be suspended or discontinued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Inflation Reduction Act of 2022 imposed a nondeductible 1% excise tax on the net value of certain stock repurchases made after December 31, 2022. We have reflected the applicable excise tax in treasury stock as part of the cost basis of the stock repurchased.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no other material commitments for capital expenditures as of September 30, 2024.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periods indicated (in thousands):</w:t>
      </w:r>
    </w:p>
    <w:p>
      <w:pPr>
        <w:pStyle w:val="TextBody"/>
        <w:bidi w:val="0"/>
        <w:spacing w:before="0" w:after="0"/>
        <w:ind w:left="0" w:right="0" w:hanging="0"/>
        <w:jc w:val="left"/>
        <w:rPr>
          <w:caps w:val="false"/>
          <w:smallCaps w:val="false"/>
        </w:rPr>
      </w:pPr>
      <w:r>
        <w:rPr>
          <w:caps w:val="false"/>
          <w:smallCaps w:val="false"/>
        </w:rPr>
        <w:t> </w:t>
      </w:r>
    </w:p>
    <w:tbl>
      <w:tblPr>
        <w:tblW w:w="5547" w:type="dxa"/>
        <w:jc w:val="left"/>
        <w:tblInd w:w="0" w:type="dxa"/>
        <w:tblLayout w:type="fixed"/>
        <w:tblCellMar>
          <w:top w:w="0" w:type="dxa"/>
          <w:left w:w="0" w:type="dxa"/>
          <w:bottom w:w="0" w:type="dxa"/>
          <w:right w:w="0" w:type="dxa"/>
        </w:tblCellMar>
      </w:tblPr>
      <w:tblGrid>
        <w:gridCol w:w="2555"/>
        <w:gridCol w:w="60"/>
        <w:gridCol w:w="187"/>
        <w:gridCol w:w="1134"/>
        <w:gridCol w:w="120"/>
        <w:gridCol w:w="90"/>
        <w:gridCol w:w="187"/>
        <w:gridCol w:w="1134"/>
        <w:gridCol w:w="8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5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 September 30,</w:t>
            </w:r>
          </w:p>
        </w:tc>
        <w:tc>
          <w:tcPr>
            <w:tcW w:w="8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227,268</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8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211,059</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1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(305,828</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1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(290,954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5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79,928</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70,845</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increase in cash</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1,368</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flows from operating activities include net income adjusted for non-cash items and the effects of changes in working capital. During the first nine months of 2024, operating activities resulted in net cash provided by operations of $227.3 million. Net cash provided by operating activities primarily consisted of $229.7 million in net income, as well as non-cash adjustments related to depreciation and amortization of $175.5 million, gain on sale of property and equipment of $0.7 million, stock-based compensation of $24.9 million and the benefit for deferred income tax expense of $11.1 million. Cash used by operating activities included an aggregate of $212.7 million net changes in operating assets and liabilities. Included in the net change in operating assets and liabilities were cash inflows of $11.6 million from the increase in accounts payable, which was offset primarily by cash outflows of $108.1 million from the increase in inventories, $30.5 million from the increase in accounts receivable, $58.2 million from the decrease in customer deposits and $22.3 million from the decrease in accrued expenses. Most of our commercial vehicle inventory is financed through our floor plan credit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first nine months of 2023, operating activities resulted in net cash provided by operations of $211.1 million. Net cash provided by operating activities primarily consisted of $269.9 million in net income, as well as non-cash adjustments related to depreciation and amortization of $165.1 million, gain on sale of property and equipment of $0.6 million, stock-based compensation of $25.3 million and the benefit for deferred income tax expense of $3.5 million. Cash used by operating activities included an aggregate of $252.2 million net change in operating assets and liabilities. Included in the net change in operating assets and liabilities were cash inflows of $4.5 million from the increase in accounts payable, which was offset by cash outflows of $193.7 million from the increase in inventories, $42.8 million from the increase in accounts receivable, $13.3 million from the decrease in customer deposits and $4.1 million from the decrease in 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first nine months of 2024, cash used in investing activities was $305.8 million. Cash flows used in investing activities consist primarily of cash used for the acquisition of property and equipment and the acquisition of new businesses. See Note 12 of the Notes to Consolidated Financial Statements for a detailed discussion of the business acquisitions. Acquisition of property and equipment totaled $304.2 million during the first nine months of 2024 and consisted primarily of purchases of machine and shop equipment, furniture and fixtures, real estate and facilities, improvements to our existing dealership facilities and $223.1 million for purchases of rental and lease vehicles for our rental and leasing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first nine months of 2023, cash used in investing activities was $291.0 million. Cash flows used in investing activities consist primarily of cash used for the acquisition of property and equipment. Acquisition of property and equipment totaled $289.1 million during the first nine months of 2023 and consisted primarily of purchases of machine and shop equipment, furniture and fixtures, real estate and facilities, improvements to our existing dealership facilities and $210.5 million for purchases of rental and lease vehicles for our rental and leasing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flows from financing activities include borrowings and repayments of long-term debt and net proceeds of floor plan notes payable, non-trade. During the first nine months of 2024, financing activities resulted in net cash provided by financing activities of $79.9 million, primarily related to $146.0 million from net draws on floor plan notes payable, non-trade, $1,621.3 million from borrowings of long-term debt and $20.2 million from the issuance of shares related to equity compensation plans. These cash inflows were offset by cash outflows of $1,634.5 million used for principal repayments of long-term debt and capital lease obligations, $9.8 million used for repurchases of common stock, $9.5 million for taxes paid related to net share settlement of equity awards and $41.2 million used for payment of cash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first nine months of 2023, financing activities resulted in net cash provided by financing activities of $70.8 million, primarily related to $188.4 million from net draws on floor plan notes payable, non-trade, $995.1 million from borrowings of long-term debt and $14.7 million from the issuance of shares related to equity compensation plans. These cash inflows were offset by cash outflows of $976.2 million used for principal repayments of long-term debt and capital lease obligations, $107.0 million used for repurchases of common stock, $7.0 million for taxes paid related to net share settlement of equity awards and $37.1 million used for payment of cash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14, 2021, we entered into the WF Credit Agreement with the lenders signatory thereto (the “WF Lenders”) and Wells Fargo Bank, National Association (“WF”), as Administrative Agent (in such capacity, the “WF Agent”). Pursuant to the terms of the WF Credit Agreement (as amended), the WF Lenders have agreed to make up to $175.0 million of revolving credit loans for certain of our capital expenditures, including commercial vehicle purchases for our Idealease leasing and rental fleet, and general working capital needs. We expect to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the daily Simple, secured overnight financing rate (“SOFR”) plus (i) 1.25% or (ii) 1.5%, depending on our consolidated leverage ratio or (B) on or after the SOFR transition date, SOFR plus (i) 1.25% or (ii) 1.5%, depending on our consolidated leverage ratio. The WF Credit Agreement expires on September 14, 2026, although, upon the occurrence and during the continuance of an event of default, the WF Agent has the right to, or upon the request of the required lenders must, terminate the commitments and declare all outstanding principal and interest due and payable. We may terminate the commitments at any time. On September 30, 2024, we had approximately $175.0 million outstanding under the WF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November 1, 2023, we entered into certain Second Amended and Restated Inventory Financing and Purchase Money Security Agreement with PACCAR Leasing Company, (“PLC”), a division of PACCAR Financial Corp., (as amended the “PLC Agreement”). Pursuant to the terms of the PLC Agreement, PLC agreed to make up to $375.0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In addition, we must maintain a minimum balance of $190.0 million. Advances under the PLC Agreement bear interest per annum, payable on the fifth day of the following month, at our option, at either (A) the prime rate, minus 1.95%, provided that the floating rate of interest is subject to a floor of 0%, or (B) a fixed rate, to be determined between us and PLC in each instance of borrowing at a fixed rate. The PLC Agreement expires on December 1, 2025, although either party has the right to terminate the PLC Agreement at any time upon 180 days written notice. On September 30, 2024, we had approximately $190.0 million outstanding under the PLC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Most of our commercial vehicle purchases are made on terms requiring payment to the manufacturer within 15 to 60 days or less from the date the commercial vehicles are invoiced from the factory. Navistar Financial Corporation and Peterbilt offer trade terms that provide an interest-free inventory stocking period for certain new commercial vehicles. This interest-free period is generally 15 to 60 days. If the commercial vehicle is not sold within the interest-free period, we then finance the commercial vehicle under the Floor Plan Credit Agreement. On September 14, 2021, we entered into Floor Plan Credit Agreement with BMO Harris and the lenders signatory thereto. The Floor Plan Credit Agreement includes an aggregate loan commitment of $1.0 billion. Prior to June 1, 2023, borrowings under the Floor Plan Credit Agreement bore interest at an annual rate equal to (A) the greater of (i) zero and (ii) one month London Interbank Offered Rate (“LIBOR”), determined on the last day of the prior month, plus (B) 1.10% and were payable monthly. On May 31, 2023, we entered into the First Amendment to the Floor Plan Credit Agreement that changed the benchmark interest rate to SOFR. Effective June 1, 2023, borrowings under the Floor Plan Credit Agreement now bear interest per annum, payable monthly, at (A) the greater of (i) zero and (ii) SOFR, plus (B) 1.20%. Borrowings under the Floor Plan Credit Agreement for the purchase of used inventory are limited to $150.0 million and loans for working capital purposes are limited to $200.0 million. The Floor Plan Credit Agreement expires September 14, 2026, although BMO Harris has the right to terminate at any time upon 360 days written notice and we may terminate at any time, subject to specified limited exceptions. On September 30, 2024, we had approximately $1.0 billion outstanding under the Floor Plan Credit Agreement. The average daily outstanding borrowings under the Floor Plan Credit Agreement were $975.8 million during the nine months ended September 30, 2024. We utilize our excess cash on hand to pay down our outstanding borrowings under the Floor Plan Credit Agreement, and the resulting interest earned is recognized as an offset to our gross interest expense under the Floor Plan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May 31, 2022, RTC Canada entered into that certain BMO Revolving Lease and Rental Credit Agreement (the “RTC Canada Revolving Credit Agreement”) with BMO. Pursuant to the terms of the RTC Canada Revolving Credit Agreement, BMO agreed to make up to $120.0 million CAD of revolving credit loans to finance certain of RTC Canada’s capital expenditures, including commercial vehicle purchases and other equipment to be leased or rented through RTC Canada’s Idealease franchise, with an additional $20.0 million CAD available upon the request of RTC Canada and consent of BMO. Prior to June 1, 2024, advances under the RTC Canada Revolving Credit Agreement bore interest per annum, payable on the first business day of each calendar month, at the Canadian Offered Dollar Rate (“CDOR”), plus 1.35%. On June 1, 2024, RTC Canada entered into the First Amendment to the RTC Revolving Credit Agreement that changed the benchmark interest rate to the Canadian Overnight Repo Rate (“CORRA”). Effective June 1, 2024, borrowing under the RTC Revolving Credit Agreement now bear interest per annum payable monthly at CORRA, plus 1.72%. The RTC Canada Revolving Credit Agreement expires September 14, 2026. On September 30, 2024, we had approximately $38.4 million CAD outstanding under the RTC Canada Revolving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15, 2022, RTC Canada entered into that certain Amended and Restated BMO Wholesale Financing and Security Agreement (the “RTC Canada Floor Plan Agreement”) with Bank of Montreal (“BMO”). Pursuant to the terms of the Agreement, BMO agreed to make up to $116.7 million CAD of revolving credit loans to finance RTC Canada’s purchase of new and used vehicle inventory.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Prior to June 1, 2024, borrowings with respect to advances required to be made in CAD dollars bore interest per annum, payable monthly, at CDOR, plus 0.90%. On June 1, 2024, we entered into the Second Amendment to the RTC Canada Floor Plan Agreement that changed the benchmark interest rate with respect to advances required to be made in CAD dollars to CORRA. Effective June 1, 2024, advances required to be made in CAD dollars under the RTC Canada Floor Plan Agreement now bear interest per annum, payable monthly, at CORRA, plus 1.27%. In addition, prior to June 1, 2023, advances required to be made in USD dollars bore interest, payable monthly, at LIBOR, plus 1.10%. On June 1, 2023, RTC Canada entered into the First Amendment to the RTC Canada Floor Plan Agreement that changed the benchmark interest rate in the case of an advances required to be made in USD dollars to SOFR. Effective June 1, 2023, advances required to be made in USD dollars under the RTC Canada Floor Plan Agreement bear interest per annum, payable monthly, at SOFR, plus 1.20%. The RTC Canada Floor Plan Agreement expires September 14, 2026. On September 30, 2024, we had approximately $109.0 million CAD outstanding under the RTC Canada Floor Plan Agreement. The average daily outstanding borrowings under the RTC Canada Floor Plan Credit Agreement were $76.5 million during the nine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30, 2024, our backlog of commercial vehicle orders was approximately $1,332.9 million, compared to a backlog of commercial vehicle orders of approximately $3,297.4 million on September 30, 2023. The decrease in our backlog primarily reflects the decreased demand for new Class 8 trucks resulting from production catching up to pent-up demand and the ongoing freight recession. Our backlog is determined quarterly by multiplying the number of new commercial vehicles for each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model ordered. We sell the majority of our new heavy-duty commercial vehicles by customer special order and we sell the majority of our medium and light-duty commercial vehicles out of inventory. Orders from our major fleet customers are included in our backlog as of September 30, 2024, and we expect to fill most of our backlog orders during the remainder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Aftermarket Products and Services operations historically have experienced higher sales volumes in the second and third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Cyclicality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is dependent on several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the last ten years, total U.S. retail sales of new Class 8 commercial vehicles have ranged from a low of approximately 187,600 in 2013,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Environmental Standards and Other Governmental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also have liability in connection with materials that were sent to third</w:t>
        <w:noBreakHyphen/>
        <w:t>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current model years through 2027. In March 2024, the EPA issued additional rules associated with reducing GHG emissions from medium and heavy-duty trucks and buses for model years 2027 through 2032. In addition, in August 2021, the President of the United States issued an executive order intended to increase fuel efficiency, further reduce GHG emissions and speed up the development of “zero-emission” vehicles. The executive order calls for the EPA and the Secretary of Transportation to adopt new rules and regulations for commercial vehicles starting as early as model year 2027. Similarly, in June 2020, the California Air Resources Board (“CARB”) adopted a final rule that is intended to phase out the sale of internal combustion engine commercial vehicles over time by requiring a certain percentage of each manufacturer’s commercial vehicles sold within the state to be “zero-emission vehicles,” or “near-zero emission vehicles,” starting in model year 2024. In July 2023, CARB and various manufacturers of heavy-duty commercial vehicles and engines, including PACCAR, International, Ford, Hino, Isuzu and Cummins, entered into the Clean Truck Partnership, whereby the manufacturers agreed to comply with CARB’s emission requirements where applicable, regardless of whether any entity challenges CARB’s rule-making authority, and CARB agreed to work with manufacturers to provide reasonable lead time to meet CARB’s requirements and before imposing new regulations. In addition, CARB agreed to align its nitrogen oxide emissions rules with the EPA’s, which go into effect starting in model year 2027, and modify certain of its 2024 nitrogen oxide emissions regulations currently in effect, with respect to which manufacturers may provide certain offsets to meet CARB’s emission target in exchange for the ability to sell legacy engines. Since July 2020, a group of seventeen U.S. states and the District of Columbia have entered into a joint memorandum of understanding that adopts at least a portion of CARB’s emissions regulations and commits each of them to work together to advance and accelerate the market for electric Class 3 through 8 commercial vehicles. Six of the states are states where we operate new commercial vehicle dealerships: California, Colorado, Nevada, New Mexico, North Carolina, and Virginia. The signatories to the memorandum all agreed on a goal of ensuring that 100% of new Class 3 through 8 commercial vehicles are zero emission by 2050, with an interim target of 30% zero emission vehicles by 2030. Attaining these goals would likely require the adoption of new laws and regulations and we cannot predict at this time whether such laws and regulations would have an adverse impact on our business. Additional regulations, or CARB’s enforcement of its existing regulations, could result in increased compliance costs, additional operating restrictions, or changes in demand for our products and services, which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2" w:name="item3"/>
      <w:bookmarkEnd w:id="12"/>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exposed to market risk through interest rates related to our floor plan financing agreements, the WF Credit Agreement, the PLC Agreement and discount rates related to finance sales. Our floor plan debt is based on SOFR and CORRA, the WF Credit Agreement is based on SOFR, the RTC Canada Revolving Agreement is based on CORRA and the PLC Agreement is based on the prime rate. As of September 30, 2024, we had floor plan borrowings and borrowings from BMO Harris, WF, PLC and BMO in the amount of $1,676.1 million. Assuming an increase or decrease in SOFR, CORRA or the prime rate of 100 basis points, annual interest expense could correspondingly increase or decrease by approximately $16.8 million.</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3" w:name="item4"/>
      <w:bookmarkEnd w:id="13"/>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September 30, 2024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has been no change in our internal control over financial reporting that occurred during the three months ended September 30, 2024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4" w:name="part2"/>
      <w:bookmarkEnd w:id="14"/>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5" w:name="legal"/>
      <w:bookmarkEnd w:id="15"/>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we are involved in litigation arising out of our operations in the ordinary course of business. We maintain liability insurance, including product liability coverage, in amounts deemed adequate by management. However, an uninsured or partially insured claim, or claim for which indemnification is not available, could have a material adverse effect on our financial condition or results of operations. As of September 30, 2024, we believe that there are no pending claims or litigation, individually or in the aggregate, that are reasonably likely to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6" w:name="risk"/>
      <w:bookmarkEnd w:id="16"/>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While we attempt to identify, manage and mitigate risks and uncertainties associated with our business to the extent practical under the circumstances, some level of risk and uncertainty will always be present. Item 1A, Part I of our 2023 Annual Report on Form 10-K (the “2023 Annual Report”) describes some of the risks and uncertainties associated with our business that have the potential to materially affect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has been no material change in our risk factors disclosed in our 2023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7" w:name="unreg"/>
      <w:bookmarkEnd w:id="17"/>
      <w:r>
        <w:rPr>
          <w:rFonts w:ascii="Times New Roman" w:hAnsi="Times New Roman"/>
          <w:b/>
          <w:caps w:val="false"/>
          <w:smallCaps w:val="false"/>
          <w:sz w:val="20"/>
        </w:rPr>
        <w:t xml:space="preserve">ITEM 2. Unregistered Sales of Equity Securities and Use of Proceeds.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did not make any unregistered sales of equity securities during the third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summary of the Company’s stock repurchase activity for the third quarter of 2024 is as follows:</w:t>
      </w:r>
    </w:p>
    <w:p>
      <w:pPr>
        <w:pStyle w:val="TextBody"/>
        <w:bidi w:val="0"/>
        <w:spacing w:before="0" w:after="0"/>
        <w:ind w:left="0" w:right="0" w:hanging="0"/>
        <w:jc w:val="left"/>
        <w:rPr>
          <w:caps w:val="false"/>
          <w:smallCaps w:val="false"/>
        </w:rPr>
      </w:pPr>
      <w:r>
        <w:rPr>
          <w:caps w:val="false"/>
          <w:smallCaps w:val="false"/>
        </w:rPr>
        <w:t> </w:t>
      </w:r>
    </w:p>
    <w:tbl>
      <w:tblPr>
        <w:tblW w:w="8456" w:type="dxa"/>
        <w:jc w:val="left"/>
        <w:tblInd w:w="0" w:type="dxa"/>
        <w:tblLayout w:type="fixed"/>
        <w:tblCellMar>
          <w:top w:w="0" w:type="dxa"/>
          <w:left w:w="0" w:type="dxa"/>
          <w:bottom w:w="28" w:type="dxa"/>
          <w:right w:w="0" w:type="dxa"/>
        </w:tblCellMar>
      </w:tblPr>
      <w:tblGrid>
        <w:gridCol w:w="2840"/>
        <w:gridCol w:w="60"/>
        <w:gridCol w:w="138"/>
        <w:gridCol w:w="1126"/>
        <w:gridCol w:w="60"/>
        <w:gridCol w:w="60"/>
        <w:gridCol w:w="184"/>
        <w:gridCol w:w="720"/>
        <w:gridCol w:w="245"/>
        <w:gridCol w:w="60"/>
        <w:gridCol w:w="138"/>
        <w:gridCol w:w="1126"/>
        <w:gridCol w:w="60"/>
        <w:gridCol w:w="60"/>
        <w:gridCol w:w="176"/>
        <w:gridCol w:w="1343"/>
        <w:gridCol w:w="60"/>
      </w:tblGrid>
      <w:tr>
        <w:trPr/>
        <w:tc>
          <w:tcPr>
            <w:tcW w:w="2840" w:type="dxa"/>
            <w:tcBorders>
              <w:bottom w:val="single" w:sz="2" w:space="0" w:color="000000"/>
            </w:tcBorders>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Number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Purchased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 Paid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Number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of Shares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Purchased as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Part of a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Publicly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Announced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Plans or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Programs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1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Approximate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Dollar Value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Shares that May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Yet be Purchased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Under the Plans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 Programs (3)</w:t>
            </w:r>
          </w:p>
        </w:tc>
        <w:tc>
          <w:tcPr>
            <w:tcW w:w="60" w:type="dxa"/>
            <w:tcBorders/>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1 – July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ind w:left="0" w:right="0" w:hanging="0"/>
              <w:jc w:val="left"/>
              <w:rPr/>
            </w:pPr>
            <w:r>
              <w:rPr/>
              <w:t> </w:t>
            </w:r>
          </w:p>
        </w:tc>
        <w:tc>
          <w:tcPr>
            <w:tcW w:w="11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39.28</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ind w:left="0" w:right="0" w:hanging="0"/>
              <w:jc w:val="left"/>
              <w:rPr/>
            </w:pPr>
            <w:r>
              <w:rPr/>
              <w:t> </w:t>
            </w:r>
          </w:p>
        </w:tc>
        <w:tc>
          <w:tcPr>
            <w:tcW w:w="11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72,690,317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August 1 – August 31,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ind w:left="0" w:right="0" w:hanging="0"/>
              <w:jc w:val="left"/>
              <w:rPr/>
            </w:pPr>
            <w:r>
              <w:rPr/>
              <w:t> </w:t>
            </w:r>
          </w:p>
        </w:tc>
        <w:tc>
          <w:tcPr>
            <w:tcW w:w="11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ind w:left="0" w:right="0" w:hanging="0"/>
              <w:jc w:val="left"/>
              <w:rPr/>
            </w:pPr>
            <w:r>
              <w:rPr/>
              <w:t> </w:t>
            </w:r>
          </w:p>
        </w:tc>
        <w:tc>
          <w:tcPr>
            <w:tcW w:w="72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ind w:left="0" w:right="0" w:hanging="0"/>
              <w:jc w:val="left"/>
              <w:rPr/>
            </w:pPr>
            <w:r>
              <w:rPr/>
              <w:t> </w:t>
            </w:r>
          </w:p>
        </w:tc>
        <w:tc>
          <w:tcPr>
            <w:tcW w:w="11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ind w:left="0" w:right="0" w:hanging="0"/>
              <w:jc w:val="left"/>
              <w:rPr/>
            </w:pPr>
            <w:r>
              <w:rPr/>
              <w:t> </w:t>
            </w:r>
          </w:p>
        </w:tc>
        <w:tc>
          <w:tcPr>
            <w:tcW w:w="13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72,671,450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 – September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ind w:left="0" w:right="0" w:hanging="0"/>
              <w:jc w:val="left"/>
              <w:rPr/>
            </w:pPr>
            <w:r>
              <w:rPr/>
              <w:t> </w:t>
            </w:r>
          </w:p>
        </w:tc>
        <w:tc>
          <w:tcPr>
            <w:tcW w:w="72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44.64</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ind w:left="0" w:right="0" w:hanging="0"/>
              <w:jc w:val="left"/>
              <w:rPr/>
            </w:pPr>
            <w:r>
              <w:rPr/>
              <w:t> </w:t>
            </w:r>
          </w:p>
        </w:tc>
        <w:tc>
          <w:tcPr>
            <w:tcW w:w="13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72,610,206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20"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34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calculation of the average price paid per share does not give effect to any fees, commissions or other costs associated with the repurchase of such shares.</w:t>
            </w:r>
          </w:p>
        </w:tc>
      </w:tr>
    </w:tbl>
    <w:tbl>
      <w:tblPr>
        <w:tblW w:w="8860" w:type="dxa"/>
        <w:jc w:val="left"/>
        <w:tblInd w:w="0" w:type="dxa"/>
        <w:tblLayout w:type="fixed"/>
        <w:tblCellMar>
          <w:top w:w="0" w:type="dxa"/>
          <w:left w:w="0" w:type="dxa"/>
          <w:bottom w:w="0" w:type="dxa"/>
          <w:right w:w="0" w:type="dxa"/>
        </w:tblCellMar>
      </w:tblPr>
      <w:tblGrid>
        <w:gridCol w:w="245"/>
        <w:gridCol w:w="8615"/>
      </w:tblGrid>
      <w:tr>
        <w:trP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86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shares represent Class A Common Stock and/or Class B Common Stock repurchased by the Company.</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99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5, 2023, we announced the approval of a new stock repurchase program, effective December 6, 2023, authorizing management to repurchase, from time to time, up to an aggregate of $150.0 million of our shares of Class A common stock and/or Class B common stock.</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99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Represents 2,729 shares of Class B Common Stock at an average price paid per share of $38.61 and 1,067 shares of Class B Common Stock at an average price paid per share of $41.00.</w:t>
            </w:r>
          </w:p>
        </w:tc>
      </w:tr>
    </w:tbl>
    <w:tbl>
      <w:tblPr>
        <w:tblW w:w="7825" w:type="dxa"/>
        <w:jc w:val="left"/>
        <w:tblInd w:w="0" w:type="dxa"/>
        <w:tblLayout w:type="fixed"/>
        <w:tblCellMar>
          <w:top w:w="0" w:type="dxa"/>
          <w:left w:w="0" w:type="dxa"/>
          <w:bottom w:w="0" w:type="dxa"/>
          <w:right w:w="0" w:type="dxa"/>
        </w:tblCellMar>
      </w:tblPr>
      <w:tblGrid>
        <w:gridCol w:w="245"/>
        <w:gridCol w:w="758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75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Represents 419 shares of Class B Common Stock at an average price paid per share of $45.00.</w:t>
            </w:r>
          </w:p>
        </w:tc>
      </w:tr>
    </w:tbl>
    <w:tbl>
      <w:tblPr>
        <w:tblW w:w="7975" w:type="dxa"/>
        <w:jc w:val="left"/>
        <w:tblInd w:w="0" w:type="dxa"/>
        <w:tblLayout w:type="fixed"/>
        <w:tblCellMar>
          <w:top w:w="0" w:type="dxa"/>
          <w:left w:w="0" w:type="dxa"/>
          <w:bottom w:w="0" w:type="dxa"/>
          <w:right w:w="0" w:type="dxa"/>
        </w:tblCellMar>
      </w:tblPr>
      <w:tblGrid>
        <w:gridCol w:w="245"/>
        <w:gridCol w:w="773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(6)</w:t>
            </w:r>
          </w:p>
        </w:tc>
        <w:tc>
          <w:tcPr>
            <w:tcW w:w="77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Represents 1,371 shares of Class B Common Stock at an average price paid per share of $44.64.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 w:hAnsi="Times New Roman"/>
          <w:b/>
          <w:caps w:val="false"/>
          <w:smallCaps w:val="false"/>
          <w:sz w:val="20"/>
        </w:rPr>
      </w:pPr>
      <w:bookmarkStart w:id="18" w:name="def"/>
      <w:bookmarkEnd w:id="18"/>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9" w:name="mine"/>
      <w:bookmarkEnd w:id="19"/>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20" w:name="other"/>
      <w:bookmarkEnd w:id="20"/>
      <w:r>
        <w:rPr>
          <w:rFonts w:ascii="Times New Roman" w:hAnsi="Times New Roman"/>
          <w:b/>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three months ended September 30, 2024, none of the Company's directors or officers (as defined in Rule 16a-1(f) of the Securities Exchange Act of 1934) adopted, terminated or modified a Rule 10b5-1 trading arrangement or non-Rule 10b5-1 trading arrangement (as such terms are defined in Item 408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21" w:name="exhibits"/>
      <w:bookmarkEnd w:id="21"/>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5"/>
        <w:gridCol w:w="60"/>
        <w:gridCol w:w="9380"/>
      </w:tblGrid>
      <w:tr>
        <w:trPr/>
        <w:tc>
          <w:tcPr>
            <w:tcW w:w="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Exhibit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3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Title</w:t>
            </w:r>
          </w:p>
        </w:tc>
      </w:tr>
      <w:tr>
        <w:trPr/>
        <w:tc>
          <w:tcPr>
            <w:tcW w:w="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9380" w:type="dxa"/>
            <w:tcBorders/>
            <w:tcMar>
              <w:bottom w:w="0" w:type="dxa"/>
            </w:tcMar>
            <w:vAlign w:val="center"/>
          </w:tcPr>
          <w:p>
            <w:pPr>
              <w:pStyle w:val="TableContents"/>
              <w:bidi w:val="0"/>
              <w:spacing w:before="0" w:after="0"/>
              <w:ind w:left="0" w:right="0" w:hanging="0"/>
              <w:jc w:val="both"/>
              <w:rPr/>
            </w:pPr>
            <w:hyperlink r:id="rId2">
              <w:r>
                <w:rPr>
                  <w:rStyle w:val="InternetLink"/>
                  <w:rFonts w:ascii="Times New Roman" w:hAnsi="Times New Roman"/>
                  <w:caps w:val="false"/>
                  <w:smallCaps w:val="false"/>
                  <w:sz w:val="20"/>
                </w:rPr>
                <w:t>Restated Articles of Incorporation of Rush Enterprises, Inc. (incorporated herein by reference to Exhibit 3.1 of the Company’s Quarterly Report on Form 10-Q (File No. 000-20797) for the quarter ended June 30, 2008)</w:t>
              </w:r>
            </w:hyperlink>
          </w:p>
        </w:tc>
      </w:tr>
      <w:tr>
        <w:trPr/>
        <w:tc>
          <w:tcPr>
            <w:tcW w:w="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tcMar>
              <w:bottom w:w="0" w:type="dxa"/>
            </w:tcMar>
            <w:vAlign w:val="center"/>
          </w:tcPr>
          <w:p>
            <w:pPr>
              <w:pStyle w:val="TableContents"/>
              <w:bidi w:val="0"/>
              <w:spacing w:before="0" w:after="283"/>
              <w:jc w:val="left"/>
              <w:rPr/>
            </w:pPr>
            <w:r>
              <w:rPr/>
              <w:t> </w:t>
            </w:r>
          </w:p>
        </w:tc>
        <w:tc>
          <w:tcPr>
            <w:tcW w:w="9380" w:type="dxa"/>
            <w:tcBorders/>
            <w:tcMar>
              <w:bottom w:w="0" w:type="dxa"/>
            </w:tcMar>
            <w:vAlign w:val="center"/>
          </w:tcPr>
          <w:p>
            <w:pPr>
              <w:pStyle w:val="TableContents"/>
              <w:bidi w:val="0"/>
              <w:spacing w:before="0" w:after="0"/>
              <w:ind w:left="0" w:right="0" w:hanging="0"/>
              <w:jc w:val="both"/>
              <w:rPr/>
            </w:pPr>
            <w:hyperlink r:id="rId3">
              <w:r>
                <w:rPr>
                  <w:rStyle w:val="InternetLink"/>
                  <w:rFonts w:ascii="Times New Roman" w:hAnsi="Times New Roman"/>
                  <w:caps w:val="false"/>
                  <w:smallCaps w:val="false"/>
                  <w:sz w:val="20"/>
                </w:rPr>
                <w:t>Certificate of Amendment to the Restated Articles of Incorporation of Rush Enterprises, Inc. (incorporated herein by reference to Exhibit 3.2 of the Company’s Quarterly Report on Form 10-Q (File No. 000-20797) for the quarter ended June 30, 2023)</w:t>
              </w:r>
            </w:hyperlink>
          </w:p>
        </w:tc>
      </w:tr>
      <w:tr>
        <w:trPr/>
        <w:tc>
          <w:tcPr>
            <w:tcW w:w="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tcMar>
              <w:bottom w:w="0" w:type="dxa"/>
            </w:tcMar>
            <w:vAlign w:val="center"/>
          </w:tcPr>
          <w:p>
            <w:pPr>
              <w:pStyle w:val="TableContents"/>
              <w:bidi w:val="0"/>
              <w:spacing w:before="0" w:after="283"/>
              <w:jc w:val="left"/>
              <w:rPr/>
            </w:pPr>
            <w:r>
              <w:rPr/>
              <w:t> </w:t>
            </w:r>
          </w:p>
        </w:tc>
        <w:tc>
          <w:tcPr>
            <w:tcW w:w="9380" w:type="dxa"/>
            <w:tcBorders/>
            <w:tcMar>
              <w:bottom w:w="0" w:type="dxa"/>
            </w:tcMar>
            <w:vAlign w:val="center"/>
          </w:tcPr>
          <w:p>
            <w:pPr>
              <w:pStyle w:val="TableContents"/>
              <w:bidi w:val="0"/>
              <w:spacing w:before="0" w:after="0"/>
              <w:ind w:left="0" w:right="0" w:hanging="0"/>
              <w:jc w:val="both"/>
              <w:rPr/>
            </w:pPr>
            <w:hyperlink r:id="rId4">
              <w:r>
                <w:rPr>
                  <w:rStyle w:val="InternetLink"/>
                  <w:rFonts w:ascii="Times New Roman" w:hAnsi="Times New Roman"/>
                  <w:caps w:val="false"/>
                  <w:smallCaps w:val="false"/>
                  <w:sz w:val="20"/>
                </w:rPr>
                <w:t>Rush Enterprises, Inc. Amended and Restated Bylaws (incorporated herein by reference to Exhibit 3.1 of the Company’s Current Report on Form 8-K (File No. 000-20797) filed May 21, 2013)</w:t>
              </w:r>
            </w:hyperlink>
          </w:p>
        </w:tc>
      </w:tr>
      <w:tr>
        <w:trPr/>
        <w:tc>
          <w:tcPr>
            <w:tcW w:w="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tc>
        <w:tc>
          <w:tcPr>
            <w:tcW w:w="60" w:type="dxa"/>
            <w:tcBorders/>
            <w:tcMar>
              <w:bottom w:w="0" w:type="dxa"/>
            </w:tcMar>
            <w:vAlign w:val="center"/>
          </w:tcPr>
          <w:p>
            <w:pPr>
              <w:pStyle w:val="TableContents"/>
              <w:bidi w:val="0"/>
              <w:spacing w:before="0" w:after="283"/>
              <w:jc w:val="left"/>
              <w:rPr/>
            </w:pPr>
            <w:r>
              <w:rPr/>
              <w:t> </w:t>
            </w:r>
          </w:p>
        </w:tc>
        <w:tc>
          <w:tcPr>
            <w:tcW w:w="9380" w:type="dxa"/>
            <w:tcBorders/>
            <w:tcMar>
              <w:bottom w:w="0" w:type="dxa"/>
            </w:tcMar>
            <w:vAlign w:val="center"/>
          </w:tcPr>
          <w:p>
            <w:pPr>
              <w:pStyle w:val="TableContents"/>
              <w:bidi w:val="0"/>
              <w:spacing w:before="0" w:after="0"/>
              <w:ind w:left="0" w:right="0" w:hanging="0"/>
              <w:jc w:val="both"/>
              <w:rPr/>
            </w:pPr>
            <w:hyperlink r:id="rId5">
              <w:r>
                <w:rPr>
                  <w:rStyle w:val="InternetLink"/>
                  <w:rFonts w:ascii="Times New Roman" w:hAnsi="Times New Roman"/>
                  <w:caps w:val="false"/>
                  <w:smallCaps w:val="false"/>
                  <w:sz w:val="20"/>
                </w:rPr>
                <w:t>First Amendment to Amended and Restated Bylaws of Rush Enterprises, Inc. (incorporated herein by reference to Exhibit 3.1 of the Company’s Current Report on Form 8-K (File No. 000-20797) filed May 24, 2021)</w:t>
              </w:r>
            </w:hyperlink>
          </w:p>
        </w:tc>
      </w:tr>
      <w:tr>
        <w:trPr/>
        <w:tc>
          <w:tcPr>
            <w:tcW w:w="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tcMar>
              <w:bottom w:w="0" w:type="dxa"/>
            </w:tcMar>
            <w:vAlign w:val="center"/>
          </w:tcPr>
          <w:p>
            <w:pPr>
              <w:pStyle w:val="TableContents"/>
              <w:bidi w:val="0"/>
              <w:spacing w:before="0" w:after="283"/>
              <w:jc w:val="left"/>
              <w:rPr/>
            </w:pPr>
            <w:r>
              <w:rPr/>
              <w:t> </w:t>
            </w:r>
          </w:p>
        </w:tc>
        <w:tc>
          <w:tcPr>
            <w:tcW w:w="9380" w:type="dxa"/>
            <w:tcBorders/>
            <w:tcMar>
              <w:bottom w:w="0" w:type="dxa"/>
            </w:tcMar>
            <w:vAlign w:val="center"/>
          </w:tcPr>
          <w:p>
            <w:pPr>
              <w:pStyle w:val="TableContents"/>
              <w:bidi w:val="0"/>
              <w:spacing w:before="0" w:after="0"/>
              <w:ind w:left="0" w:right="0" w:hanging="0"/>
              <w:jc w:val="both"/>
              <w:rPr/>
            </w:pPr>
            <w:hyperlink r:id="rId6">
              <w:r>
                <w:rPr>
                  <w:rStyle w:val="InternetLink"/>
                  <w:rFonts w:ascii="Times New Roman" w:hAnsi="Times New Roman"/>
                  <w:caps w:val="false"/>
                  <w:smallCaps w:val="false"/>
                  <w:sz w:val="20"/>
                </w:rPr>
                <w:t>Senior Advisor Agreement, effective as of November 1, 2024, by and among Rush Administrative Services, Inc., Rush Enterprises, Inc. and Michael J. McRoberts (incorporated by reference to Exhibit 10.1 of the Company’s Current Report on From 8-K (File No. 000-20797) filed October 30, 2024)</w:t>
              </w:r>
            </w:hyperlink>
          </w:p>
        </w:tc>
      </w:tr>
      <w:tr>
        <w:trPr/>
        <w:tc>
          <w:tcPr>
            <w:tcW w:w="76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60" w:type="dxa"/>
            <w:tcBorders/>
            <w:tcMar>
              <w:bottom w:w="0" w:type="dxa"/>
            </w:tcMar>
            <w:vAlign w:val="center"/>
          </w:tcPr>
          <w:p>
            <w:pPr>
              <w:pStyle w:val="TableContents"/>
              <w:bidi w:val="0"/>
              <w:spacing w:before="0" w:after="283"/>
              <w:jc w:val="left"/>
              <w:rPr/>
            </w:pPr>
            <w:r>
              <w:rPr/>
              <w:t> </w:t>
            </w:r>
          </w:p>
        </w:tc>
        <w:tc>
          <w:tcPr>
            <w:tcW w:w="9380" w:type="dxa"/>
            <w:tcBorders/>
            <w:tcMar>
              <w:bottom w:w="0" w:type="dxa"/>
            </w:tcMar>
            <w:vAlign w:val="center"/>
          </w:tcPr>
          <w:p>
            <w:pPr>
              <w:pStyle w:val="TableContents"/>
              <w:bidi w:val="0"/>
              <w:spacing w:before="0" w:after="0"/>
              <w:ind w:left="0" w:right="0" w:hanging="0"/>
              <w:jc w:val="left"/>
              <w:rPr/>
            </w:pPr>
            <w:hyperlink w:anchor="ex_741403.htm">
              <w:r>
                <w:rPr>
                  <w:rStyle w:val="InternetLink"/>
                  <w:rFonts w:ascii="Times New Roman;Times;serif" w:hAnsi="Times New Roman;Times;serif"/>
                  <w:caps w:val="false"/>
                  <w:smallCaps w:val="false"/>
                  <w:sz w:val="20"/>
                </w:rPr>
                <w:t>Certification of CEO pursuant to Rules 13a-14(a) and 15d-14(a) adopted pursuant to Section 302 of the Sarbanes-Oxley Act of 2002.</w:t>
              </w:r>
            </w:hyperlink>
          </w:p>
        </w:tc>
      </w:tr>
      <w:tr>
        <w:trPr/>
        <w:tc>
          <w:tcPr>
            <w:tcW w:w="76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60" w:type="dxa"/>
            <w:tcBorders/>
            <w:tcMar>
              <w:bottom w:w="0" w:type="dxa"/>
            </w:tcMar>
            <w:vAlign w:val="center"/>
          </w:tcPr>
          <w:p>
            <w:pPr>
              <w:pStyle w:val="TableContents"/>
              <w:bidi w:val="0"/>
              <w:spacing w:before="0" w:after="283"/>
              <w:jc w:val="left"/>
              <w:rPr/>
            </w:pPr>
            <w:r>
              <w:rPr/>
              <w:t> </w:t>
            </w:r>
          </w:p>
        </w:tc>
        <w:tc>
          <w:tcPr>
            <w:tcW w:w="9380" w:type="dxa"/>
            <w:tcBorders/>
            <w:tcMar>
              <w:bottom w:w="0" w:type="dxa"/>
            </w:tcMar>
            <w:vAlign w:val="center"/>
          </w:tcPr>
          <w:p>
            <w:pPr>
              <w:pStyle w:val="TableContents"/>
              <w:bidi w:val="0"/>
              <w:spacing w:before="0" w:after="0"/>
              <w:ind w:left="0" w:right="0" w:hanging="0"/>
              <w:jc w:val="left"/>
              <w:rPr/>
            </w:pPr>
            <w:hyperlink w:anchor="ex_741401.htm">
              <w:r>
                <w:rPr>
                  <w:rStyle w:val="InternetLink"/>
                  <w:rFonts w:ascii="Times New Roman;Times;serif" w:hAnsi="Times New Roman;Times;serif"/>
                  <w:caps w:val="false"/>
                  <w:smallCaps w:val="false"/>
                  <w:sz w:val="20"/>
                </w:rPr>
                <w:t>Certification of CFO pursuant to Rules 13a-14(a) and 15d-14(a) adopted pursuant to Section 302 of the Sarbanes-Oxley Act of 2002.</w:t>
              </w:r>
            </w:hyperlink>
          </w:p>
        </w:tc>
      </w:tr>
      <w:tr>
        <w:trPr/>
        <w:tc>
          <w:tcPr>
            <w:tcW w:w="76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9380" w:type="dxa"/>
            <w:tcBorders/>
            <w:tcMar>
              <w:bottom w:w="0" w:type="dxa"/>
            </w:tcMar>
            <w:vAlign w:val="center"/>
          </w:tcPr>
          <w:p>
            <w:pPr>
              <w:pStyle w:val="TableContents"/>
              <w:bidi w:val="0"/>
              <w:spacing w:before="0" w:after="0"/>
              <w:ind w:left="0" w:right="0" w:hanging="0"/>
              <w:jc w:val="left"/>
              <w:rPr/>
            </w:pPr>
            <w:hyperlink w:anchor="ex_741400.htm">
              <w:r>
                <w:rPr>
                  <w:rStyle w:val="InternetLink"/>
                  <w:rFonts w:ascii="Times New Roman;Times;serif" w:hAnsi="Times New Roman;Times;serif"/>
                  <w:caps w:val="false"/>
                  <w:smallCaps w:val="false"/>
                  <w:sz w:val="20"/>
                </w:rPr>
                <w:t>Certification of CEO pursuant to 18 U.S.C. Section 1350 as adopted pursuant to Section 906 of the Sarbanes-Oxley Act of 2002.</w:t>
              </w:r>
            </w:hyperlink>
          </w:p>
        </w:tc>
      </w:tr>
      <w:tr>
        <w:trPr/>
        <w:tc>
          <w:tcPr>
            <w:tcW w:w="76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32.2**</w:t>
            </w:r>
          </w:p>
        </w:tc>
        <w:tc>
          <w:tcPr>
            <w:tcW w:w="60" w:type="dxa"/>
            <w:tcBorders/>
            <w:tcMar>
              <w:bottom w:w="0" w:type="dxa"/>
            </w:tcMar>
            <w:vAlign w:val="center"/>
          </w:tcPr>
          <w:p>
            <w:pPr>
              <w:pStyle w:val="TableContents"/>
              <w:bidi w:val="0"/>
              <w:spacing w:before="0" w:after="283"/>
              <w:jc w:val="left"/>
              <w:rPr/>
            </w:pPr>
            <w:r>
              <w:rPr/>
              <w:t> </w:t>
            </w:r>
          </w:p>
        </w:tc>
        <w:tc>
          <w:tcPr>
            <w:tcW w:w="9380" w:type="dxa"/>
            <w:tcBorders/>
            <w:tcMar>
              <w:bottom w:w="0" w:type="dxa"/>
            </w:tcMar>
            <w:vAlign w:val="center"/>
          </w:tcPr>
          <w:p>
            <w:pPr>
              <w:pStyle w:val="TableContents"/>
              <w:bidi w:val="0"/>
              <w:spacing w:before="0" w:after="0"/>
              <w:ind w:left="0" w:right="0" w:hanging="0"/>
              <w:jc w:val="left"/>
              <w:rPr/>
            </w:pPr>
            <w:hyperlink w:anchor="ex_741382.htm">
              <w:r>
                <w:rPr>
                  <w:rStyle w:val="InternetLink"/>
                  <w:rFonts w:ascii="Times New Roman;Times;serif" w:hAnsi="Times New Roman;Times;serif"/>
                  <w:caps w:val="false"/>
                  <w:smallCaps w:val="false"/>
                  <w:sz w:val="20"/>
                </w:rPr>
                <w:t>Certification of CFO pursuant to 18 U.S.C. Section 1350 as adopted pursuant to Section 906 of the Sarbanes-Oxley Act of 2002.</w:t>
              </w:r>
            </w:hyperlink>
          </w:p>
        </w:tc>
      </w:tr>
      <w:tr>
        <w:trPr/>
        <w:tc>
          <w:tcPr>
            <w:tcW w:w="7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tcMar>
              <w:bottom w:w="0" w:type="dxa"/>
            </w:tcMar>
            <w:vAlign w:val="center"/>
          </w:tcPr>
          <w:p>
            <w:pPr>
              <w:pStyle w:val="TableContents"/>
              <w:bidi w:val="0"/>
              <w:spacing w:before="0" w:after="283"/>
              <w:jc w:val="left"/>
              <w:rPr/>
            </w:pPr>
            <w:r>
              <w:rPr/>
              <w:t> </w:t>
            </w:r>
          </w:p>
        </w:tc>
        <w:tc>
          <w:tcPr>
            <w:tcW w:w="93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XBRL Instance Document – The instance document does not appear in the Interactive Data File because its XBRL tags are embedded within the inline XBRL document</w:t>
            </w:r>
          </w:p>
        </w:tc>
      </w:tr>
      <w:tr>
        <w:trPr/>
        <w:tc>
          <w:tcPr>
            <w:tcW w:w="7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tcMar>
              <w:bottom w:w="0" w:type="dxa"/>
            </w:tcMar>
            <w:vAlign w:val="center"/>
          </w:tcPr>
          <w:p>
            <w:pPr>
              <w:pStyle w:val="TableContents"/>
              <w:bidi w:val="0"/>
              <w:spacing w:before="0" w:after="283"/>
              <w:jc w:val="left"/>
              <w:rPr/>
            </w:pPr>
            <w:r>
              <w:rPr/>
              <w:t> </w:t>
            </w:r>
          </w:p>
        </w:tc>
        <w:tc>
          <w:tcPr>
            <w:tcW w:w="93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tcMar>
              <w:bottom w:w="0" w:type="dxa"/>
            </w:tcMar>
            <w:vAlign w:val="center"/>
          </w:tcPr>
          <w:p>
            <w:pPr>
              <w:pStyle w:val="TableContents"/>
              <w:bidi w:val="0"/>
              <w:spacing w:before="0" w:after="283"/>
              <w:jc w:val="left"/>
              <w:rPr/>
            </w:pPr>
            <w:r>
              <w:rPr/>
              <w:t> </w:t>
            </w:r>
          </w:p>
        </w:tc>
        <w:tc>
          <w:tcPr>
            <w:tcW w:w="93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7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tcMar>
              <w:bottom w:w="0" w:type="dxa"/>
            </w:tcMar>
            <w:vAlign w:val="center"/>
          </w:tcPr>
          <w:p>
            <w:pPr>
              <w:pStyle w:val="TableContents"/>
              <w:bidi w:val="0"/>
              <w:spacing w:before="0" w:after="283"/>
              <w:jc w:val="left"/>
              <w:rPr/>
            </w:pPr>
            <w:r>
              <w:rPr/>
              <w:t> </w:t>
            </w:r>
          </w:p>
        </w:tc>
        <w:tc>
          <w:tcPr>
            <w:tcW w:w="93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7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tcMar>
              <w:bottom w:w="0" w:type="dxa"/>
            </w:tcMar>
            <w:vAlign w:val="center"/>
          </w:tcPr>
          <w:p>
            <w:pPr>
              <w:pStyle w:val="TableContents"/>
              <w:bidi w:val="0"/>
              <w:spacing w:before="0" w:after="283"/>
              <w:jc w:val="left"/>
              <w:rPr/>
            </w:pPr>
            <w:r>
              <w:rPr/>
              <w:t> </w:t>
            </w:r>
          </w:p>
        </w:tc>
        <w:tc>
          <w:tcPr>
            <w:tcW w:w="93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7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tcMar>
              <w:bottom w:w="0" w:type="dxa"/>
            </w:tcMar>
            <w:vAlign w:val="center"/>
          </w:tcPr>
          <w:p>
            <w:pPr>
              <w:pStyle w:val="TableContents"/>
              <w:bidi w:val="0"/>
              <w:spacing w:before="0" w:after="283"/>
              <w:jc w:val="left"/>
              <w:rPr/>
            </w:pPr>
            <w:r>
              <w:rPr/>
              <w:t> </w:t>
            </w:r>
          </w:p>
        </w:tc>
        <w:tc>
          <w:tcPr>
            <w:tcW w:w="93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7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3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and contained in Exhibit 101)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125"/>
        <w:gridCol w:w="489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 contract or compensatory plan or arrangement.</w:t>
            </w:r>
          </w:p>
        </w:tc>
      </w:tr>
    </w:tbl>
    <w:tbl>
      <w:tblPr>
        <w:tblW w:w="1270" w:type="dxa"/>
        <w:jc w:val="left"/>
        <w:tblInd w:w="0" w:type="dxa"/>
        <w:tblLayout w:type="fixed"/>
        <w:tblCellMar>
          <w:top w:w="0" w:type="dxa"/>
          <w:left w:w="0" w:type="dxa"/>
          <w:bottom w:w="0" w:type="dxa"/>
          <w:right w:w="0" w:type="dxa"/>
        </w:tblCellMar>
      </w:tblPr>
      <w:tblGrid>
        <w:gridCol w:w="125"/>
        <w:gridCol w:w="1145"/>
      </w:tblGrid>
      <w:tr>
        <w:trPr/>
        <w:tc>
          <w:tcPr>
            <w:tcW w:w="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0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2" w:name="sigs"/>
      <w:bookmarkEnd w:id="22"/>
      <w:r>
        <w:rPr>
          <w:rFonts w:ascii="Times New Roman" w:hAnsi="Times New Roman"/>
          <w:b/>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180" w:type="dxa"/>
        <w:jc w:val="left"/>
        <w:tblInd w:w="0" w:type="dxa"/>
        <w:tblLayout w:type="fixed"/>
        <w:tblCellMar>
          <w:top w:w="0" w:type="dxa"/>
          <w:left w:w="0" w:type="dxa"/>
          <w:bottom w:w="0" w:type="dxa"/>
          <w:right w:w="0" w:type="dxa"/>
        </w:tblCellMar>
      </w:tblPr>
      <w:tblGrid>
        <w:gridCol w:w="2225"/>
        <w:gridCol w:w="320"/>
        <w:gridCol w:w="3635"/>
      </w:tblGrid>
      <w:tr>
        <w:trPr/>
        <w:tc>
          <w:tcPr>
            <w:tcW w:w="222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pPr>
            <w:r>
              <w:rPr/>
              <w:t>RUSH ENTERPRISES, INC.</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7, 2024</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W.M. “RUSTY” RUSH</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W.M. “Rusty” Rush</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President, Chief Executive Officer and</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Chairman of the Board</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7, 2024</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STEVEN L. KELLER</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Steven L. Keller</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29</w:t>
      </w:r>
    </w:p>
    <w:p>
      <w:pPr>
        <w:pStyle w:val="TextBody"/>
        <w:bidi w:val="0"/>
        <w:spacing w:before="0" w:after="0"/>
        <w:ind w:left="0" w:right="0" w:hanging="0"/>
        <w:jc w:val="right"/>
        <w:rPr>
          <w:rFonts w:ascii="Times New Roman" w:hAnsi="Times New Roman"/>
          <w:caps w:val="false"/>
          <w:smallCaps w:val="false"/>
          <w:sz w:val="20"/>
          <w:u w:val="single"/>
        </w:rPr>
      </w:pPr>
      <w:bookmarkStart w:id="23" w:name="ex_741403.htm"/>
      <w:bookmarkStart w:id="24" w:name="ksex_741403"/>
      <w:bookmarkEnd w:id="23"/>
      <w:bookmarkEnd w:id="24"/>
      <w:r>
        <w:rPr>
          <w:rFonts w:ascii="Times New Roman" w:hAnsi="Times New Roman"/>
          <w:caps w:val="false"/>
          <w:smallCaps w:val="false"/>
          <w:sz w:val="20"/>
          <w:u w:val="single"/>
        </w:rPr>
        <w:t>EXHIBIT 31.1</w:t>
      </w:r>
      <w:r>
        <w:br w:type="page"/>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W.M. “Rusty” Rush,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Rush Enterprises,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70" w:type="dxa"/>
        <w:jc w:val="left"/>
        <w:tblInd w:w="0" w:type="dxa"/>
        <w:tblLayout w:type="fixed"/>
        <w:tblCellMar>
          <w:top w:w="0" w:type="dxa"/>
          <w:left w:w="0" w:type="dxa"/>
          <w:bottom w:w="0" w:type="dxa"/>
          <w:right w:w="0" w:type="dxa"/>
        </w:tblCellMar>
      </w:tblPr>
      <w:tblGrid>
        <w:gridCol w:w="2225"/>
        <w:gridCol w:w="320"/>
        <w:gridCol w:w="3125"/>
      </w:tblGrid>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7, 2024</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W.M. “RUSTY” RUSH</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W.M. “Rusty” Rush</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Chief Executive Officer and</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u w:val="single"/>
        </w:rPr>
      </w:pPr>
      <w:bookmarkStart w:id="25" w:name="ex_741401.htm"/>
      <w:bookmarkStart w:id="26" w:name="ksex_741401"/>
      <w:bookmarkEnd w:id="25"/>
      <w:bookmarkEnd w:id="26"/>
      <w:r>
        <w:rPr>
          <w:rFonts w:ascii="Times New Roman" w:hAnsi="Times New Roman"/>
          <w:caps w:val="false"/>
          <w:smallCaps w:val="false"/>
          <w:sz w:val="20"/>
          <w:u w:val="single"/>
        </w:rPr>
        <w:t>EXHIBIT 31.2</w:t>
      </w:r>
      <w:r>
        <w:br w:type="page"/>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Steven L. Keller,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Rush Enterprises,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180" w:type="dxa"/>
        <w:jc w:val="left"/>
        <w:tblInd w:w="0" w:type="dxa"/>
        <w:tblLayout w:type="fixed"/>
        <w:tblCellMar>
          <w:top w:w="0" w:type="dxa"/>
          <w:left w:w="0" w:type="dxa"/>
          <w:bottom w:w="0" w:type="dxa"/>
          <w:right w:w="0" w:type="dxa"/>
        </w:tblCellMar>
      </w:tblPr>
      <w:tblGrid>
        <w:gridCol w:w="2225"/>
        <w:gridCol w:w="320"/>
        <w:gridCol w:w="3635"/>
      </w:tblGrid>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7, 2024</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STEVEN L. KELLER</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L. Keller</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u w:val="single"/>
        </w:rPr>
      </w:pPr>
      <w:bookmarkStart w:id="27" w:name="ex_741400.htm"/>
      <w:bookmarkStart w:id="28" w:name="ksex_741400"/>
      <w:bookmarkEnd w:id="27"/>
      <w:bookmarkEnd w:id="28"/>
      <w:r>
        <w:rPr>
          <w:rFonts w:ascii="Times New Roman" w:hAnsi="Times New Roman"/>
          <w:caps w:val="false"/>
          <w:smallCaps w:val="false"/>
          <w:sz w:val="20"/>
          <w:u w:val="single"/>
        </w:rPr>
        <w:t>EXHIBIT 32.1</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PURSUANT TO</w:t>
      </w:r>
      <w:r>
        <w:rPr>
          <w:rFonts w:ascii="Times New Roman" w:hAnsi="Times New Roman"/>
          <w:caps w:val="false"/>
          <w:smallCaps w:val="false"/>
          <w:sz w:val="20"/>
        </w:rPr>
        <w:br/>
      </w:r>
      <w:r>
        <w:rPr>
          <w:rFonts w:ascii="Times New Roman" w:hAnsi="Times New Roman"/>
          <w:b/>
          <w:caps w:val="false"/>
          <w:smallCaps w:val="false"/>
          <w:sz w:val="20"/>
        </w:rPr>
        <w:t>18 U.S.C. SECTION 1350,</w:t>
      </w:r>
      <w:r>
        <w:rPr>
          <w:rFonts w:ascii="Times New Roman" w:hAnsi="Times New Roman"/>
          <w:caps w:val="false"/>
          <w:smallCaps w:val="false"/>
          <w:sz w:val="20"/>
        </w:rPr>
        <w:br/>
      </w:r>
      <w:r>
        <w:rPr>
          <w:rFonts w:ascii="Times New Roman" w:hAnsi="Times New Roman"/>
          <w:b/>
          <w:caps w:val="false"/>
          <w:smallCaps w:val="false"/>
          <w:sz w:val="20"/>
        </w:rPr>
        <w:t>AS ADOPTED PURSUANT TO</w:t>
      </w:r>
      <w:r>
        <w:rPr>
          <w:rFonts w:ascii="Times New Roman" w:hAnsi="Times New Roman"/>
          <w:caps w:val="false"/>
          <w:smallCaps w:val="false"/>
          <w:sz w:val="20"/>
        </w:rPr>
        <w:br/>
      </w: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this quarterly report of Rush Enterprises, Inc. (the “</w:t>
      </w:r>
      <w:r>
        <w:rPr>
          <w:rFonts w:ascii="Times New Roman" w:hAnsi="Times New Roman"/>
          <w:caps w:val="false"/>
          <w:smallCaps w:val="false"/>
          <w:sz w:val="20"/>
          <w:u w:val="single"/>
        </w:rPr>
        <w:t>Company</w:t>
      </w:r>
      <w:r>
        <w:rPr>
          <w:rFonts w:ascii="Times New Roman" w:hAnsi="Times New Roman"/>
          <w:caps w:val="false"/>
          <w:smallCaps w:val="false"/>
          <w:sz w:val="20"/>
        </w:rPr>
        <w:t>”) on Form 10-Q for the period ended September 30, 2024, as filed with the Securities and Exchange Commission on the date hereof (the “</w:t>
      </w:r>
      <w:r>
        <w:rPr>
          <w:rFonts w:ascii="Times New Roman" w:hAnsi="Times New Roman"/>
          <w:caps w:val="false"/>
          <w:smallCaps w:val="false"/>
          <w:sz w:val="20"/>
          <w:u w:val="single"/>
        </w:rPr>
        <w:t>Report</w:t>
      </w:r>
      <w:r>
        <w:rPr>
          <w:rFonts w:ascii="Times New Roman" w:hAnsi="Times New Roman"/>
          <w:caps w:val="false"/>
          <w:smallCaps w:val="false"/>
          <w:sz w:val="20"/>
        </w:rPr>
        <w:t>”), I, W.M. “Rusty” Rush, President, Chief Executive Officer and Chairman of the Board of the Company,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60"/>
        <w:gridCol w:w="545"/>
        <w:gridCol w:w="3125"/>
      </w:tblGrid>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W.M. “RUSTY” RUSH</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W.M. “Rusty” Rush</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Chief Executive Officer and</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3125" w:type="dxa"/>
            <w:tcBorders/>
            <w:vAlign w:val="center"/>
          </w:tcPr>
          <w:p>
            <w:pPr>
              <w:pStyle w:val="TableContents"/>
              <w:bidi w:val="0"/>
              <w:spacing w:before="0" w:after="283"/>
              <w:jc w:val="left"/>
              <w:rPr/>
            </w:pPr>
            <w:r>
              <w:rPr/>
              <w:t>November 7,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u w:val="single"/>
        </w:rPr>
      </w:pPr>
      <w:bookmarkStart w:id="29" w:name="ex_741382.htm"/>
      <w:bookmarkStart w:id="30" w:name="ksex_741382"/>
      <w:bookmarkEnd w:id="29"/>
      <w:bookmarkEnd w:id="30"/>
      <w:r>
        <w:rPr>
          <w:rFonts w:ascii="Times New Roman" w:hAnsi="Times New Roman"/>
          <w:caps w:val="false"/>
          <w:smallCaps w:val="false"/>
          <w:sz w:val="20"/>
          <w:u w:val="single"/>
        </w:rPr>
        <w:t>EXHIBIT 32.2</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PURSUANT TO</w:t>
      </w:r>
      <w:r>
        <w:rPr>
          <w:rFonts w:ascii="Times New Roman" w:hAnsi="Times New Roman"/>
          <w:caps w:val="false"/>
          <w:smallCaps w:val="false"/>
          <w:sz w:val="20"/>
        </w:rPr>
        <w:br/>
      </w:r>
      <w:r>
        <w:rPr>
          <w:rFonts w:ascii="Times New Roman" w:hAnsi="Times New Roman"/>
          <w:b/>
          <w:caps w:val="false"/>
          <w:smallCaps w:val="false"/>
          <w:sz w:val="20"/>
        </w:rPr>
        <w:t>18 U.S.C. SECTION 1350,</w:t>
      </w:r>
      <w:r>
        <w:rPr>
          <w:rFonts w:ascii="Times New Roman" w:hAnsi="Times New Roman"/>
          <w:caps w:val="false"/>
          <w:smallCaps w:val="false"/>
          <w:sz w:val="20"/>
        </w:rPr>
        <w:br/>
      </w:r>
      <w:r>
        <w:rPr>
          <w:rFonts w:ascii="Times New Roman" w:hAnsi="Times New Roman"/>
          <w:b/>
          <w:caps w:val="false"/>
          <w:smallCaps w:val="false"/>
          <w:sz w:val="20"/>
        </w:rPr>
        <w:t>AS ADOPTED PURSUANT TO</w:t>
      </w:r>
      <w:r>
        <w:rPr>
          <w:rFonts w:ascii="Times New Roman" w:hAnsi="Times New Roman"/>
          <w:caps w:val="false"/>
          <w:smallCaps w:val="false"/>
          <w:sz w:val="20"/>
        </w:rPr>
        <w:br/>
      </w: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this quarterly report of Rush Enterprises, Inc. (the “</w:t>
      </w:r>
      <w:r>
        <w:rPr>
          <w:rFonts w:ascii="Times New Roman" w:hAnsi="Times New Roman"/>
          <w:caps w:val="false"/>
          <w:smallCaps w:val="false"/>
          <w:sz w:val="20"/>
          <w:u w:val="single"/>
        </w:rPr>
        <w:t>Company</w:t>
      </w:r>
      <w:r>
        <w:rPr>
          <w:rFonts w:ascii="Times New Roman" w:hAnsi="Times New Roman"/>
          <w:caps w:val="false"/>
          <w:smallCaps w:val="false"/>
          <w:sz w:val="20"/>
        </w:rPr>
        <w:t>”) on Form 10-Q for the period ended September 30, 2024, as filed with the Securities and Exchange Commission on the date hereof (the “</w:t>
      </w:r>
      <w:r>
        <w:rPr>
          <w:rFonts w:ascii="Times New Roman" w:hAnsi="Times New Roman"/>
          <w:caps w:val="false"/>
          <w:smallCaps w:val="false"/>
          <w:sz w:val="20"/>
          <w:u w:val="single"/>
        </w:rPr>
        <w:t>Report</w:t>
      </w:r>
      <w:r>
        <w:rPr>
          <w:rFonts w:ascii="Times New Roman" w:hAnsi="Times New Roman"/>
          <w:caps w:val="false"/>
          <w:smallCaps w:val="false"/>
          <w:sz w:val="20"/>
        </w:rPr>
        <w:t>”), I, Steven L. Keller, Chief Financial Officer and Treasurer of the Company,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60"/>
        <w:gridCol w:w="545"/>
        <w:gridCol w:w="3020"/>
      </w:tblGrid>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STEVEN L. KELLER</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L. Keller</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3020" w:type="dxa"/>
            <w:tcBorders/>
            <w:vAlign w:val="center"/>
          </w:tcPr>
          <w:p>
            <w:pPr>
              <w:pStyle w:val="TableContents"/>
              <w:bidi w:val="0"/>
              <w:spacing w:before="0" w:after="283"/>
              <w:jc w:val="left"/>
              <w:rPr/>
            </w:pPr>
            <w:r>
              <w:rPr/>
              <w:t>November 7,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12019/000110465908051789/a08-18770_1ex3d1.htm" TargetMode="External"/><Relationship Id="rId3" Type="http://schemas.openxmlformats.org/officeDocument/2006/relationships/hyperlink" Target="http://www.sec.gov/Archives/edgar/data/1012019/000143774923022761/ex_553893.htm" TargetMode="External"/><Relationship Id="rId4" Type="http://schemas.openxmlformats.org/officeDocument/2006/relationships/hyperlink" Target="http://www.sec.gov/Archives/edgar/data/1012019/000143774913006455/rusha20130517_8kex3-1.htm" TargetMode="External"/><Relationship Id="rId5" Type="http://schemas.openxmlformats.org/officeDocument/2006/relationships/hyperlink" Target="http://www.sec.gov/Archives/edgar/data/1012019/000143774921013172/ex_252719.htm" TargetMode="External"/><Relationship Id="rId6" Type="http://schemas.openxmlformats.org/officeDocument/2006/relationships/hyperlink" Target="http://www.sec.gov/Archives/edgar/data/1012019/000143774924032511/ex_739715.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17629</Words>
  <Characters>95594</Characters>
  <CharactersWithSpaces>115921</CharactersWithSpaces>
  <Paragraphs>7182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