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ANNUAL REPORT PURSUANT TO SECTION 13 OR 15(d)</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December 31, 2018</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RUSH ENTERPRISES, INC</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63" w:right="239" w:bottom="1440" w:gutter="0" w:footer="0" w:header="0"/>
        </w:sectPr>
      </w:pPr>
    </w:p>
    <w:p>
      <w:pPr>
        <w:spacing w:after="0" w:line="203"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74-1733016</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060" w:space="720"/>
            <w:col w:w="4640"/>
          </w:cols>
          <w:pgMar w:left="240" w:top="463" w:right="239" w:bottom="1440" w:gutter="0" w:footer="0" w:header="0"/>
          <w:type w:val="continuous"/>
        </w:sectPr>
      </w:pPr>
    </w:p>
    <w:p>
      <w:pPr>
        <w:spacing w:after="0" w:line="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555 IH 35 South, New Braunfels, TX</w:t>
      </w:r>
    </w:p>
    <w:p>
      <w:pPr>
        <w:spacing w:after="0" w:line="43"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78130</w:t>
      </w:r>
    </w:p>
    <w:p>
      <w:pPr>
        <w:spacing w:after="0" w:line="31" w:lineRule="exact"/>
        <w:rPr>
          <w:sz w:val="24"/>
          <w:szCs w:val="24"/>
          <w:color w:val="auto"/>
        </w:rPr>
      </w:pPr>
    </w:p>
    <w:p>
      <w:pPr>
        <w:jc w:val="center"/>
        <w:ind w:right="29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960" w:space="720"/>
            <w:col w:w="3740"/>
          </w:cols>
          <w:pgMar w:left="240" w:top="463"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302-5200</w:t>
      </w:r>
    </w:p>
    <w:p>
      <w:pPr>
        <w:spacing w:after="0" w:line="22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60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Class A and Class B Common Stock, $.01 par value</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9" w:lineRule="exact"/>
        <w:rPr>
          <w:sz w:val="24"/>
          <w:szCs w:val="24"/>
          <w:color w:val="auto"/>
        </w:rPr>
      </w:pPr>
    </w:p>
    <w:p>
      <w:pPr>
        <w:ind w:left="1940"/>
        <w:spacing w:after="0"/>
        <w:tabs>
          <w:tab w:leader="none" w:pos="724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5600"/>
        <w:spacing w:after="0" w:line="207" w:lineRule="exact"/>
        <w:tabs>
          <w:tab w:leader="none" w:pos="65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7" w:lineRule="exact"/>
        <w:rPr>
          <w:sz w:val="24"/>
          <w:szCs w:val="24"/>
          <w:color w:val="auto"/>
        </w:rPr>
      </w:pPr>
    </w:p>
    <w:p>
      <w:pPr>
        <w:ind w:left="5600" w:right="1720" w:hanging="5263"/>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463" w:right="239" w:bottom="1440" w:gutter="0" w:footer="0" w:header="0"/>
          <w:type w:val="continuous"/>
        </w:sectPr>
      </w:pPr>
    </w:p>
    <w:p>
      <w:pPr>
        <w:spacing w:after="0" w:line="17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900"/>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5600"/>
        <w:spacing w:after="0" w:line="207" w:lineRule="exact"/>
        <w:tabs>
          <w:tab w:leader="none" w:pos="6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40"/>
        <w:spacing w:after="0" w:line="207" w:lineRule="exact"/>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3" w:lineRule="exact"/>
        <w:rPr>
          <w:sz w:val="24"/>
          <w:szCs w:val="24"/>
          <w:color w:val="auto"/>
        </w:rPr>
      </w:pPr>
    </w:p>
    <w:p>
      <w:pPr>
        <w:ind w:left="85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340"/>
        <w:spacing w:after="0"/>
        <w:tabs>
          <w:tab w:leader="none" w:pos="107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color w:val="auto"/>
        </w:rPr>
        <w:t>Yes</w:t>
      </w:r>
    </w:p>
    <w:p>
      <w:pPr>
        <w:spacing w:after="0" w:line="22" w:lineRule="exact"/>
        <w:rPr>
          <w:sz w:val="20"/>
          <w:szCs w:val="20"/>
          <w:color w:val="auto"/>
        </w:rPr>
      </w:pPr>
    </w:p>
    <w:p>
      <w:pPr>
        <w:ind w:left="620" w:hanging="612"/>
        <w:spacing w:after="0" w:line="207" w:lineRule="exact"/>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June 29, 2018 was approximately $1,552,855,317 based upon the last sales price on June 29, 2018 on The NASDAQ Global Select Market</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of $43.38 for the registrant’s Class A Common Stock and $43.90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19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registrant had 28,236,569 shares Class A Common Stock and 8,267,802 shares of Class B Common Stock outstanding on February 12, 2019.</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Portions of registrant’s definitive proxy statement for the registrant’s 2019 Annual Meeting of Shareholders, to be filed with the Securities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Commission not later than 120 days after December 31, 2018,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20" w:type="dxa"/>
            <w:vAlign w:val="bottom"/>
            <w:gridSpan w:val="15"/>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RUSH ENTERPRISES, INC.</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20" w:type="dxa"/>
            <w:vAlign w:val="bottom"/>
            <w:gridSpan w:val="15"/>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Index to Form 10-K</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20" w:type="dxa"/>
            <w:vAlign w:val="bottom"/>
            <w:gridSpan w:val="15"/>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2018</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460" w:type="dxa"/>
            <w:vAlign w:val="bottom"/>
            <w:vMerge w:val="restart"/>
          </w:tcPr>
          <w:p>
            <w:pPr>
              <w:jc w:val="cente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4640" w:type="dxa"/>
            <w:vAlign w:val="bottom"/>
            <w:gridSpan w:val="9"/>
            <w:vMerge w:val="restart"/>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460" w:type="dxa"/>
            <w:vAlign w:val="bottom"/>
            <w:tcBorders>
              <w:bottom w:val="single" w:sz="8" w:color="0000EE"/>
            </w:tcBorders>
            <w:vMerge w:val="continue"/>
          </w:tcPr>
          <w:p>
            <w:pPr>
              <w:spacing w:after="0"/>
              <w:rPr>
                <w:sz w:val="17"/>
                <w:szCs w:val="17"/>
                <w:color w:val="auto"/>
              </w:rPr>
            </w:pPr>
          </w:p>
        </w:tc>
        <w:tc>
          <w:tcPr>
            <w:tcW w:w="4640" w:type="dxa"/>
            <w:vAlign w:val="bottom"/>
            <w:gridSpan w:val="9"/>
            <w:vMerge w:val="continue"/>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800" w:type="dxa"/>
            <w:vAlign w:val="bottom"/>
            <w:gridSpan w:val="27"/>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Unresolved Staff Comments</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Properties</w:t>
              </w:r>
            </w:hyperlink>
          </w:p>
        </w:tc>
        <w:tc>
          <w:tcPr>
            <w:tcW w:w="7400" w:type="dxa"/>
            <w:vAlign w:val="bottom"/>
            <w:gridSpan w:val="18"/>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Legal Proceedings</w:t>
              </w:r>
            </w:hyperlink>
          </w:p>
        </w:tc>
        <w:tc>
          <w:tcPr>
            <w:tcW w:w="8100" w:type="dxa"/>
            <w:vAlign w:val="bottom"/>
            <w:gridSpan w:val="23"/>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Mine Safety Disclosures</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jc w:val="center"/>
              <w:ind w:right="4620"/>
              <w:spacing w:after="0"/>
              <w:rPr>
                <w:rFonts w:ascii="Times New Roman" w:cs="Times New Roman" w:eastAsia="Times New Roman" w:hAnsi="Times New Roman"/>
                <w:sz w:val="18"/>
                <w:szCs w:val="18"/>
                <w:b w:val="1"/>
                <w:bCs w:val="1"/>
                <w:color w:val="0000EE"/>
                <w:w w:val="98"/>
              </w:rPr>
            </w:pPr>
            <w:hyperlink w:anchor="page24">
              <w:r>
                <w:rPr>
                  <w:rFonts w:ascii="Times New Roman" w:cs="Times New Roman" w:eastAsia="Times New Roman" w:hAnsi="Times New Roman"/>
                  <w:sz w:val="18"/>
                  <w:szCs w:val="18"/>
                  <w:b w:val="1"/>
                  <w:bCs w:val="1"/>
                  <w:color w:val="0000EE"/>
                  <w:w w:val="98"/>
                </w:rPr>
                <w:t>Part II</w:t>
              </w:r>
            </w:hyperlink>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Market for Registrant’s Common Equity, Related Shareholder Matters and Issuer Purchases of Equity Securities</w:t>
              </w:r>
            </w:hyperlink>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Selected Financial Data</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980" w:type="dxa"/>
            <w:vAlign w:val="bottom"/>
            <w:gridSpan w:val="4"/>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Financial Statements and Supplementary Data</w:t>
              </w:r>
            </w:hyperlink>
          </w:p>
        </w:tc>
        <w:tc>
          <w:tcPr>
            <w:tcW w:w="5140" w:type="dxa"/>
            <w:vAlign w:val="bottom"/>
            <w:gridSpan w:val="11"/>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960" w:type="dxa"/>
            <w:vAlign w:val="bottom"/>
            <w:gridSpan w:val="3"/>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Controls and Procedures</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Other Information</w:t>
              </w:r>
            </w:hyperlink>
          </w:p>
        </w:tc>
        <w:tc>
          <w:tcPr>
            <w:tcW w:w="7680" w:type="dxa"/>
            <w:vAlign w:val="bottom"/>
            <w:gridSpan w:val="20"/>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w w:val="97"/>
              </w:rPr>
            </w:pPr>
            <w:hyperlink w:anchor="page74">
              <w:r>
                <w:rPr>
                  <w:rFonts w:ascii="Times New Roman" w:cs="Times New Roman" w:eastAsia="Times New Roman" w:hAnsi="Times New Roman"/>
                  <w:sz w:val="18"/>
                  <w:szCs w:val="18"/>
                  <w:b w:val="1"/>
                  <w:bCs w:val="1"/>
                  <w:color w:val="0000EE"/>
                  <w:w w:val="97"/>
                </w:rPr>
                <w:t>Part III</w:t>
              </w:r>
            </w:hyperlink>
          </w:p>
        </w:tc>
        <w:tc>
          <w:tcPr>
            <w:tcW w:w="456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Directors, Executive Officers and Corporate Governance</w:t>
              </w:r>
            </w:hyperlink>
          </w:p>
        </w:tc>
        <w:tc>
          <w:tcPr>
            <w:tcW w:w="5340" w:type="dxa"/>
            <w:vAlign w:val="bottom"/>
            <w:gridSpan w:val="14"/>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Executive Compensation</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Security Ownership of Certain Beneficial Owners and Management and Related Shareholder Matters</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Certain Relationships and Related Transactions, and Director Independence</w:t>
              </w:r>
            </w:hyperlink>
          </w:p>
        </w:tc>
        <w:tc>
          <w:tcPr>
            <w:tcW w:w="2160" w:type="dxa"/>
            <w:vAlign w:val="bottom"/>
            <w:gridSpan w:val="2"/>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Principal Accountant Fees and Services</w:t>
              </w:r>
            </w:hyperlink>
          </w:p>
        </w:tc>
        <w:tc>
          <w:tcPr>
            <w:tcW w:w="4000" w:type="dxa"/>
            <w:vAlign w:val="bottom"/>
            <w:gridSpan w:val="5"/>
          </w:tcPr>
          <w:p>
            <w:pPr>
              <w:spacing w:after="0"/>
              <w:rPr>
                <w:sz w:val="17"/>
                <w:szCs w:val="17"/>
                <w:color w:val="auto"/>
              </w:rPr>
            </w:pPr>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3"/>
          </w:tcPr>
          <w:p>
            <w:pPr>
              <w:jc w:val="center"/>
              <w:ind w:right="4560"/>
              <w:spacing w:after="0"/>
              <w:rPr>
                <w:rFonts w:ascii="Times New Roman" w:cs="Times New Roman" w:eastAsia="Times New Roman" w:hAnsi="Times New Roman"/>
                <w:sz w:val="18"/>
                <w:szCs w:val="18"/>
                <w:b w:val="1"/>
                <w:bCs w:val="1"/>
                <w:color w:val="0000EE"/>
                <w:w w:val="99"/>
              </w:rPr>
            </w:pPr>
            <w:hyperlink w:anchor="page75">
              <w:r>
                <w:rPr>
                  <w:rFonts w:ascii="Times New Roman" w:cs="Times New Roman" w:eastAsia="Times New Roman" w:hAnsi="Times New Roman"/>
                  <w:sz w:val="18"/>
                  <w:szCs w:val="18"/>
                  <w:b w:val="1"/>
                  <w:bCs w:val="1"/>
                  <w:color w:val="0000EE"/>
                  <w:w w:val="99"/>
                </w:rPr>
                <w:t>Part IV</w:t>
              </w:r>
            </w:hyperlink>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Exhibits, Financial Statement Schedules</w:t>
              </w:r>
            </w:hyperlink>
          </w:p>
        </w:tc>
        <w:tc>
          <w:tcPr>
            <w:tcW w:w="1380" w:type="dxa"/>
            <w:vAlign w:val="bottom"/>
            <w:gridSpan w:val="4"/>
          </w:tcPr>
          <w:p>
            <w:pPr>
              <w:spacing w:after="0"/>
              <w:rPr>
                <w:sz w:val="24"/>
                <w:szCs w:val="24"/>
                <w:color w:val="auto"/>
              </w:rPr>
            </w:pPr>
          </w:p>
        </w:tc>
        <w:tc>
          <w:tcPr>
            <w:tcW w:w="580" w:type="dxa"/>
            <w:vAlign w:val="bottom"/>
            <w:tcBorders>
              <w:top w:val="single" w:sz="8" w:color="0000EE"/>
            </w:tcBorders>
            <w:gridSpan w:val="5"/>
          </w:tcPr>
          <w:p>
            <w:pPr>
              <w:spacing w:after="0"/>
              <w:rPr>
                <w:sz w:val="24"/>
                <w:szCs w:val="24"/>
                <w:color w:val="auto"/>
              </w:rPr>
            </w:pPr>
          </w:p>
        </w:tc>
        <w:tc>
          <w:tcPr>
            <w:tcW w:w="4580" w:type="dxa"/>
            <w:vAlign w:val="bottom"/>
            <w:gridSpan w:val="7"/>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440" w:type="dxa"/>
            <w:vAlign w:val="bottom"/>
            <w:gridSpan w:val="28"/>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Form 10-K Summary</w:t>
              </w:r>
            </w:hyperlink>
          </w:p>
        </w:tc>
        <w:tc>
          <w:tcPr>
            <w:tcW w:w="68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11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10-K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31"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Navistar International Corporation. International</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Navistar International Transportation Corp. Idealease is a registered trademark of Idealease, Inc. aka Idealease of North America, Inc.</w:t>
      </w:r>
    </w:p>
    <w:p>
      <w:pPr>
        <w:spacing w:after="0" w:line="2"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i w:val="1"/>
          <w:iCs w:val="1"/>
          <w:color w:val="auto"/>
        </w:rPr>
        <w:t>Blue Bird</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IC Bus, LLC. Fuso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Mitsubishi Fuso Truck and Bus Corporation. Hino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Isuzu Motors Limited. Ford Motor Credit Company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Ford Motor Company. Ford</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Ford Motor</w:t>
      </w:r>
    </w:p>
    <w:p>
      <w:pPr>
        <w:jc w:val="both"/>
        <w:spacing w:after="0" w:line="204" w:lineRule="auto"/>
        <w:rPr>
          <w:sz w:val="20"/>
          <w:szCs w:val="20"/>
          <w:color w:val="auto"/>
        </w:rPr>
      </w:pPr>
      <w:r>
        <w:rPr>
          <w:rFonts w:ascii="Times New Roman" w:cs="Times New Roman" w:eastAsia="Times New Roman" w:hAnsi="Times New Roman"/>
          <w:sz w:val="18"/>
          <w:szCs w:val="18"/>
          <w:i w:val="1"/>
          <w:iCs w:val="1"/>
          <w:color w:val="auto"/>
        </w:rPr>
        <w:t>Company. SAP</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References herein to “the Company,” “Rush Enterprises,” “we,” “our” or “us” mean Rush Enterprises, Inc., a Texas corporation,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1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2" w:right="5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36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4" w:lineRule="exact"/>
        <w:rPr>
          <w:sz w:val="20"/>
          <w:szCs w:val="20"/>
          <w:color w:val="auto"/>
        </w:rPr>
      </w:pPr>
    </w:p>
    <w:p>
      <w:pPr>
        <w:jc w:val="both"/>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62" w:lineRule="exact"/>
        <w:rPr>
          <w:sz w:val="20"/>
          <w:szCs w:val="20"/>
          <w:color w:val="auto"/>
        </w:rPr>
      </w:pPr>
    </w:p>
    <w:p>
      <w:pPr>
        <w:jc w:val="both"/>
        <w:ind w:right="360"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6" w:lineRule="exact"/>
        <w:rPr>
          <w:sz w:val="20"/>
          <w:szCs w:val="20"/>
          <w:color w:val="auto"/>
        </w:rPr>
      </w:pPr>
    </w:p>
    <w:p>
      <w:pPr>
        <w:jc w:val="both"/>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Rush Truck Centers. </w:t>
      </w:r>
      <w:r>
        <w:rPr>
          <w:rFonts w:ascii="Times New Roman" w:cs="Times New Roman" w:eastAsia="Times New Roman" w:hAnsi="Times New Roman"/>
          <w:sz w:val="18"/>
          <w:szCs w:val="18"/>
          <w:color w:val="auto"/>
        </w:rPr>
        <w:t>Our Rush Truck Centers are located in Alabama, Arizona, California, Colorado, Florida, Georgia, Idaho, Illinois, Indiana,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Kansas, Kentucky, Missouri, Nevada, New Mexico, North Carolina, Ohio, Oklahoma, Pennsylvania, Tennessee, Texas, Utah and Virginia. The following chart reflects our franchises and parts, service and collision repair operations by location as of February 25, 2019:</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c>
          <w:tcPr>
            <w:tcW w:w="5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5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36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Commercial Vehicle Franchise(s)</w:t>
            </w:r>
          </w:p>
        </w:tc>
        <w:tc>
          <w:tcPr>
            <w:tcW w:w="12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Center</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Alabama</w:t>
            </w:r>
          </w:p>
        </w:tc>
        <w:tc>
          <w:tcPr>
            <w:tcW w:w="3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Mobile</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Birmingham</w:t>
            </w:r>
          </w:p>
        </w:tc>
        <w:tc>
          <w:tcPr>
            <w:tcW w:w="3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None</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Flagstaff</w:t>
            </w:r>
          </w:p>
        </w:tc>
        <w:tc>
          <w:tcPr>
            <w:tcW w:w="3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Phoenix</w:t>
            </w:r>
          </w:p>
        </w:tc>
        <w:tc>
          <w:tcPr>
            <w:tcW w:w="36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Tucson</w:t>
            </w:r>
          </w:p>
        </w:tc>
        <w:tc>
          <w:tcPr>
            <w:tcW w:w="36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Yuma</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Bakersfield</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None</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Fontana Heavy-Duty</w:t>
            </w:r>
          </w:p>
        </w:tc>
        <w:tc>
          <w:tcPr>
            <w:tcW w:w="3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Fontana Medium-Duty</w:t>
            </w:r>
          </w:p>
        </w:tc>
        <w:tc>
          <w:tcPr>
            <w:tcW w:w="36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Peterbilt, Hino, Isuzu</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Fontana Vocational</w:t>
            </w:r>
          </w:p>
        </w:tc>
        <w:tc>
          <w:tcPr>
            <w:tcW w:w="3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None</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 Beach</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Modesto</w:t>
            </w:r>
          </w:p>
        </w:tc>
        <w:tc>
          <w:tcPr>
            <w:tcW w:w="36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Ford</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Pico Rivera</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San Diego</w:t>
            </w:r>
          </w:p>
        </w:tc>
        <w:tc>
          <w:tcPr>
            <w:tcW w:w="3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Peterbilt, Hino, Ford</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Sylmar</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Whittier</w:t>
            </w:r>
          </w:p>
        </w:tc>
        <w:tc>
          <w:tcPr>
            <w:tcW w:w="36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Ford, Isuzu</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Colorado Springs</w:t>
            </w:r>
          </w:p>
        </w:tc>
        <w:tc>
          <w:tcPr>
            <w:tcW w:w="3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Denver</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Peterbilt, Ford, Isuzu</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Greeley</w:t>
            </w:r>
          </w:p>
        </w:tc>
        <w:tc>
          <w:tcPr>
            <w:tcW w:w="36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Pueblo</w:t>
            </w:r>
          </w:p>
        </w:tc>
        <w:tc>
          <w:tcPr>
            <w:tcW w:w="36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Peterbilt</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8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c>
          <w:tcPr>
            <w:tcW w:w="0" w:type="dxa"/>
            <w:vAlign w:val="bottom"/>
          </w:tcPr>
          <w:p>
            <w:pPr>
              <w:spacing w:after="0"/>
              <w:rPr>
                <w:sz w:val="1"/>
                <w:szCs w:val="1"/>
                <w:color w:val="auto"/>
              </w:rPr>
            </w:pPr>
          </w:p>
        </w:tc>
      </w:t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38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Commercial Vehicle Franchise(s)</w:t>
            </w:r>
          </w:p>
        </w:tc>
        <w:tc>
          <w:tcPr>
            <w:tcW w:w="12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Center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Haines City</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Jacksonville</w:t>
            </w:r>
          </w:p>
        </w:tc>
        <w:tc>
          <w:tcPr>
            <w:tcW w:w="38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Lake City</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Orlando Heavy-Duty</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Peterbilt, Isuzu</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Orlando Light &amp; Medium-Duty</w:t>
            </w:r>
          </w:p>
        </w:tc>
        <w:tc>
          <w:tcPr>
            <w:tcW w:w="3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Ford</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Orlando North</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Isuzu</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Orlando South</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Isuzu</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Tampa</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Atlanta</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 Hino, Isuzu, IC Bus</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Atlanta Bus Center</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IC Bus</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Adairsville</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Augusta</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Blackshear</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Columbus</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International, Isuzu, IC Bus</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Doraville</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 Hino, Isuzu, IC Bus</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Gainesville</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Macon</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Savannah</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IC Bus</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Smyrna</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 Hino, Isuzu, IC Bus</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Tifton</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Valdosta</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Idaho</w:t>
            </w: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Boise</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 Hino, IC Bus</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Idaho Falls</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International, IC Bus</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Lewiston</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Twin Falls</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Bloomington</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 Hino</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Carol Stream</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Champaign</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Chicago</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Effingham</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Huntley</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Joliet</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Quincy</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Springfield</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Indiana</w:t>
            </w: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Gary</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Indianapolis</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Kansas</w:t>
            </w: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Kansas City</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Hino, Isuzu</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Kentucky</w:t>
            </w: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Bowling Green</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Missouri</w:t>
            </w: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 Peters</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 Louis</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Las Vegas</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 Mexico</w:t>
            </w: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Albuquerque</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Farmington</w:t>
            </w:r>
          </w:p>
        </w:tc>
        <w:tc>
          <w:tcPr>
            <w:tcW w:w="38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Las Cruces</w:t>
            </w:r>
          </w:p>
        </w:tc>
        <w:tc>
          <w:tcPr>
            <w:tcW w:w="3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Peterbilt</w:t>
            </w: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11" w:right="819" w:bottom="1440" w:gutter="0" w:footer="0" w:header="0"/>
        </w:sectPr>
      </w:pP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1" w:right="819" w:bottom="1440" w:gutter="0" w:footer="0" w:header="0"/>
          <w:type w:val="continuous"/>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45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Commercial Vehicle Franchise(s)</w:t>
            </w: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Center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4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Asheville</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International</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Charlotte</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International, Hino, Isuzu</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Hickory</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International</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Ohio</w:t>
            </w:r>
          </w:p>
        </w:tc>
        <w:tc>
          <w:tcPr>
            <w:tcW w:w="4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Akron</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International, IC Bus</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Cincinnati</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International, IC Bus, Isuzu, Ford, Mitsubishi Fuso</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Cleveland</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International, IC Bus</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Columbus</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International, IC Bus, Isuzu(1)</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Dayton</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International, IC Bus, Isuzu</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Lima</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International, IC Bus</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Oklahoma</w:t>
            </w:r>
          </w:p>
        </w:tc>
        <w:tc>
          <w:tcPr>
            <w:tcW w:w="4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Ardmore</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Oklahoma City</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Peterbilt, Hino, Ford, Isuzu</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Tulsa</w:t>
            </w:r>
          </w:p>
        </w:tc>
        <w:tc>
          <w:tcPr>
            <w:tcW w:w="45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Peterbilt, Hino</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4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Greencastle</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None</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Tennessee</w:t>
            </w:r>
          </w:p>
        </w:tc>
        <w:tc>
          <w:tcPr>
            <w:tcW w:w="4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Memphis</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None</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Nashville</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4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Abilene</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Amarillo</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Austin</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Peterbilt, Hino, Isuzu, Blue Bird, Micro Bird, Elkhart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Austin North</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Beaumont</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Brownsville</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Peterbilt, Elkhart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College Station</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Corpus Christi</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Peterbilt, Hino, Isuzu, Blue Bird, Elkhart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Cotulla</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Dalhart</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Dallas Heavy-Duty</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Dallas Medium-Duty</w:t>
            </w:r>
          </w:p>
        </w:tc>
        <w:tc>
          <w:tcPr>
            <w:tcW w:w="4560" w:type="dxa"/>
            <w:vAlign w:val="bottom"/>
            <w:shd w:val="clear" w:color="auto" w:fill="CCEEFF"/>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rPr>
              <w:t>Peterbilt, Hino,</w:t>
            </w:r>
          </w:p>
        </w:tc>
        <w:tc>
          <w:tcPr>
            <w:tcW w:w="88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45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8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Dallas Light &amp; Medium-Duty</w:t>
            </w:r>
          </w:p>
        </w:tc>
        <w:tc>
          <w:tcPr>
            <w:tcW w:w="45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Ford, Isuzu</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El Paso</w:t>
            </w:r>
          </w:p>
        </w:tc>
        <w:tc>
          <w:tcPr>
            <w:tcW w:w="45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Peterbilt, Hino, Isuzu</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Fort Worth</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Houston</w:t>
            </w:r>
          </w:p>
        </w:tc>
        <w:tc>
          <w:tcPr>
            <w:tcW w:w="45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Peterbilt, Hino</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Houston Bus Center</w:t>
            </w:r>
          </w:p>
        </w:tc>
        <w:tc>
          <w:tcPr>
            <w:tcW w:w="45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Houston Medium-Duty</w:t>
            </w:r>
          </w:p>
        </w:tc>
        <w:tc>
          <w:tcPr>
            <w:tcW w:w="45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Peterbilt, Hino</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Laredo</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Lubbock</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Lufkin</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Odessa</w:t>
            </w:r>
          </w:p>
        </w:tc>
        <w:tc>
          <w:tcPr>
            <w:tcW w:w="45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Peterbilt</w:t>
            </w:r>
          </w:p>
        </w:tc>
        <w:tc>
          <w:tcPr>
            <w:tcW w:w="8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Pharr</w:t>
            </w:r>
          </w:p>
        </w:tc>
        <w:tc>
          <w:tcPr>
            <w:tcW w:w="45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Peterbilt, Hino, Blue Bird, Micro Bird, Elkhart</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660" w:right="4280" w:hanging="5562"/>
        <w:spacing w:after="0" w:line="564" w:lineRule="auto"/>
        <w:tabs>
          <w:tab w:leader="none" w:pos="4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Isuzu franchise is operated out of our Rush Truck Leasing - Columbus location.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1" w:right="81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24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Collision</w:t>
            </w:r>
          </w:p>
        </w:tc>
      </w:tr>
      <w:tr>
        <w:trPr>
          <w:trHeight w:val="238"/>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44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Commercial Vehicle Franchise(s)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Center</w:t>
            </w: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San Antonio</w:t>
            </w:r>
          </w:p>
        </w:tc>
        <w:tc>
          <w:tcPr>
            <w:tcW w:w="4460" w:type="dxa"/>
            <w:vAlign w:val="bottom"/>
            <w:shd w:val="clear" w:color="auto" w:fill="CCEEFF"/>
          </w:tcPr>
          <w:p>
            <w:pPr>
              <w:jc w:val="center"/>
              <w:ind w:left="450"/>
              <w:spacing w:after="0" w:line="196" w:lineRule="exact"/>
              <w:rPr>
                <w:sz w:val="20"/>
                <w:szCs w:val="20"/>
                <w:color w:val="auto"/>
              </w:rPr>
            </w:pPr>
            <w:r>
              <w:rPr>
                <w:rFonts w:ascii="Times New Roman" w:cs="Times New Roman" w:eastAsia="Times New Roman" w:hAnsi="Times New Roman"/>
                <w:sz w:val="18"/>
                <w:szCs w:val="18"/>
                <w:color w:val="auto"/>
                <w:w w:val="99"/>
              </w:rPr>
              <w:t>Peterbilt, Hino, Blue Bird, Micro Bird, Elkhart</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San Antonio Bus</w:t>
            </w:r>
          </w:p>
        </w:tc>
        <w:tc>
          <w:tcPr>
            <w:tcW w:w="4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Sealy</w:t>
            </w:r>
          </w:p>
        </w:tc>
        <w:tc>
          <w:tcPr>
            <w:tcW w:w="44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Peterbilt, Isuzu, Blue Bird, Micro Bird, Elkhart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8"/>
        </w:trPr>
        <w:tc>
          <w:tcPr>
            <w:tcW w:w="30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Texarkana</w:t>
            </w:r>
          </w:p>
        </w:tc>
        <w:tc>
          <w:tcPr>
            <w:tcW w:w="4460" w:type="dxa"/>
            <w:vAlign w:val="bottom"/>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rPr>
              <w:t>Peterbilt, Hino, Isuzu,</w:t>
            </w: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3020" w:type="dxa"/>
            <w:vAlign w:val="bottom"/>
          </w:tcPr>
          <w:p>
            <w:pPr>
              <w:spacing w:after="0"/>
              <w:rPr>
                <w:sz w:val="20"/>
                <w:szCs w:val="20"/>
                <w:color w:val="auto"/>
              </w:rPr>
            </w:pPr>
          </w:p>
        </w:tc>
        <w:tc>
          <w:tcPr>
            <w:tcW w:w="44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Tyler</w:t>
            </w:r>
          </w:p>
        </w:tc>
        <w:tc>
          <w:tcPr>
            <w:tcW w:w="44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Victoria</w:t>
            </w:r>
          </w:p>
        </w:tc>
        <w:tc>
          <w:tcPr>
            <w:tcW w:w="4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Peterbilt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8"/>
        </w:trPr>
        <w:tc>
          <w:tcPr>
            <w:tcW w:w="30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Waco</w:t>
            </w:r>
          </w:p>
        </w:tc>
        <w:tc>
          <w:tcPr>
            <w:tcW w:w="4460" w:type="dxa"/>
            <w:vAlign w:val="bottom"/>
            <w:shd w:val="clear" w:color="auto" w:fill="CCEEFF"/>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rPr>
              <w:t>Peterbilt, Hino, Isuzu,</w:t>
            </w: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3020" w:type="dxa"/>
            <w:vAlign w:val="bottom"/>
            <w:shd w:val="clear" w:color="auto" w:fill="CCEEFF"/>
          </w:tcPr>
          <w:p>
            <w:pPr>
              <w:spacing w:after="0"/>
              <w:rPr>
                <w:sz w:val="20"/>
                <w:szCs w:val="20"/>
                <w:color w:val="auto"/>
              </w:rPr>
            </w:pPr>
          </w:p>
        </w:tc>
        <w:tc>
          <w:tcPr>
            <w:tcW w:w="44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10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Utah</w:t>
            </w: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Ogden</w:t>
            </w:r>
          </w:p>
        </w:tc>
        <w:tc>
          <w:tcPr>
            <w:tcW w:w="44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International, IC Bus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Salt Lake City</w:t>
            </w:r>
          </w:p>
        </w:tc>
        <w:tc>
          <w:tcPr>
            <w:tcW w:w="4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International, IC Bus, Mitsubishi Fuso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Springville</w:t>
            </w:r>
          </w:p>
        </w:tc>
        <w:tc>
          <w:tcPr>
            <w:tcW w:w="44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International, Mitsubishi Fuso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George</w:t>
            </w:r>
          </w:p>
        </w:tc>
        <w:tc>
          <w:tcPr>
            <w:tcW w:w="4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International, Mitsubishi Fuso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4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Chester</w:t>
            </w:r>
          </w:p>
        </w:tc>
        <w:tc>
          <w:tcPr>
            <w:tcW w:w="4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International, Hino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Fredericksburg</w:t>
            </w:r>
          </w:p>
        </w:tc>
        <w:tc>
          <w:tcPr>
            <w:tcW w:w="44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Richmond</w:t>
            </w:r>
          </w:p>
        </w:tc>
        <w:tc>
          <w:tcPr>
            <w:tcW w:w="44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77"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Leasing and Rental Services. </w:t>
      </w:r>
      <w:r>
        <w:rPr>
          <w:rFonts w:ascii="Times New Roman" w:cs="Times New Roman" w:eastAsia="Times New Roman" w:hAnsi="Times New Roman"/>
          <w:sz w:val="18"/>
          <w:szCs w:val="18"/>
          <w:color w:val="auto"/>
        </w:rPr>
        <w:t>Through certain of our Rush Truck Centers and several stand-alone Rush Truck Leasing Centers, we provide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line of product selections for lease or rent, including Class 4, Class 5, Class 6, Class 7 and Class 8 trucks, heavy-duty cranes and refuse vehicles. Our lease and rental fleets are offered on a daily, monthly or long-term basis. Substantially all of our long-term leases also contain a service provision, whereby we agree to service the vehicle through the life of the lease. The following chart reflects our leasing franchises by location: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Rush Truck Leasing</w:t>
            </w:r>
          </w:p>
        </w:tc>
        <w:tc>
          <w:tcPr>
            <w:tcW w:w="25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Standalone or in a</w:t>
            </w:r>
          </w:p>
        </w:tc>
        <w:tc>
          <w:tcPr>
            <w:tcW w:w="114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35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Rush Truck Center</w:t>
            </w:r>
          </w:p>
        </w:tc>
        <w:tc>
          <w:tcPr>
            <w:tcW w:w="11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Alabama</w:t>
            </w:r>
          </w:p>
        </w:tc>
        <w:tc>
          <w:tcPr>
            <w:tcW w:w="252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Birmingham</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Phoenix</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Fontana</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Pico Rivera</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 Diego</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Sylmar</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Denver</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Orlando</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Tampa</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Jacksonville</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Macon</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Idaho</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Boise</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Idaho Falls</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Carol Stream</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Chicago</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Effingham</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Huntley</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Joliet</w:t>
            </w: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Springfield</w:t>
            </w:r>
          </w:p>
        </w:tc>
        <w:tc>
          <w:tcPr>
            <w:tcW w:w="2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c>
          <w:tcPr>
            <w:tcW w:w="1140" w:type="dxa"/>
            <w:vAlign w:val="bottom"/>
          </w:tcPr>
          <w:p>
            <w:pPr>
              <w:spacing w:after="0"/>
              <w:rPr>
                <w:sz w:val="18"/>
                <w:szCs w:val="18"/>
                <w:color w:val="auto"/>
              </w:rPr>
            </w:pPr>
          </w:p>
        </w:tc>
      </w:tr>
      <w:tr>
        <w:trPr>
          <w:trHeight w:val="459"/>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1"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Rush Truck Leasing</w:t>
            </w:r>
          </w:p>
        </w:tc>
        <w:tc>
          <w:tcPr>
            <w:tcW w:w="25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Standalone or in a</w:t>
            </w:r>
          </w:p>
        </w:tc>
      </w:tr>
      <w:tr>
        <w:trPr>
          <w:trHeight w:val="238"/>
        </w:trPr>
        <w:tc>
          <w:tcPr>
            <w:tcW w:w="20" w:type="dxa"/>
            <w:vAlign w:val="bottom"/>
          </w:tcPr>
          <w:p>
            <w:pPr>
              <w:spacing w:after="0"/>
              <w:rPr>
                <w:sz w:val="20"/>
                <w:szCs w:val="20"/>
                <w:color w:val="auto"/>
              </w:rPr>
            </w:pPr>
          </w:p>
        </w:tc>
        <w:tc>
          <w:tcPr>
            <w:tcW w:w="35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Franchise</w:t>
            </w: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Rush Truck Center</w:t>
            </w: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Indiana</w:t>
            </w:r>
          </w:p>
        </w:tc>
        <w:tc>
          <w:tcPr>
            <w:tcW w:w="252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Indianapolis</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Gary</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Missouri</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 Louis</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 Peters</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 Mexico</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Albuquerque</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Las Vegas</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Charlotte</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Ohio</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Cincinnati</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Cleveland</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Columbus</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Dayton</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Oklahoma</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Oklahoma City</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Tennessee</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Nashville</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Austin</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 Paso</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Fort Worth</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Houston</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Houston NW</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Odessa</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San Antonio</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Tyler</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PacLease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Richmond</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Norfolk</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Utah</w:t>
            </w:r>
          </w:p>
        </w:tc>
        <w:tc>
          <w:tcPr>
            <w:tcW w:w="25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Salt Lake City</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Idealease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locations in the above table, Rush Truck Leasing also provides full-service maintenance on customers’ vehicles at several of our customers’ facilities.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and Insurance Products. </w:t>
      </w:r>
      <w:r>
        <w:rPr>
          <w:rFonts w:ascii="Times New Roman" w:cs="Times New Roman" w:eastAsia="Times New Roman" w:hAnsi="Times New Roman"/>
          <w:sz w:val="18"/>
          <w:szCs w:val="18"/>
          <w:color w:val="auto"/>
        </w:rPr>
        <w:t>At our Rush Truck Centers, we offer third-party financing to assist customers in purchasing new and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Businesses. </w:t>
      </w:r>
      <w:r>
        <w:rPr>
          <w:rFonts w:ascii="Times New Roman" w:cs="Times New Roman" w:eastAsia="Times New Roman" w:hAnsi="Times New Roman"/>
          <w:sz w:val="18"/>
          <w:szCs w:val="18"/>
          <w:color w:val="auto"/>
        </w:rPr>
        <w:t>Perfection Equipment offers installation of equipment, equipment repair, parts installation, and paint and body repair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in Oklahoma City. Perfection Equipment specializes in up-fitting trucks used by oilfield service providers and other specialized service providers.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World Wide Tires stores operate in two locations in Texas. World Wide Tires primarily sells tires for use on commercial vehicles.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Custom Vehicle Solutions operates at locations in Denton, Texas and Greencastle, Pennsylvania. Custom Vehicle Solutions provides new vehicle pre-delivery inspections, truck modifications, natural gas fuel system installations, body and chassis upfitting and component installation.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House of Trucks operates at locations in Dallas, Texas, Miami, Florida and Chicago, Illinois. The House of Trucks sells used commercial vehicles, new and used trailers and offers third-party financing and insurance products.</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Momentum Fuel Technologies manufactures compressed natural gas fuel systems and related component parts for commercial vehicles at its facility in Roanoke,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 Industry” for a description of our industry and the markets in which we operate.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Strategy. </w:t>
      </w:r>
      <w:r>
        <w:rPr>
          <w:rFonts w:ascii="Times New Roman" w:cs="Times New Roman" w:eastAsia="Times New Roman" w:hAnsi="Times New Roman"/>
          <w:sz w:val="18"/>
          <w:szCs w:val="18"/>
          <w:color w:val="auto"/>
        </w:rPr>
        <w:t>Our strategy is to operate an integrated nationwide dealership network that provides service solutions to the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industry. Our strategy includes the following key elements:</w:t>
      </w:r>
    </w:p>
    <w:p>
      <w:pPr>
        <w:spacing w:after="0" w:line="160" w:lineRule="exact"/>
        <w:rPr>
          <w:sz w:val="20"/>
          <w:szCs w:val="20"/>
          <w:color w:val="auto"/>
        </w:rPr>
      </w:pPr>
    </w:p>
    <w:p>
      <w:pPr>
        <w:jc w:val="both"/>
        <w:ind w:left="1120" w:hanging="464"/>
        <w:spacing w:after="0" w:line="258"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by Dealership Units</w:t>
      </w:r>
      <w:r>
        <w:rPr>
          <w:rFonts w:ascii="Times New Roman" w:cs="Times New Roman" w:eastAsia="Times New Roman" w:hAnsi="Times New Roman"/>
          <w:sz w:val="18"/>
          <w:szCs w:val="18"/>
          <w:color w:val="auto"/>
        </w:rPr>
        <w:t>. At each of our dealerships, we operate one or more of the following departments: new commercial vehicle sales, used commercial vehicle sales, financial services, parts, service or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p>
      <w:pPr>
        <w:spacing w:after="0" w:line="183" w:lineRule="exact"/>
        <w:rPr>
          <w:rFonts w:ascii="Times New Roman" w:cs="Times New Roman" w:eastAsia="Times New Roman" w:hAnsi="Times New Roman"/>
          <w:sz w:val="18"/>
          <w:szCs w:val="18"/>
          <w:color w:val="auto"/>
        </w:rPr>
      </w:pPr>
    </w:p>
    <w:p>
      <w:pPr>
        <w:jc w:val="both"/>
        <w:ind w:left="1120" w:hanging="464"/>
        <w:spacing w:after="0" w:line="258"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One-Stop Centers</w:t>
      </w:r>
      <w:r>
        <w:rPr>
          <w:rFonts w:ascii="Times New Roman" w:cs="Times New Roman" w:eastAsia="Times New Roman" w:hAnsi="Times New Roman"/>
          <w:sz w:val="18"/>
          <w:szCs w:val="18"/>
          <w:color w:val="auto"/>
        </w:rPr>
        <w:t>. We have developed our larger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also helps to mitigate cyclical economic fluctuations because our parts, service and collision center operations (referred to herein collectively as “Aftermarket Products and Services”) at our dealerships generally tend to be less volatile than our new and used commercial vehicle sales.</w:t>
      </w:r>
    </w:p>
    <w:p>
      <w:pPr>
        <w:spacing w:after="0" w:line="183" w:lineRule="exact"/>
        <w:rPr>
          <w:rFonts w:ascii="Times New Roman" w:cs="Times New Roman" w:eastAsia="Times New Roman" w:hAnsi="Times New Roman"/>
          <w:sz w:val="18"/>
          <w:szCs w:val="18"/>
          <w:color w:val="auto"/>
        </w:rPr>
      </w:pPr>
    </w:p>
    <w:p>
      <w:pPr>
        <w:jc w:val="both"/>
        <w:ind w:left="1120" w:hanging="464"/>
        <w:spacing w:after="0" w:line="258"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Aftermarket Products and Services</w:t>
      </w:r>
      <w:r>
        <w:rPr>
          <w:rFonts w:ascii="Times New Roman" w:cs="Times New Roman" w:eastAsia="Times New Roman" w:hAnsi="Times New Roman"/>
          <w:sz w:val="18"/>
          <w:szCs w:val="18"/>
          <w:color w:val="auto"/>
        </w:rPr>
        <w:t>. Our aftermarket capabilities include a wide range of services and products, including a fleet of mobile service units, mobile technicians who work in our customers’ facilities, a proprietary line of parts and accessories,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facilities to offer more products and services to our customers.</w:t>
      </w:r>
    </w:p>
    <w:p>
      <w:pPr>
        <w:spacing w:after="0" w:line="183" w:lineRule="exact"/>
        <w:rPr>
          <w:rFonts w:ascii="Times New Roman" w:cs="Times New Roman" w:eastAsia="Times New Roman" w:hAnsi="Times New Roman"/>
          <w:sz w:val="18"/>
          <w:szCs w:val="18"/>
          <w:color w:val="auto"/>
        </w:rPr>
      </w:pPr>
    </w:p>
    <w:p>
      <w:pPr>
        <w:jc w:val="both"/>
        <w:ind w:left="1120" w:hanging="464"/>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Branding Program</w:t>
      </w:r>
      <w:r>
        <w:rPr>
          <w:rFonts w:ascii="Times New Roman" w:cs="Times New Roman" w:eastAsia="Times New Roman" w:hAnsi="Times New Roman"/>
          <w:sz w:val="18"/>
          <w:szCs w:val="18"/>
          <w:color w:val="auto"/>
        </w:rPr>
        <w:t>. We employ a branding program for our new vehicle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Strategy. </w:t>
      </w:r>
      <w:r>
        <w:rPr>
          <w:rFonts w:ascii="Times New Roman" w:cs="Times New Roman" w:eastAsia="Times New Roman" w:hAnsi="Times New Roman"/>
          <w:sz w:val="18"/>
          <w:szCs w:val="18"/>
          <w:color w:val="auto"/>
        </w:rPr>
        <w:t>Through our strategic expansion and acquisition initiatives, we have grown to operate a large, multistate, full-service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commercial vehicle dealerships. As described below, we intend to continue to grow our business by expanding our product and service offerings, through acquisitions in new geographic areas and by opening new locations to enable us to better serve our customers.</w:t>
      </w:r>
    </w:p>
    <w:p>
      <w:pPr>
        <w:spacing w:after="0" w:line="176" w:lineRule="exact"/>
        <w:rPr>
          <w:sz w:val="20"/>
          <w:szCs w:val="20"/>
          <w:color w:val="auto"/>
        </w:rPr>
      </w:pPr>
    </w:p>
    <w:p>
      <w:pPr>
        <w:jc w:val="both"/>
        <w:ind w:left="1120" w:hanging="464"/>
        <w:spacing w:after="0" w:line="261"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Product and Service Offerings</w:t>
      </w:r>
      <w:r>
        <w:rPr>
          <w:rFonts w:ascii="Times New Roman" w:cs="Times New Roman" w:eastAsia="Times New Roman" w:hAnsi="Times New Roman"/>
          <w:sz w:val="18"/>
          <w:szCs w:val="18"/>
          <w:color w:val="auto"/>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p>
      <w:pPr>
        <w:spacing w:after="0" w:line="180" w:lineRule="exact"/>
        <w:rPr>
          <w:rFonts w:ascii="Times New Roman" w:cs="Times New Roman" w:eastAsia="Times New Roman" w:hAnsi="Times New Roman"/>
          <w:sz w:val="18"/>
          <w:szCs w:val="18"/>
          <w:color w:val="auto"/>
        </w:rPr>
      </w:pPr>
    </w:p>
    <w:p>
      <w:pPr>
        <w:jc w:val="both"/>
        <w:ind w:left="1120" w:hanging="464"/>
        <w:spacing w:after="0" w:line="266"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Into New Geographic Areas</w:t>
      </w:r>
      <w:r>
        <w:rPr>
          <w:rFonts w:ascii="Times New Roman" w:cs="Times New Roman" w:eastAsia="Times New Roman" w:hAnsi="Times New Roman"/>
          <w:sz w:val="18"/>
          <w:szCs w:val="18"/>
          <w:color w:val="auto"/>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p>
      <w:pPr>
        <w:spacing w:after="0" w:line="176" w:lineRule="exact"/>
        <w:rPr>
          <w:rFonts w:ascii="Times New Roman" w:cs="Times New Roman" w:eastAsia="Times New Roman" w:hAnsi="Times New Roman"/>
          <w:sz w:val="18"/>
          <w:szCs w:val="18"/>
          <w:color w:val="auto"/>
        </w:rPr>
      </w:pPr>
    </w:p>
    <w:p>
      <w:pPr>
        <w:ind w:left="1120" w:hanging="464"/>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New Rush Truck Centers in Existing Areas of Operation</w:t>
      </w:r>
      <w:r>
        <w:rPr>
          <w:rFonts w:ascii="Times New Roman" w:cs="Times New Roman" w:eastAsia="Times New Roman" w:hAnsi="Times New Roman"/>
          <w:sz w:val="18"/>
          <w:szCs w:val="18"/>
          <w:color w:val="auto"/>
        </w:rPr>
        <w:t>. We continually evaluate opportunities to increase our market presence by adding new Rush Truck Centers within our current franchises’ areas of operation.</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Our Dealerships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Rush Truck Centers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Rush Truck Centers are responsible for sales of new and used commercial vehicles, as well as related parts and services.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Aftermarket Products and Services</w:t>
      </w:r>
      <w:r>
        <w:rPr>
          <w:rFonts w:ascii="Times New Roman" w:cs="Times New Roman" w:eastAsia="Times New Roman" w:hAnsi="Times New Roman"/>
          <w:sz w:val="18"/>
          <w:szCs w:val="18"/>
          <w:color w:val="auto"/>
        </w:rPr>
        <w:t>. Revenues from Aftermarket Products and Services accounted for approximately $1,670.1 million, or 30.3%, of our total revenues for 2018, and 63.4% of our gross profit. Our Aftermarket Products and Services enable our sales function and are a source of recurring revenue.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service departments perform warranty and non-warranty repairs on commercial vehicles. The cost of warranty work is generally reimbursed by the applicable manufacturer at retail commercial rates. Warranty-related parts and service revenues accounted for approximately $121.9 million, or 2.2%, of our total revenues for 2018. Additionally, we provide a wide array of services, including assembly services for specialized commercial vehicle bodies and commercial vehicle mounted equipment. Our goal is to provide our customers any service that they need related to their commercial vehicles.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leasing and rental operations, we also enter into contracts to provide full-service maintenance on certain customers’ vehicles. We had 1,094 vehicles under contract maintenance as of December 31, 2018, and 1,189 vehicles under contract maintenance as of December 31, 2017. The full-service maintenance revenues and retail service revenues are included as Aftermarket Products and Services revenues on our Consolidated Statements of Income.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New Commercial Vehicle Sales</w:t>
      </w:r>
      <w:r>
        <w:rPr>
          <w:rFonts w:ascii="Times New Roman" w:cs="Times New Roman" w:eastAsia="Times New Roman" w:hAnsi="Times New Roman"/>
          <w:sz w:val="18"/>
          <w:szCs w:val="18"/>
          <w:color w:val="auto"/>
        </w:rPr>
        <w:t>. New commercial vehicle sales represent the largest portion of our revenues, accounting for approximately $3,198.5 million, or 58.1%, of our total revenues in 2018. Of this total, new Class 8 heavy-duty truck sales accounted for approximately $2,120.5 million, or 38.5%, of our total revenues for 2018, and 66.3% of our new commercial vehicle revenues for 2018.</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Rush Truck Centers that sell new and used Class 8 heavy-duty trucks manufactured by Peterbilt or International may also sell medium-duty and light-duty commercial vehicles. Certain Rush Truck Centers sell medium-duty commercial vehicles manufactured by Peterbilt, Hino, Isuzu, Ford, International or Mitsubishi Fuso, buses manufactured by Blue Bird, IC Bus or Elkhart and light-duty commercial vehicles manufactured by Ford (see Part I, Item 1, “General – </w:t>
      </w:r>
      <w:r>
        <w:rPr>
          <w:rFonts w:ascii="Times New Roman" w:cs="Times New Roman" w:eastAsia="Times New Roman" w:hAnsi="Times New Roman"/>
          <w:sz w:val="18"/>
          <w:szCs w:val="18"/>
          <w:i w:val="1"/>
          <w:iCs w:val="1"/>
          <w:color w:val="auto"/>
        </w:rPr>
        <w:t>Rush Truck Centers</w:t>
      </w:r>
      <w:r>
        <w:rPr>
          <w:rFonts w:ascii="Times New Roman" w:cs="Times New Roman" w:eastAsia="Times New Roman" w:hAnsi="Times New Roman"/>
          <w:sz w:val="18"/>
          <w:szCs w:val="18"/>
          <w:color w:val="auto"/>
        </w:rPr>
        <w:t>” for information on which brands we sell at each Rush Truck Center). New medium-duty commercial vehicle sales, excluding new bus sales, accounted for approximately $841.1 million, or 15.3%, of our total revenues for 2018, and 26.3% of our new commercial vehicle revenues for 2018. New light-duty commercial vehicle sales accounted for approximately $86.7 million, or 1.6%, of our total revenues for 2018, and 2.7% of our new commercial vehicle revenues for 2018. New bus sales accounted for approximately $130.2 million, or 2.4%, of our total revenues for 2018, and 4.1% of our new commercial vehicle revenues for 2018.</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Used Commercial Vehicle Sales</w:t>
      </w:r>
      <w:r>
        <w:rPr>
          <w:rFonts w:ascii="Times New Roman" w:cs="Times New Roman" w:eastAsia="Times New Roman" w:hAnsi="Times New Roman"/>
          <w:sz w:val="18"/>
          <w:szCs w:val="18"/>
          <w:color w:val="auto"/>
        </w:rPr>
        <w:t>. Used commercial vehicle sales accounted for approximately $360.1 million, or 6.5%, of our total revenues for 2018. We sell used commercial vehicles at most of our Rush Truck Centers and also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Vehicle Leasing and Rental</w:t>
      </w:r>
      <w:r>
        <w:rPr>
          <w:rFonts w:ascii="Times New Roman" w:cs="Times New Roman" w:eastAsia="Times New Roman" w:hAnsi="Times New Roman"/>
          <w:sz w:val="18"/>
          <w:szCs w:val="18"/>
          <w:color w:val="auto"/>
        </w:rPr>
        <w:t>. Vehicle leasing and rental revenues accounted for approximately $238.2 million, or 4.3%, of our total revenues for 2018. At our Rush Truck Leasing locations, we engage in full-service commercial vehicle leasing through PacLease and Idealease. Rental vehicles are also generally serviced at our facilities. We had 8,092 vehicles in our lease and rental fleet, including cranes, as of December 31, 2018, compared to 7,993 vehicles as of December 31, 2017. Generally, we sell commercial vehicles that have been retired from our lease and rental fleet through our used commercial vehicles sales operations. Historically, we have realized gains on the sale of used lease and rental commercial vehicles.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New and Used Commercial Vehicle Financing and Insurance</w:t>
      </w:r>
      <w:r>
        <w:rPr>
          <w:rFonts w:ascii="Times New Roman" w:cs="Times New Roman" w:eastAsia="Times New Roman" w:hAnsi="Times New Roman"/>
          <w:sz w:val="18"/>
          <w:szCs w:val="18"/>
          <w:color w:val="auto"/>
        </w:rPr>
        <w:t>. The sale of financial and insurance products accounted for approximately $20.6 million, or 0.4%, of our total revenues for 2018. Finance and insurance revenues have minimal direct costs and therefore, contribute a disproportionate share to our operating profits.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Rush Truck Centers have personnel responsible for arranging third-party financing for our product offerings. Generally, commercial vehicle finance contracts involve an installment contract, which is secured by the commercial vehicle financed, and require a down payment, with the remaining balance generally financed over a two-year to seven-year period. The majority of these finance contracts are sold to third parties without recourse to us. We provide an allowance for repossession losses and early repayment penalties that we may incur under these finance contracts.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as agent, a complete line of property and casualty insurance to commercial vehicle owners. Our agency, which operates at locations around the United States outside of our Rush Truck Centers, is licensed to sell commercial vehicle liability, collision and comprehensive, workers’ compensation, cargo, and credit life insurance coverage offered by a number of leading insurance companies. Our renewal rate in 2018 was approximately 86%. We also have licensed insurance agents at several Rush Truck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established history of operations in the commercial vehicle business has resulted in a strong customer base that is diverse in terms of geography, industry and scale of operations. Our customers include regional and national truck fleets, corporations, local and state governments and owner-operators. During 2018, no single customer accounted for more than 10% of our sales by dollar volume. We generally promote our products and related services through direct customer contact by our sales personnel and advertising.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Management</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Personnel. </w:t>
      </w:r>
      <w:r>
        <w:rPr>
          <w:rFonts w:ascii="Times New Roman" w:cs="Times New Roman" w:eastAsia="Times New Roman" w:hAnsi="Times New Roman"/>
          <w:sz w:val="18"/>
          <w:szCs w:val="18"/>
          <w:color w:val="auto"/>
        </w:rPr>
        <w:t>Each of our facilities is typically managed by a general manager who oversees the operations, personnel and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Compliance with Policies and Procedures. </w:t>
      </w:r>
      <w:r>
        <w:rPr>
          <w:rFonts w:ascii="Times New Roman" w:cs="Times New Roman" w:eastAsia="Times New Roman" w:hAnsi="Times New Roman"/>
          <w:sz w:val="18"/>
          <w:szCs w:val="18"/>
          <w:color w:val="auto"/>
        </w:rPr>
        <w:t>Each Rush Truck Center is audited regularly for compliance with corporate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spacing w:after="0" w:line="1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Purchasing and Suppliers. </w:t>
      </w:r>
      <w:r>
        <w:rPr>
          <w:rFonts w:ascii="Times New Roman" w:cs="Times New Roman" w:eastAsia="Times New Roman" w:hAnsi="Times New Roman"/>
          <w:sz w:val="18"/>
          <w:szCs w:val="18"/>
          <w:color w:val="auto"/>
        </w:rPr>
        <w:t>Because of our size, we benefit from volume purchases at favorable prices that permit us to achieve a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Vehicle Inventory Management. </w:t>
      </w:r>
      <w:r>
        <w:rPr>
          <w:rFonts w:ascii="Times New Roman" w:cs="Times New Roman" w:eastAsia="Times New Roman" w:hAnsi="Times New Roman"/>
          <w:sz w:val="18"/>
          <w:szCs w:val="18"/>
          <w:color w:val="auto"/>
        </w:rPr>
        <w:t>We utilize our management information systems to monitor the inventory level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at each of our dealerships and transfer new and used commercial vehicle inventory among Rush Truck Centers as needed.</w:t>
      </w:r>
    </w:p>
    <w:p>
      <w:pPr>
        <w:spacing w:after="0" w:line="15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Parts Distribution and Inventory Management. </w:t>
      </w:r>
      <w:r>
        <w:rPr>
          <w:rFonts w:ascii="Times New Roman" w:cs="Times New Roman" w:eastAsia="Times New Roman" w:hAnsi="Times New Roman"/>
          <w:sz w:val="18"/>
          <w:szCs w:val="18"/>
          <w:color w:val="auto"/>
        </w:rPr>
        <w:t>We utilize a parts inventory distribution and management system that allows for the prompt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parts inventory among various Rush Truck Centers. The transfer of inventory reduces delays in delivery, helps maximize inventory turns and assists in controlling problems created by overstock and understock situations.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14, 2017, we acquired certain assets of Transwest San Diego, LLC, which included a Ford truck franchise in San Diego, California. The transaction was valued at approximately $2.2 million, with the purchase price paid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keep customers’ vehicles operational, which is dependent on the accessibility of dealership locations;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value, quality and design of the products sold;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attention to customer service (including technical service).</w:t>
      </w:r>
    </w:p>
    <w:p>
      <w:pPr>
        <w:spacing w:after="0" w:line="2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dealerships compete with dealerships representing other manufacturers, including commercial vehicles manufactured by Mack, Freightliner, Kenworth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Dealership Agreements</w:t>
      </w:r>
    </w:p>
    <w:p>
      <w:pPr>
        <w:spacing w:after="0" w:line="22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Peterbilt. </w:t>
      </w:r>
      <w:r>
        <w:rPr>
          <w:rFonts w:ascii="Times New Roman" w:cs="Times New Roman" w:eastAsia="Times New Roman" w:hAnsi="Times New Roman"/>
          <w:sz w:val="18"/>
          <w:szCs w:val="18"/>
          <w:color w:val="auto"/>
        </w:rPr>
        <w:t>We have entered into nonexclusive dealership agreements with Peterbilt that authorize us to act as a dealer of Peterbilt heavy-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medium-duty trucks. Our Peterbilt areas of responsibility currently encompass areas in the states of Alabama, Arizona, California, Colorado, Florida, Kentucky, New Mexico, Nevada, Oklahoma, Tennessee and Texas. These dealership agreements currently have terms expiring between March 2019 and January 2022 and impose certain operational obligations and financial requirements upon us and our dealerships. Our dealership agreements with Peterbilt may be terminated by Peterbilt in the event that the aggregate voting power of the estate of W. Marvin Rush, W.M. “Rusty” Rush, other members of the Rush family and certain executives of the Company decreases below 22%. Sales of new Peterbilt commercial vehicles accounted for approximately 36.3% of our total revenues for 2018.</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2" w:right="57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We have entered into nonexclusive dealership agreements with Navistar that authorize us to act as a dealer of International heavy-and medium-duty trucks and, in certain markets, IC buses. Our Navistar areas of responsibility currently encompass areas in the states of Georgia, Idaho, Illinois, Indiana, Missouri, North Carolina, Ohio, Utah and Virginia. These dealership agreements currently have terms expiring between May 2020 and October 2023 and impose certain operational obligations and financial requirements upon us and our dealerships. Sales of new International commercial vehicles accounted for approximately 10.3% of our total revenues for 2018.</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Commercial Vehicle Suppliers. </w:t>
      </w:r>
      <w:r>
        <w:rPr>
          <w:rFonts w:ascii="Times New Roman" w:cs="Times New Roman" w:eastAsia="Times New Roman" w:hAnsi="Times New Roman"/>
          <w:sz w:val="18"/>
          <w:szCs w:val="18"/>
          <w:color w:val="auto"/>
        </w:rPr>
        <w:t>In addition to our dealership agreements with Peterbilt and Navistar, various Rush Truck Centers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dealership agreements with other commercial vehicle manufacturers, including Blue Bird, Micro Bird and Mitsubishi Fuso, which currently have terms expiring between August 2019 and August 2023 and Ford, Hino and Isuzu, which have perpetual terms. These dealership agreements impose operating requirements upon us and require consent from the affected supplier for the sale or transfer of our franchise. Sales of new non-Peterbilt and non-International commercial vehicles accounted for approximately 11.5% of our total revenues for 2018.</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Floor Plan Financing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a credit agreement (the “Floor Plan Credit Agreement”) with BMO Harris Bank N.A. (“BMO Harris”).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1.0% of the aggregate revolving loan commitments if such termination occurs prior to the June 30, 2019 expiration date, subject to specified limited exceptions. On December 31, 2018, we had approximately $798.4 million outstanding under the Floor Plan Credit Agreement. The average daily outstanding borrowings under the Floor Plan Credit Agreement were $682.8 million during the year ended December 31, 2018.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December 31, 2018, the interest rate on the wholesale financing agreement was 7.0% before considering the applicable incentives. As of December 31, 2018, we had an outstanding balance of approximately $139.0 million under the Ford Motor Credit Company wholesale financing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and the fuel systems manufactured by Momentum Fuel Technologies. We also provide an extended warranty beyond the manufacturer’s warranty on new Blue Bird school buses that we sell in the State of Texas, as required by state law.</w:t>
      </w:r>
    </w:p>
    <w:p>
      <w:pPr>
        <w:spacing w:after="0" w:line="1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we offer for sale third-party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and “Momentum Fuel Technologies.”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31, 2018, we had 7,214 employees.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collective bargaining agreements covering certain employees in Carol Stream, Illinois, which will expire on May 4, 2019, Joliet, Illinois, which will expire on May 7, 2020, and Chicago, Illinois, which will expire on May 8, 2021.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strikes, work stoppages or slowdowns during the negotiations of the foregoing collective bargaining agreements or at any time in the Company’s history, although no assurances can be given that such actions will not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2018, our backlog of commercial vehicle orders was approximately $1,934.9 million, compared to a backlog of commercial vehicle orders of approximately $1,074.4 million on December 31, 2017.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2018, and we expect to fill the majority of our backlog orders during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upon PACCAR for the supply of Peterbilt trucks and parts, the sale of which generates the majority of our 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2018,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0" w:lineRule="exact"/>
        <w:rPr>
          <w:sz w:val="20"/>
          <w:szCs w:val="20"/>
          <w:color w:val="auto"/>
        </w:rPr>
      </w:pPr>
    </w:p>
    <w:p>
      <w:pPr>
        <w:ind w:left="800" w:hanging="46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Peterbilt;</w:t>
      </w:r>
    </w:p>
    <w:p>
      <w:pPr>
        <w:spacing w:after="0" w:line="225" w:lineRule="exact"/>
        <w:rPr>
          <w:rFonts w:ascii="Times New Roman" w:cs="Times New Roman" w:eastAsia="Times New Roman" w:hAnsi="Times New Roman"/>
          <w:sz w:val="18"/>
          <w:szCs w:val="18"/>
          <w:color w:val="auto"/>
        </w:rPr>
      </w:pPr>
    </w:p>
    <w:p>
      <w:pPr>
        <w:ind w:left="800" w:hanging="468"/>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competitively-priced, technologically current, high quality Peterbilt trucks in quantities sufficient to meet our requirements;</w:t>
      </w:r>
    </w:p>
    <w:p>
      <w:pPr>
        <w:spacing w:after="0" w:line="161"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PACCAR and Peterbilt;</w:t>
      </w:r>
    </w:p>
    <w:p>
      <w:pPr>
        <w:spacing w:after="0" w:line="225"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PACCAR’s continuation of its Peterbilt division; and</w:t>
      </w:r>
    </w:p>
    <w:p>
      <w:pPr>
        <w:spacing w:after="0" w:line="225" w:lineRule="exact"/>
        <w:rPr>
          <w:rFonts w:ascii="Times New Roman" w:cs="Times New Roman" w:eastAsia="Times New Roman" w:hAnsi="Times New Roman"/>
          <w:sz w:val="18"/>
          <w:szCs w:val="18"/>
          <w:color w:val="auto"/>
        </w:rPr>
      </w:pPr>
    </w:p>
    <w:p>
      <w:pPr>
        <w:ind w:left="800" w:hanging="468"/>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Peterbilt brand, which can be adversely affected by decisions made by PACCAR, Peterbilt and the owners of other Peterbilt dealerships.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PACCAR, could have a material adverse effect on our operations, revenues and profitability.</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upon Navistar for the supply of International trucks and parts and IC buses and parts, the sale of which generate a significant portion of our revenues.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2018,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4" w:lineRule="exact"/>
        <w:rPr>
          <w:sz w:val="20"/>
          <w:szCs w:val="20"/>
          <w:color w:val="auto"/>
        </w:rPr>
      </w:pPr>
    </w:p>
    <w:p>
      <w:pPr>
        <w:ind w:left="800" w:hanging="46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International and IC Bus;</w:t>
      </w:r>
    </w:p>
    <w:p>
      <w:pPr>
        <w:spacing w:after="0" w:line="225" w:lineRule="exact"/>
        <w:rPr>
          <w:rFonts w:ascii="Times New Roman" w:cs="Times New Roman" w:eastAsia="Times New Roman" w:hAnsi="Times New Roman"/>
          <w:sz w:val="18"/>
          <w:szCs w:val="18"/>
          <w:color w:val="auto"/>
        </w:rPr>
      </w:pPr>
    </w:p>
    <w:p>
      <w:pPr>
        <w:ind w:left="800" w:right="20" w:hanging="468"/>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competitively-priced, technologically current, high quality International trucks and IC buses in quantities sufficient to meet our requirements;</w:t>
      </w:r>
    </w:p>
    <w:p>
      <w:pPr>
        <w:spacing w:after="0" w:line="161"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Navistar; and</w:t>
      </w:r>
    </w:p>
    <w:p>
      <w:pPr>
        <w:spacing w:after="0" w:line="225" w:lineRule="exact"/>
        <w:rPr>
          <w:rFonts w:ascii="Times New Roman" w:cs="Times New Roman" w:eastAsia="Times New Roman" w:hAnsi="Times New Roman"/>
          <w:sz w:val="18"/>
          <w:szCs w:val="18"/>
          <w:color w:val="auto"/>
        </w:rPr>
      </w:pPr>
    </w:p>
    <w:p>
      <w:pPr>
        <w:ind w:left="800" w:hanging="468"/>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Navistar, could have a material adverse effect on our operations, revenues and profitability.</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the estate of W. Marvin Rush, W. M. “Rusty” Rush, Barbara Rush, Robin M. Rush, David C. Orf, James Thor, Martin A. Naegelin, Scott Anderson, Derrek Weaver, Steven Keller, Corey Lowe and Rich Ryan (collectively, the “Dealer Principals”) decreases below 22% (such persons controlled 39.2% of the aggregate voting power with respect to the election of directors as of December 31, 2018);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W.M. “Rusty” Rush, Robin M. Rush or any person who has been approved in writing by PACCAR holds the office of Chairman of the Board, President or Chief Executive Officer of the Company. We have no control over the transfer or disposition by the estate of W. Marvin Rush or W.M. “Rusty” Rush, or his estate, of their common stock. If the estate of W. Marvin Rush or W.M. “Rusty” Rush were to sell their Class B Common Stock or bequest their Class B Common Stock to a person or entity other than the Dealer Principals, or if their estates are required to liquidate their Class B Common Stock that they own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are non-exclusive and have relatively short terms which could result in nonrenewal or imposition of less favorable terms upon renewal.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dealership agreements with the manufacturers we represent have current terms expiring between March 2019 and October 2023.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Navistar dealership agreements, would have an adverse impact on our business.</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state dealer laws are repealed or weakened, our dealerships will be more susceptible to termination, nonrenewal or renegotiation of their dealership agreements.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required to obtain additional financing to maintain adequate inventory levels.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 the Floor Plan Credit Agreement, expires on June 30, 2019, and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interest rates could have a material adverse effect on our profitability.</w:t>
      </w:r>
    </w:p>
    <w:p>
      <w:pPr>
        <w:spacing w:after="0" w:line="227" w:lineRule="exact"/>
        <w:rPr>
          <w:sz w:val="20"/>
          <w:szCs w:val="20"/>
          <w:color w:val="auto"/>
        </w:rPr>
      </w:pPr>
    </w:p>
    <w:p>
      <w:pPr>
        <w:jc w:val="both"/>
        <w:ind w:firstLine="332"/>
        <w:spacing w:after="0" w:line="258" w:lineRule="auto"/>
        <w:rPr>
          <w:sz w:val="20"/>
          <w:szCs w:val="20"/>
          <w:color w:val="auto"/>
        </w:rPr>
      </w:pPr>
      <w:r>
        <w:rPr>
          <w:rFonts w:ascii="Times New Roman" w:cs="Times New Roman" w:eastAsia="Times New Roman" w:hAnsi="Times New Roman"/>
          <w:sz w:val="18"/>
          <w:szCs w:val="18"/>
          <w:color w:val="auto"/>
        </w:rPr>
        <w:t>Our Floor Plan Credit Agreement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in the carrying value of goodwill and other indefinite-lived intangible assets could negatively affect our operating results.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is subject to a number of economic risks.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Economic conditions and the other factors described above also may materially adversely impact our sales of parts and repair services, and finance and insurance products.</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dollar amount of our backlog, as stated at any given time, is not necessarily indicative of our future earnings.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our backlog of new commercial vehicle orders was approximately $1,934.9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strategies may be unsuccessful if we are unable to successfully execute our strategic initiatives or identify and complete future acquisitions.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dealerships are subject to federal, state and local environmental regulations that may result in claims and liabilities, which could be material.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to our information technology systems and breaches in data security could adversely affect our business.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upon our information technology systems to manage all aspects of our business, including processing and recording sales to, and payments from, customers, managing inventory, communicating with manufacturers and vendors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Despite the security measures we have in place, our facilities and systems, and those of our third-party service providers, could be vulnerable to security breaches, computer viruses, lost or misplaced data, programming errors, human errors, acts of vandalism or other events. Any security breach or event resulting in the misappropriation, loss, or other unauthorized disclosure of confidential information, whether by us directly or our third-party service providers, could adversely affect our business operations, sales, reputation with current and potential customers, associates or vendors and result in litigation or regulatory actions, all of which could have a material adverse effect on our business and reputation.</w:t>
      </w:r>
    </w:p>
    <w:p>
      <w:pPr>
        <w:spacing w:after="0" w:line="1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Technological advances in the commercial vehicle industry, including drivetrain electrification or other alternative fuel technologies, in the long-term could have a material adverse effect on our business.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commercial vehicle industry is predicted to experience change over the long-term.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uncertain, as there are many factors that are unknowable at this time, including when such vehicles may be commercially available at price points that would lead to their widespread adoption. Similarly, although we are aware of ongoing efforts to facilitate the development of driverless commercial vehicles, the eventual timing of the availability of driverless commercial vehicles is uncertain due to regulatory requirements and additional technological requirements. The effect of driverless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disasters and adverse weather events can disrupt our business.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controlled by two shareholders and their affiliates.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Collectively, the estate of W. Marvin Rush and W. M. “Rusty” Rush and their affiliates own approximately 0.7% of our issued and outstanding shares of Class A Common Stock and 45.9% of our issued and outstanding Class B Common Stock. The estate of W. Marvin Rush and W.M. “Rusty” Rush collectively control approximately 36.6% of the aggregate voting power of our outstanding shares and voting power, which is substantially more than any other person or group. The interests of the estate of W. Marvin Rush and W.M. “Rusty” Rush may not be consistent with the interests of all shareholders, or each other. As a result of such ownership, the estate of W. Marvin Rush and W.M. “Rusty” Rush have the power to effectively control the Company, including the election of directors, the determination of matters requiring shareholder approval and other matters pertaining to corporate governance.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 agreements could discourage another company from acquiring us.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W. Marvin Rush and W.M. “Rusty” Rush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the estate of W. Marvin Rush, certain shares of his Class B Common Stock of the Company are exempt from his rights of first refusal agreement. These rights of first refusal, the number of shares owned by the estate of W. Marvin Rush and W.M. “Rusty” Rush and their affiliates, the requirement in our dealership agreements that the Dealer Principals retain a controlling interest in us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has limited voting power.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volume of trading in our Class B Common Stock varies greatly and may often be light. As of December 31, 2018, the three-month average daily trading volume of our Class B Common Stock was approximately 6,900 shares, with twenty-five days having a trading volume below 5,000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New Braunfels, Texas. As of December 2018, we also own or lease numerous facilities used in our operations in the following states: Alabama, Arizona, California, Colorado, Florida, Georgia, Idaho, Illinois, Indiana, Kansas, Kentucky, Missouri, New Mexico, Nebraska, Nevada, North Carolina, Ohio, Oklahoma, Pennsylvania, Tennessee, Texas, Utah and Virginia.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 hangar in New Braunfels, Texas for the corporate aircraft. We also own and operate a guest ranch of approximately 9,500 acres near Cotulla, Texas, which is used for client development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jc w:val="center"/>
        <w:ind w:right="864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233" w:lineRule="exact"/>
        <w:rPr>
          <w:sz w:val="20"/>
          <w:szCs w:val="20"/>
          <w:color w:val="auto"/>
        </w:rPr>
      </w:pPr>
    </w:p>
    <w:p>
      <w:pPr>
        <w:jc w:val="both"/>
        <w:ind w:right="360" w:firstLine="648"/>
        <w:spacing w:after="0" w:line="23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under the symbols RUSHA and RUSHB. During 2018, our Board of Directors approved two quarterly cash dividends on all outstanding shares of common stock totaling $0.24 per share. We expect to continue paying cash dividends on a quarterly basis. However, there is no assurance as to the payment of future dividends because the declaration and payment of such dividends is subject to the business judgment of our Board of Directors and will depend on historic and projected earnings, capital requirements, covenant compliance, financial conditions and such other factors as the Board of Directors deems relevant.</w:t>
      </w:r>
    </w:p>
    <w:p>
      <w:pPr>
        <w:spacing w:after="0" w:line="200" w:lineRule="exact"/>
        <w:rPr>
          <w:sz w:val="20"/>
          <w:szCs w:val="20"/>
          <w:color w:val="auto"/>
        </w:rPr>
      </w:pPr>
    </w:p>
    <w:p>
      <w:pPr>
        <w:jc w:val="both"/>
        <w:ind w:right="360" w:firstLine="648"/>
        <w:spacing w:after="0" w:line="283"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for our Class A Common Stock and Class B Common Stock for the fiscal periods indicated and as quoted on The NASDAQ Global Select Market</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and dividends declared.</w:t>
      </w:r>
    </w:p>
    <w:p>
      <w:pPr>
        <w:spacing w:after="0" w:line="34"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Dividends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Dividends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Low</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169"/>
        </w:trPr>
        <w:tc>
          <w:tcPr>
            <w:tcW w:w="20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Class B Common Stock</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February 8, 2019, there were approximately 20 record holders of Class A Common Stock and approximately 26 record holders of Class B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2018, we have not sold any securities in the last three years that were not registered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stock repurchase activity for the fourth quarter of 2018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2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2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4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 Programs (3)</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 2018</w:t>
            </w:r>
          </w:p>
        </w:tc>
        <w:tc>
          <w:tcPr>
            <w:tcW w:w="1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28,622</w:t>
            </w:r>
          </w:p>
        </w:tc>
        <w:tc>
          <w:tcPr>
            <w:tcW w:w="13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37.19</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28,622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13,333,871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November 1 – November 30,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37.76</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115,978,935</w:t>
            </w:r>
          </w:p>
        </w:tc>
      </w:tr>
      <w:tr>
        <w:trPr>
          <w:trHeight w:val="21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 2018</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942,848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33.75</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84,134,070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84,134,070</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660" w:right="38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and Class B Common Stock repurchased by us.</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shares in 2018 under a stock repurchase program announced on November 30, 2017, which authorized the repurchase of up to $40.0 million of our shares of Class A Common Stock and/or Class B Common Stock. On March 14, 2018, we announced the approval of an increase of $35.0 million to the stock repurchase program, up to an aggregate of $75.0 million of our shares. On October 31, 2018, our Board of Directors terminated the prior $75 million stock repurchase program and approved a new stock repurchase program authorizing management to repurchase, from time to time, up to an aggregate of $150.0 million of our shares of Class A Common Stock and/or Class B Common Stock. The current stock repurchase program expires on December 31, 2019, and may be suspended or discontinued at any time.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28,622 shares of Class B Common Stock at an average price paid per share of $37.19.</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878,984 shares of Class A Common Stock at an average price paid per share of $37.75 and 21,191 shares of Class B Common Stock at an average price paid per share of $38.36.</w:t>
      </w:r>
    </w:p>
    <w:p>
      <w:pPr>
        <w:ind w:left="66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924,413 shares of Class A Common Stock at an average price paid per share of $33.72 and 18,435 shares of Class B Common Stock at an average price paid per share of $35.02.</w:t>
      </w:r>
    </w:p>
    <w:p>
      <w:pPr>
        <w:spacing w:after="0" w:line="1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27" w:lineRule="exact"/>
        <w:rPr>
          <w:sz w:val="20"/>
          <w:szCs w:val="20"/>
          <w:color w:val="auto"/>
        </w:rPr>
      </w:pPr>
    </w:p>
    <w:p>
      <w:pPr>
        <w:jc w:val="both"/>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shows the cumulative 5-Year total return as of December 31, 2018, of a $100 investment in the Company’s common stock made on December 31, 2013 (with dividends reinvested), as compared with similar investments based on (i) the cumulative total returns of the S&amp;P 500 Index (with dividends reinvested) and (ii) the cumulative total returns of a market-weighted Peer Group Index composed of the common stock of PACCAR, Inc., Werner Enterprises, Inc., Penske Automotive Group, Inc. and Lithia Motors, Inc., assuming reinvestment of dividends. The market-weighted Peer Group Index values were calculated from the beginning of the performance period. The historical stock price performance shown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-5715</wp:posOffset>
            </wp:positionV>
            <wp:extent cx="4579620" cy="359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9620"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December 31,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117.40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The stock price performance included in this graph is not necessarily indicative of future stock price performance.</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1" w:right="4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right="320" w:firstLine="648"/>
        <w:spacing w:after="0" w:line="255" w:lineRule="auto"/>
        <w:rPr>
          <w:sz w:val="20"/>
          <w:szCs w:val="20"/>
          <w:color w:val="auto"/>
        </w:rPr>
      </w:pPr>
      <w:r>
        <w:rPr>
          <w:rFonts w:ascii="Times New Roman" w:cs="Times New Roman" w:eastAsia="Times New Roman" w:hAnsi="Times New Roman"/>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gridSpan w:val="9"/>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OF INCOME STATEMENT DATA</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3,558,637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2,993,015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3,360,808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1,670,052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1,471,266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1,382,447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238,238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217,356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208,154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199,867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18,582</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15,503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5,506,190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4,713,882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4,214,614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4,979,733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4,727,356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4,527,921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3,883,946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3,496,602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4,194,786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3,971,310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829,936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718,012</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784,947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705,226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631,053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587,778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619,268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51,261</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148,709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80,728</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121,276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14,279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183,169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136,399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66,449</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25,867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139,062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172,129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40,582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66,053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39,938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40,603</w:t>
            </w: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40,894</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Unit vehicle sales −</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vehicles</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29,776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23,627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27,459</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Used vehicles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7,893</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 vehicles sales</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37,797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32,756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30,635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35,352</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vehicle lease and rental units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7,841</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6,876</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194,649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202,891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118,318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1,339,923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1,033,294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840,304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1,061,198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3,201,350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2,890,139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2,852,008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Floor plan notes payable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1,023,019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646,945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854,758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604,003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647,755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including current portion</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84,493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1,066,928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1,040,373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862,825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844,897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764,339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360" w:firstLine="648"/>
        <w:spacing w:after="0" w:line="256"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Mitsubishi Fuso, IC Bus or Blue Bird. Through our strategically located network of Rush Truck Centers, we provide one-stop service for the needs of our commercial vehicle customers. We offer an integrated approach to meeting customer needs by providing service, parts and collision repair in addition to new and used commercial vehicle sales and leasing, insurance and financial services, vehicle upfitting, CNG fuel systems and vehicle telematics products.</w:t>
      </w:r>
    </w:p>
    <w:p>
      <w:pPr>
        <w:spacing w:after="0" w:line="188"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0"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63.4% of our total gross profits in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2018</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for the year ended December 31, 2018 are summarized below as follows:</w:t>
      </w:r>
    </w:p>
    <w:p>
      <w:pPr>
        <w:spacing w:after="0" w:line="225" w:lineRule="exact"/>
        <w:rPr>
          <w:sz w:val="20"/>
          <w:szCs w:val="20"/>
          <w:color w:val="auto"/>
        </w:rPr>
      </w:pPr>
    </w:p>
    <w:p>
      <w:pPr>
        <w:ind w:left="1120" w:hanging="464"/>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revenues totaled $5,506.2 million in 2018, a 16.8% increase from gross revenues of $4,713.9 million in 2017.</w:t>
      </w:r>
    </w:p>
    <w:p>
      <w:pPr>
        <w:spacing w:after="0" w:line="225" w:lineRule="exact"/>
        <w:rPr>
          <w:rFonts w:ascii="Times New Roman" w:cs="Times New Roman" w:eastAsia="Times New Roman" w:hAnsi="Times New Roman"/>
          <w:sz w:val="18"/>
          <w:szCs w:val="18"/>
          <w:color w:val="auto"/>
        </w:rPr>
      </w:pPr>
    </w:p>
    <w:p>
      <w:pPr>
        <w:ind w:left="1120" w:right="360" w:hanging="464"/>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$148.3 million, or 17.9%, in 2018, compared to 2017. Gross profit as a percentage of sales increased to 17.8% in 2018, from 17.6% in 2017.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1120" w:hanging="46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8 heavy-duty unit sales, which accounted for 5.7% of the total U.S. market, increased 12.1% in 2018 over 2017.</w:t>
      </w:r>
    </w:p>
    <w:p>
      <w:pPr>
        <w:spacing w:after="0" w:line="225" w:lineRule="exact"/>
        <w:rPr>
          <w:rFonts w:ascii="Times New Roman" w:cs="Times New Roman" w:eastAsia="Times New Roman" w:hAnsi="Times New Roman"/>
          <w:sz w:val="18"/>
          <w:szCs w:val="18"/>
          <w:color w:val="auto"/>
        </w:rPr>
      </w:pPr>
    </w:p>
    <w:p>
      <w:pPr>
        <w:ind w:left="1120" w:right="40" w:hanging="464"/>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Class 4-7 medium-duty unit sales, which accounted for 5.0% of the total U.S. market, increased 18.2% over 2017. Light-duty truck unit sales increased 30.1% compared to 2017.</w:t>
      </w:r>
    </w:p>
    <w:p>
      <w:pPr>
        <w:spacing w:after="0" w:line="161" w:lineRule="exact"/>
        <w:rPr>
          <w:rFonts w:ascii="Times New Roman" w:cs="Times New Roman" w:eastAsia="Times New Roman" w:hAnsi="Times New Roman"/>
          <w:sz w:val="18"/>
          <w:szCs w:val="18"/>
          <w:color w:val="auto"/>
        </w:rPr>
      </w:pPr>
    </w:p>
    <w:p>
      <w:pPr>
        <w:ind w:left="1120" w:right="40" w:hanging="464"/>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Aftermarket Products and Services revenues increased $198.8 million, or 13.5%, to $1,670.1 million in 2018, compared to $1,471.3 million in 2017.</w:t>
      </w:r>
    </w:p>
    <w:p>
      <w:pPr>
        <w:spacing w:after="0" w:line="161"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$74.2 million, or 11.8%, in 2018, compared to 2017.</w:t>
      </w:r>
    </w:p>
    <w:p>
      <w:pPr>
        <w:spacing w:after="0" w:line="225" w:lineRule="exact"/>
        <w:rPr>
          <w:rFonts w:ascii="Times New Roman" w:cs="Times New Roman" w:eastAsia="Times New Roman" w:hAnsi="Times New Roman"/>
          <w:sz w:val="18"/>
          <w:szCs w:val="18"/>
          <w:color w:val="auto"/>
        </w:rPr>
      </w:pPr>
    </w:p>
    <w:p>
      <w:pPr>
        <w:jc w:val="both"/>
        <w:ind w:left="1100" w:hanging="444"/>
        <w:spacing w:after="0" w:line="261" w:lineRule="auto"/>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full-service Peterbilt dealerships in Colorado Springs, Colorado, and Victoria and Beaumont, Texas. We also opened new parts and service locations in Adairsville and Savannah, Georgia, a used truck location in Miami, Florida, and a location in Memphis, Tennessee, which offers used truck sales as well as all-makes parts and service. In addition, we expanded our Rush Truck Leasing facility in Birmingham, Alabama to offer used trucks and all-makes parts.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Outlook</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According to A.C.T. Research Co., LLC (“A.C.T. Research”), a commercial vehicle industry data and forecasting service provider, U. S. Class 8 retail sales are estimated to total 259,500 units in 2019, a 1.5% increase compared to 255,711 units in 2018. We expect our market share of Class 8 commercial vehicle sales to range between 5.6% and 6.0% in 2019. This market share percentage would result in the sale of approximately 14,500 to 15,500 of Class 8 commercial vehicles in 2019, based on A.C.T. Research’s current U.S. retail sales estimate of 259,500 units.</w:t>
      </w:r>
    </w:p>
    <w:p>
      <w:pPr>
        <w:spacing w:after="0" w:line="18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According to A.C.T. Research, U. S. Class 4 through 7 retail sales are estimated to total 262,300 units in 2019, a 1.6% increase compared to 258,200 units in 2018. We expect our market share of Class 4 through 7 commercial vehicle sales to range between 5.1% and 5.4% in 2019. This market share percentage would result in the sale of approximately 13,300 to 14,200 of Class 4 through 7 commercial vehicles in 2019, based on A.C.T. Research’s current U.S. retail sales estimates of 262,300 units.</w:t>
      </w:r>
    </w:p>
    <w:p>
      <w:pPr>
        <w:spacing w:after="0" w:line="180"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2,200 light-duty vehicles and approximately 9,000 to 9,300 used commercial vehicles in 2019. We expect lease and rental revenue to increase 5% to 10% during 2019, compared to 2018.</w:t>
      </w:r>
    </w:p>
    <w:p>
      <w:pPr>
        <w:spacing w:after="0" w:line="16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We continue to make progress on strategic initiatives to increase our Aftermarket Products and Services revenue. We believe our Aftermarket Products and Services revenue will increase 9% to 11% in 2019, compared to 2018.</w:t>
      </w:r>
    </w:p>
    <w:p>
      <w:pPr>
        <w:spacing w:after="0" w:line="162"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On February 6, 2019, we announced that we had entered into an agreement with Tallman Group, the largest International dealership group in Canada, to form Rush Truck Centres of Canada Limited, which will operate Tallman Group’s network of commercial vehicle dealerships in the Province of Ontario, Canada. Under the terms of the agreement, which is subject to customary closing conditions, a subsidiary of ours will purchase 50% of the equity in Rush Truck Centres of Canada Limited for approximately CAD $30.0 million. The purchase price does not include any of the real estate, which will continue to be leased from the current owners of the real estate. We do not intend to consolidate Rush Truck Centres of Canada Limited as part of our Truck Segment for financial reporting purposes. Rush Truck Centres of Canada Limited will be accounted for as an equity method investment. We expect the transaction to close on February 25,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Absorption Ratio. </w:t>
      </w:r>
      <w:r>
        <w:rPr>
          <w:rFonts w:ascii="Times New Roman" w:cs="Times New Roman" w:eastAsia="Times New Roman" w:hAnsi="Times New Roman"/>
          <w:sz w:val="18"/>
          <w:szCs w:val="18"/>
          <w:color w:val="auto"/>
        </w:rPr>
        <w:t>Management uses several performance metrics to evaluate the performance of our commercial vehicle dealerships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considers Rush Truck Centers’ “absorption ratio” to be of critical importance. Absorption ratio is calculated by dividing the gross profit from the parts, service and collision center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122.4% absorption ratio for the year ended December 31, 2018 and 121.0% absorption ratio for the year ended December 31, 2017.</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111" w:right="55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of 2018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Effective January 1, 2018, we adopted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w:t>
      </w:r>
    </w:p>
    <w:p>
      <w:pPr>
        <w:spacing w:after="0" w:line="1" w:lineRule="exact"/>
        <w:rPr>
          <w:sz w:val="20"/>
          <w:szCs w:val="20"/>
          <w:color w:val="auto"/>
        </w:rPr>
      </w:pPr>
    </w:p>
    <w:p>
      <w:pPr>
        <w:jc w:val="both"/>
        <w:ind w:right="60" w:firstLine="8"/>
        <w:spacing w:after="0" w:line="252" w:lineRule="auto"/>
        <w:tabs>
          <w:tab w:leader="none" w:pos="2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20 – Revenue of the 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intended to increase the transparency and comparability among organizations by recognizing lease assets and lease liabilities on the balance sheet and disclosing key information about leasing arrangements. This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adopted Topic 842 on January 1, 2019. We will apply a modified retrospective transition approach for all leases existing at, or entered into after, January 1, 2019. Upon adoption, we are applying the practical expedients permitted within Topic 842, which among other things, allows us to retain our existing assessment of whether an arrangement is, or contains, a lease and is classified as an operating or finance lease. We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 We estimate that the adoption of Topic 842 will result in the recognition of right-of-use assets and lease liabilities for operating leases of approximately $51.9 million on our Consolidated Balance Sheets, with no material impact to our Consolidated Statements of Income and Comprehensive Income.</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111" w:right="55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2018, 2017 and 2016. The following table sets forth for the years indicated certain financial data as a percentage of total revenues:</w:t>
      </w:r>
    </w:p>
    <w:p>
      <w:pPr>
        <w:spacing w:after="0" w:line="15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gridSpan w:val="2"/>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w:t>
            </w: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82.4</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vs</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vs</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14,666</w:t>
            </w:r>
          </w:p>
        </w:tc>
        <w:tc>
          <w:tcPr>
            <w:tcW w:w="2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13,083</w:t>
            </w:r>
          </w:p>
        </w:tc>
        <w:tc>
          <w:tcPr>
            <w:tcW w:w="14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10,816</w:t>
            </w:r>
          </w:p>
        </w:tc>
        <w:tc>
          <w:tcPr>
            <w:tcW w:w="1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12,949</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10,952</w:t>
            </w: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11,135</w:t>
            </w: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2,161</w:t>
            </w:r>
          </w:p>
        </w:tc>
        <w:tc>
          <w:tcPr>
            <w:tcW w:w="2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1,676</w:t>
            </w:r>
          </w:p>
        </w:tc>
        <w:tc>
          <w:tcPr>
            <w:tcW w:w="1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29,776</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25,696</w:t>
            </w: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23,627</w:t>
            </w: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 sales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8,021</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7,060</w:t>
            </w: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7,008</w:t>
            </w: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1,817.3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180" w:type="dxa"/>
            <w:vAlign w:val="bottom"/>
          </w:tcPr>
          <w:p>
            <w:pPr>
              <w:spacing w:after="0"/>
              <w:rPr>
                <w:sz w:val="18"/>
                <w:szCs w:val="18"/>
                <w:color w:val="auto"/>
              </w:rPr>
            </w:pPr>
          </w:p>
        </w:tc>
        <w:tc>
          <w:tcPr>
            <w:tcW w:w="1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971.3</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806.5</w:t>
            </w: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811.7</w:t>
            </w: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86.7</w:t>
            </w:r>
          </w:p>
        </w:tc>
        <w:tc>
          <w:tcPr>
            <w:tcW w:w="2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63.6</w:t>
            </w:r>
          </w:p>
        </w:tc>
        <w:tc>
          <w:tcPr>
            <w:tcW w:w="1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18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289.4</w:t>
            </w: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vehicle revenue:(1)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112.2%</w:t>
            </w:r>
          </w:p>
        </w:tc>
        <w:tc>
          <w:tcPr>
            <w:tcW w:w="1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98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20" w:type="dxa"/>
            <w:vAlign w:val="bottom"/>
            <w:gridSpan w:val="14"/>
          </w:tcPr>
          <w:p>
            <w:pPr>
              <w:jc w:val="right"/>
              <w:ind w:right="780"/>
              <w:spacing w:after="0"/>
              <w:rPr>
                <w:sz w:val="20"/>
                <w:szCs w:val="20"/>
                <w:color w:val="auto"/>
              </w:rPr>
            </w:pPr>
            <w:r>
              <w:rPr>
                <w:rFonts w:ascii="Times New Roman" w:cs="Times New Roman" w:eastAsia="Times New Roman" w:hAnsi="Times New Roman"/>
                <w:sz w:val="18"/>
                <w:szCs w:val="18"/>
                <w:color w:val="auto"/>
                <w:w w:val="99"/>
              </w:rPr>
              <w:t>The following table sets forth for the periods indicated the percent of gross profit by revenue source:</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1080" w:type="dxa"/>
            <w:vAlign w:val="bottom"/>
            <w:tcBorders>
              <w:bottom w:val="single" w:sz="8" w:color="auto"/>
            </w:tcBorders>
            <w:gridSpan w:val="3"/>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320" w:type="dxa"/>
            <w:vAlign w:val="bottom"/>
            <w:vMerge w:val="restart"/>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8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060"/>
          </w:cols>
          <w:pgMar w:left="240" w:top="111" w:right="599" w:bottom="1440" w:gutter="0" w:footer="0" w:header="0"/>
        </w:sectPr>
      </w:pPr>
    </w:p>
    <w:p>
      <w:pPr>
        <w:jc w:val="center"/>
        <w:ind w:right="-3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type w:val="continuous"/>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Heavy-Duty Truck Market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U.S. retail heavy-duty truck market is affected by a number of factors, including general economic conditions, fuel prices, other methods of transportation, environmental and other government regulation, interest rate fluctuations and customer business cycles. Unit sales of new commercial vehicles have historically been subject to substantial cyclical variation based on general economic conditions. According to data published by A.C.T. Research, over the last 10 years, total U.S. retail sales of new Class 8 trucks have ranged from a low of approximately 97,000 in 2009 to a high of approximately 255,711 in 2018. Class 8 trucks are defined by the American Automobile Association as trucks with a minimum gross vehicle weight rating above 33,000 pounds.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DOT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 Research currently estimates approximately 259,500 new Class 8 trucks will be sold in the United States in 2019, compared to approximately 255,711 new Class 8 trucks sold in 2018. A.C.T. Research currently forecasts sales of new Class 8 trucks in the U.S. to be approximately 194,000 in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Medium-Duty Truck Market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Rush Truck Centers sell medium-duty commercial vehicles manufactured by Peterbilt, International, Hino, Ford, Mitsubishi Fuso or Isuzu, and provide parts and service for medium-duty commercial vehicles. Medium-duty commercial vehicles are principally used in short-haul, local markets as delivery vehicles; they typically operate locally and generally do not leave their service areas overnight. We also sell light-duty vehicles (Class 3 and under) at several of our Ford dealerships.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 Research currently forecasts sales of new Class 4 through 7 commercial vehicles in the U.S. to be approximately 262,300 units in 2019, compared to 258,200 units in 2018. A.C.T. Research currently forecasts sales of new Class 4 through 7 commercial vehicles in the U.S. to be approximately 266,900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Year Ended December 31,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increased $792.3 million, or 16.8%, in 2018, compared to 2017.</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increased $198.8 million, or 13.5%, in 2018, compared to 2017. This increase was primarily due to network-wide all-makes parts product expansion, increased service technician capacity, investment in technology designed to increase the productivity of our parts operations, increases to our aftermarket sales force and a strong economy.</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revenues from sales of new and used commercial vehicles increased $565.6 million, or 18.9%, in 2018, compared to 2017.</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14,666 heavy-duty trucks in 2018, a 12.1% increase compared to 13,083 heavy-duty trucks in 2017. Our heavy-duty new truck sales in 2018 increased due to strong growth in truck sales to customers in industries we support, including refuse, energy and construction. Our share of the U.S. Class 8 commercial vehicle sales market decreased to approximately 5.7% in 2018, from 6.6% in 2017. In a robust Class 8 truck market, our market share historically declines.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12,949 medium-duty commercial vehicles, including 1,453 buses, in 2018, an 18.2% increase compared to 10,952 medium-duty commercial vehicles, including 1,004 buses, in 2017. In 2018, we achieved a 5.0% share of the Class 4 through 7 market in the 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2,161 light-duty vehicles in 2018, a 30.1% increase compared to 1,661 light-duty vehicles in 2017.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8,021 used commercial vehicles in 2018, a 13.6% increase compared to 7,060 used commercial vehicles in 2017.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 vehicle lease and rental revenues increased $20.9 million, or 9.6%, in 2018, compared to 2017. This increase was primarily related to increased utilization of the rental fleet.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and insurance revenues increased $2.5 million, or 14.2%, in 2018, compared to 2017. We expect finance and insurance revenue to fluctuate proportionately with our new and used commercial vehicle sales in 2019. Finance and insurance revenues have limited direct costs and, therefore, contribute a disproportionate share of our operating profits.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increased $4.5 million, or 31.4% in 2018, compared to 2017. Other income consists primarily of document fees related to commercial vehicle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$148.3 million, or 17.9%, in 2018, compared to 2017. Gross profit as a percentage of sales increased to 17.8% in 2018, from 17.6% in 2017.</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increased to 37.1% in 2018, from 36.5% in 2017. Gross profit for Aftermarket Products and Services increased to $620.4 million in 2018, from $536.9 million in 2017. Historically, parts operations’ gross margins range from 27% to 29% and service and collision center operations range from 66% to 68%. Gross profits from parts sales represented 58.4% of total gross profit for Aftermarket Products and Services operations in 2018 and 56.6% in 2017. Service and collision center operations represented 41.6% of total gross profit for Aftermarket Products and Services operations in 2018 and 43.4% 2017. We expect blended gross margins on Aftermarket Products and Services operations to range from 37.0% to 37.5% in 2019.</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Class 8 commercial vehicle sales increased to 7.9% in 2018, from 7.8% in 2017. In 2019, we expect overall gross margins from Class 8 commercial vehicle sales of approximately 7.0% to 8.0%.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medium-duty commercial vehicle sales decreased to 5.9% in 2018, from 6.0% in 2017. For 2019, we expect overall gross margins from Class 4 through 7 commercial vehicle sales of approximately 5.7% to 6.2%, but this will largely depend upon the mix of purchasers and types of vehicles sold.</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12.0% in 2018, from 10.5% in 2017. This increase is primarily related to the stabilization of used truck values in 2018. We expect margins on used commercial vehicles to range between 8.0% and 10.0% during 2019.</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commercial vehicle lease and rental sales increased to 17.2% in 2018, from 15.8% in 2017. This increase is primarily related to increased rental fleet utilization. We expect gross margins from lease and rental sales of approximately 17.0% to 18.0% during 2019. Our policy is to depreciate our lease and rental fleet using a straight 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$74.2 million, or 11.8%, in 2018, compared to 2017. SG&amp;A expenses as a percentage of total revenues decreased to 12.8% in 2018, from 13.4% in 2017. SG&amp;A expenses as a percentage of total revenues have ranged from 12.1% to 13.9% over the last five years. In general, when new and used commercial vehicle revenues decrease as a percentage of total revenues, SG&amp;A expenses as a percentage of total revenues will be at, or exceed, the higher end of this range. For 2019, we expect SG&amp;A expenses as a percentage of total revenues to range from 12.5% to 13.0% and the selling portion of SG&amp;A expenses to be approximately 25.0% to 30.0% of new and used commercial vehicle gross profit.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$20.4 million, or 40.8%, in 2018, compared to 2017. This increase is primarily related to the additional amortization expense related to the replacement of our Enterprise Resource Planning software platform (“ERP Platform”) components. We estimate that amortization expense relating to the ERP Platform will be approximately $1.9 million in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interest expense increased $7.4 million, or 59.9%, in 2018, compared to 2017. This increase is primarily related to the increase in the LIBOR rate over the last year and increased inventory levels, compared to 2017. Net interest expense in 2019 will depend on inventory levels, interest rate fluctuations and the amount of cash available to make prepayments on our floor plan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increased $46.8 million, or 34.3%, in 2018, compared to 2017, as a result of the factors described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increased $79.8 million in 2018, compared to 2017. This increase in income tax expense is primarily the result of the tax benefit recorded in 2017 based on the reduction of the U.S. Corporate tax rate from the enactment of the Tax Cuts and Jobs Act (the "Tax Act") in December 2017. We incurred a one-time income tax benefit, primarily related to the revaluation of certain deferred tax assets and liabilities due to the reduction of the U.S. corporate tax rate from 35% to 21% of $82.9 million in 2017, as a result of the Tax Act.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2018, we recorded a $278,000 tax benefit related to excess tax benefits of equity compensation, which reduced income tax expense. In 2017, we recorded a $5.3 million tax benefit related to excess tax benefits of equity compensation, which reduced income tax expense.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provided for taxes at a 24.2% effective rate in 2018, compared to an effective rate of 38.25% in 2017, before the tax benefit of $82.9 million related to the Tax Act. We expect our effective tax rate to be approximately 24% to 26% of pretax income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2017 Compared to Year Ended December 31,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increased $497.2 million, or 11.8%, in 2017, compared to 2016.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increased $138.9 million, or 10.4%, in 2017, compared to 2016. This increase was primarily due to strong general economic conditions, an increase in our heavy-duty truck sales, which generally required upfitting and other pre-delivery services, and an increase in the number of service technicians we employed.</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sales of new and used commercial vehicles increased $353.0 million, or 13.4%, in 2017, compared to 2016.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13,083 heavy-duty trucks in 2017, a 21.0% increase compared to 10,816 heavy-duty trucks in 2016. Our heavy-duty new truck sales in 2017 increased due to strong growth in truck sales to customers in industries we support, including refuse, energy and construction. According to A.C.T. Research, U.S. Class 8 retail sales totaled 197,226 in 2017, an increase of approximately 0.2%, compared to 2016. Our share of the U.S. Class 8 commercial vehicle sales market increased to approximately 6.6% in 2017, from 5.5% in 2016.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10,952 medium-duty commercial vehicles, including 1,004 buses, in 2017, a 1.6% decrease compared to 11,135 medium-duty commercial vehicles, including 1,132 buses, in 2016. According to A.C.T. Research, U.S. Class 4 through 7 retail sales totaled 242,089 in 2017, an increase of approximately 7.0%, compared to 2016. In 2017, we achieved a 4.5% share of the Class 4 through 7 market in the 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1,661 light-duty vehicles in 2017, a 0.9% decrease compared to 1,676 light-duty vehicles in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7,060 used commercial vehicles in 2017, a 0.7% increase compared to 7,008 used commercial vehicles in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Commercial vehicle lease and rental revenues increased $9.2 million, or 4.4%, in 2017, compared to 2016.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decreased $0.6 million, or 3.2%, in 2017, compared to 2016. Finance and insurance revenues have limited direct costs and, therefore, contribute a disproportionate share of our operating profits.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decreased $1.2 million, or 8.0% in 2017, compared to 2016. Other income consists primarily of document fees related to commercial vehicle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$111.7 million, or 15.6%, in 2017, compared to 2016. Gross profit as a percentage of sales increased to 17.6% in 2017, from 17.0% in 2016.</w:t>
      </w:r>
    </w:p>
    <w:p>
      <w:pPr>
        <w:spacing w:after="0" w:line="16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increased to 36.5% in 2017, from 36.1% in 2016. Gross profit for Aftermarket Products and Services increased to $536.9 million in 2017, from $480.9 million in 2016. Historically, parts operations’ gross margins range from 27% to 28% and service and collision center operations range from 67% to 68%. Gross profits from parts sales represented 56.6% of total gross profit for Aftermarket Products and Services operations in 2017 and 55.8% in 2016. Service and collision center operations represented 43.4% of total gross profit for Aftermarket Products and Services operations in 2017 and 44.2% 2016.</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Class 8 commercial vehicle sales increased to 7.8% in 2017, from 7.0% in 2016. This increase was attributable to the sales mix in 2017, which consisted of a lower percentage of sales to large fleet customers than in 2016. We recorded a net charge to cost of sales of $8,500 to increase our new heavy-duty commercial vehicle valuation allowance in 2017, compared to $3.2 million in 2016.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medium-duty commercial vehicle sales remained flat at 6.0% in 2017, compared to 2016. We recorded a net charge to cost of sales of $1.9 million to increase our new medium-duty commercial vehicle valuation allowance in 2017, compared to $1.1 million in 2016.</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10.5% in 2017, from 8.1% in 2016. This increase was primarily related to the stabilization of used truck values in 2017. We recorded a net charge to cost of sales of $3.8 million to increase our used commercial vehicle valuation allowance in 2017, compared to $5.1 million in 2016.</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from commercial vehicle lease and rental sales increased to 15.8% in 2017, from 12.5% in 2016. This increase was primarily related to increased rental fleet utilization and improvement in the performance of our full service leases.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SG&amp;A expenses increased $43.3 million, or 7.4%, in 2017, compared to 2016. SG&amp;A expenses as a percentage of total revenues decreased to 13.4% in 2017, from 14.0% in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decreased $1.2 million, or 2.3%, in 2017, compared to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expense decreased $1.9 million, or 13.6%, in 2017, compared to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increased $70.0 million, or 105.3%, in 2017, compared to 2016, as a result of the factors described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decreased $61.6 million in 2017, compared to 2016. In 2017, we incurred a one-time income tax benefit of $82.9 million, primarily related to the revaluation of certain deferred tax assets and liabilities due to the reduction of the U.S. corporate tax rate from 35% to 21%, as a result of the Tax Act.</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ASU No. 2016-09, </w:t>
      </w:r>
      <w:r>
        <w:rPr>
          <w:rFonts w:ascii="Times New Roman" w:cs="Times New Roman" w:eastAsia="Times New Roman" w:hAnsi="Times New Roman"/>
          <w:sz w:val="18"/>
          <w:szCs w:val="18"/>
          <w:i w:val="1"/>
          <w:iCs w:val="1"/>
          <w:color w:val="auto"/>
        </w:rPr>
        <w:t>“Improvements to Employee Share-Based Payment Accounting (Topic 718)”</w:t>
      </w:r>
      <w:r>
        <w:rPr>
          <w:rFonts w:ascii="Times New Roman" w:cs="Times New Roman" w:eastAsia="Times New Roman" w:hAnsi="Times New Roman"/>
          <w:sz w:val="18"/>
          <w:szCs w:val="18"/>
          <w:color w:val="auto"/>
        </w:rPr>
        <w:t xml:space="preserve"> requires excess tax benefits and tax deficiencies to be recorded in the income statement when equity awards issued pursuant to our equity compensation plans vest or are settled. We recorded a $5.3 million tax benefit related to excess tax benefits in 2017, which reduced income tax expense.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provided for taxes at a 38.25% effective rate in 2017, compared to an effective rate of 38.9% in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2018, we had working capital of approximately $194.6 million, including $131.7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and the resulting interest earned is recognized as an offset to our gross interest expense under the Floor Plan Credit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$17.5 million. There were no advances outstanding under this secured line of credit on December 31, 2018, however, $11.6 million was pledged to secure various letters of credit related to self-insurance products, leaving $5.9 million available for future borrowings as of December 31, 2018.</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21, 2017, we entered into a working capital facility with BMO Harris (the “Working Capital Facility”). The Working Capital Facility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December 31, 2018.</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December 31, 2018,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trucks worth approximately $165.0 million to $190.0 million for our leasing operations during 2019, depending on customer demand, all of which will be financed. We also expect to make capital expenditures for recurring items such as computers, shop tools and equipment and company vehicles of approximately $30.0 million to $40.0 million during 2019.</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purchase obligations of approximately $10.0 million as of December 31, 2018 related to a remodel of our facility in Atlanta, Georgia and the purchase of real estate in Irving, Texas.</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2018, we paid a cash dividend of $4.7 million. Additionally, on February 13, 2019, our Board of Directors declared a cash dividend of $0.12 per share of Class A and Class B Common Stock, to be paid on March 15, 2019, to all shareholders of record as of February 25, 2019. The total dividend disbursement is estimated at approximately $4.7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the Board of Directors deems relevant.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31, 2018, our Board of Directors approved a stock repurchase program authorizing management to repurchase, from time to time, up to an aggregate of $150.0 million of our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2018, we had repurchased $65.9 million of our shares of common stock under the stock repurchase program. The current stock repurchase program expires on December 31, 2019, and may be suspended or discontinued at any time.</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December 31, 2018.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increased by $7.2 million during the year ended December 31, 2018, compared to the year ended December 31, 2017, and increased by $42.5 million during the year ended December 31, 2017, compared to the year ended December 31, 2016. The major components of these changes are discussed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2018, operating activities resulted in net cash provided by operations of $215.4 million. Net cash provided by operating activities primarily consisted of $139.1 million in net income, as well as non-cash adjustments related to depreciation and amortization of $185.1 million, deferred income tax of $6.0 million and stock-based compensation of $18.1 million. Cash used in operating activities included an aggregate of $132.6 million net change in operating assets and liabilities. Included in the net change in operating assets and liabilities were cash inflows of $76.6 million from the net increase in borrowings on floor plan (trade), $42.8 million from the increases in accounts payable and accrued liabilities, $8.8 million from the increase in customer deposits and $1.9 million from the decrease in other current assets, which were offset by cash outflows of $ 7.7 million from an increase in accounts receivable and $255.0 million from the increase in inventory. The majority of commercial vehicle inventory is financed through our floor plan credit agreements.</w:t>
      </w:r>
    </w:p>
    <w:p>
      <w:pPr>
        <w:spacing w:after="0" w:line="1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2017, operating activities resulted in net cash provided by operations of $152.7 million. Net cash provided by operating activities primarily consisted of $172.1 million in net income, as well as non-cash adjustments related to depreciation and amortization of $158.0 million, deferred income tax benefit of $62.2 million and stock-based compensation of $15.6 million. Cash used in operating activities included an aggregate of $130.8 million net change in operating assets and liabilities. Included in the net change in operating assets and liabilities were cash inflows of $19.4 million from the net increase in borrowings on floor plan (trade), $21.1 million from the increases in accounts payable and accrued liabilities, and $8.9 million from the increase in customer deposits, which were offset by cash outflows of $29.4 million from an increase in accounts receivable, $147.5 million from the increase in inventory and $3.2 million from the increase in other current assets.</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December 31, 2018, the interest rate on the wholesale financing agreement was 7.0% before considering the applicable incentives. As of December 31, 2018, we had an outstanding balance of approximately $139.0 million under the Ford Motor Credit Company wholesale financing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2018, cash used in investing activities was $227.2 million. Cash flows used in investing activities consist primarily of cash used for capital expenditures. Capital expenditures totaled $238.3 million during 2018 and consisted primarily of purchases of property and equipment, improvements to our existing dealership facilities and $157.4 million for purchases of rental and lease vehicles for the rental and leasing operations, which were directly offset by borrowings of long-term debt. We expect to purchase or lease commercial vehicles worth approximately $165.0 million to $190.0 million for our leasing operations in 2019, depending on customer demand, all of which will be financed. During 2019, we expect to make capital expenditures for recurring items such as computers, shop equipment and company vehicles of $30.0 million to $40.0 million.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2017, cash used in investing activities was $206.6 million. Cash flows used in investing activities consisted primarily of cash used for capital expenditures. Capital expenditures of $211.8 million consisted primarily of $55.9 million for purchases of property and equipment and improvements to our existing dealership facilities and $155.9 million for additional units for our rental and leasing operations. Purchases of additional units for our rental and leasing operations were directly offset by borrowings of long-term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provided by financing activities include borrowings and repayments of long-term debt and net payments of floor plan notes payable. During 2018, our financing activities provided $19.1 million. The cash outflows consisted primarily of $179.5 million used for principal repayments of long-term debt and capital lease obligations and $120.6 million used to purchase 2,857,580 shares of Rush Class A common stock and 405,606 shares of Rush Class B common stock during 2018. Additionally, during 2018, we paid cash dividends of $9.3 million. These cash outflows were partially offset by borrowings of $156.8 million of long-term debt for the purchase of additional units for our rental and leasing operations, $167.8 million from net draws on floor plan notes payable (non-trade) and $3.9 million from the issuance of shares related to equity compensation plans.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2017, we used $96.3 million for financing activities. The cash outflows consisted primarily of $157.5 million used for principal repayments of long-term debt and capital lease obligations, $112.3 million used for net payments on floor plan notes payable (non-trade), and $33.8 million used to purchase 974,690 shares of Rush Class B common stock during 2017. These cash outflows were partially offset by borrowings of $152.6 million of long-term debt for the purchase of additional units for our rental and leasing operations and $23.3 million from the issuance of shares related to equity compensation plans.</w:t>
      </w:r>
    </w:p>
    <w:p>
      <w:pPr>
        <w:spacing w:after="0" w:line="1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1.0% of the aggregate revolving loan commitments if such termination occurs prior to the June 30, 2019 expiration date, subject to specified limited exceptions. On December 31, 2018, we had approximately $798.4 million outstanding under the Floor Plan Credit Agreement. The average daily outstanding borrowings under the Floor Plan Credit Agreement were $682.8 million during the year ended December 31, 2018.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Cyclicality</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255,711 in 2018.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20" w:right="40" w:firstLine="648"/>
        <w:spacing w:after="0" w:line="261" w:lineRule="auto"/>
        <w:rPr>
          <w:sz w:val="20"/>
          <w:szCs w:val="20"/>
          <w:color w:val="auto"/>
        </w:rPr>
      </w:pPr>
      <w:r>
        <w:rPr>
          <w:rFonts w:ascii="Times New Roman" w:cs="Times New Roman" w:eastAsia="Times New Roman" w:hAnsi="Times New Roman"/>
          <w:sz w:val="18"/>
          <w:szCs w:val="18"/>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certain contractual obligations that will impact both our short and long-term liquidity. As of December 31, 2018, such obligations were as follows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40" w:type="dxa"/>
            <w:vAlign w:val="bottom"/>
          </w:tcPr>
          <w:p>
            <w:pPr>
              <w:spacing w:after="0"/>
              <w:rPr>
                <w:sz w:val="16"/>
                <w:szCs w:val="16"/>
                <w:color w:val="auto"/>
              </w:rPr>
            </w:pPr>
          </w:p>
        </w:tc>
        <w:tc>
          <w:tcPr>
            <w:tcW w:w="10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100" w:type="dxa"/>
            <w:vAlign w:val="bottom"/>
          </w:tcPr>
          <w:p>
            <w:pPr>
              <w:spacing w:after="0"/>
              <w:rPr>
                <w:sz w:val="16"/>
                <w:szCs w:val="16"/>
                <w:color w:val="auto"/>
              </w:rPr>
            </w:pPr>
          </w:p>
        </w:tc>
      </w:tr>
      <w:tr>
        <w:trPr>
          <w:trHeight w:val="238"/>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4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6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0"/>
        </w:trPr>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 (1)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161,955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259,507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149,090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30,621</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75,160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22,033</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34,007</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2,963</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65,688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18,656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22,463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Floor plan debt obligation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1,023,019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obligations (4)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97,835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60,940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27,473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 (5)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1,875,725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341,531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186,264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56,726</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8 of Notes to Consolidated Financial Statements.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10 of Notes to Consolidated Financial Statements. Amounts include interest.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10 of Notes to Consolidated Financial Statements.</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interest expense, we used our weighted average interest rate outstanding on fixed rate debt to estimate our interest expense on fixed rate debt. We used our weighted average variable interest rate on outstanding variable rate debt as of December 31, 2018, and added 0.25 percent per year to estimate our interest expense on variable rate debt.</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non-cancelable contractual obligations as of December 31, 2018, related to our construction contract for a facility in Atlanta, Georgia, purchase of a building in Irving, Texas and our contract with SAP America, Inc. with respect to the software license agreement for the ERP Platform that we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400"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December 31, 2018, we had floor plan borrowings and variable interest rate real estate debt of approximately $1,103.4 million. Assuming an increase or decrease in LIBOR of 100 basis points, annual interest expense could correspondingly increase or decrease by approximately $11.0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80" w:type="dxa"/>
            <w:vAlign w:val="bottom"/>
          </w:tcPr>
          <w:p>
            <w:pPr>
              <w:spacing w:after="0"/>
              <w:rPr>
                <w:sz w:val="20"/>
                <w:szCs w:val="20"/>
                <w:color w:val="auto"/>
              </w:rPr>
            </w:pPr>
          </w:p>
        </w:tc>
      </w:tr>
      <w:tr>
        <w:trPr>
          <w:trHeight w:val="392"/>
        </w:trPr>
        <w:tc>
          <w:tcPr>
            <w:tcW w:w="9540" w:type="dxa"/>
            <w:vAlign w:val="bottom"/>
            <w:gridSpan w:val="9"/>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Report of Independent Registered Public Accounting Firm</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7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Report of Independent Registered Public Accounting Firm on Internal Control over Financial Reporting</w:t>
              </w:r>
            </w:hyperlink>
          </w:p>
        </w:tc>
        <w:tc>
          <w:tcPr>
            <w:tcW w:w="204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2"/>
        </w:trPr>
        <w:tc>
          <w:tcPr>
            <w:tcW w:w="4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Balance Sheets as of December 31, 2018 and 2017</w:t>
              </w:r>
            </w:hyperlink>
          </w:p>
        </w:tc>
        <w:tc>
          <w:tcPr>
            <w:tcW w:w="4880" w:type="dxa"/>
            <w:vAlign w:val="bottom"/>
            <w:gridSpan w:val="6"/>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9540" w:type="dxa"/>
            <w:vAlign w:val="bottom"/>
            <w:gridSpan w:val="9"/>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Consolidated Statements of Income for the Years Ended December 31, 2018, 2017 and 2016</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16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7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Consolidated Statements of Comprehensive Income for the Years Ended December 31, 2018, 2017 and 2016</w:t>
              </w:r>
            </w:hyperlink>
          </w:p>
        </w:tc>
        <w:tc>
          <w:tcPr>
            <w:tcW w:w="17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9540" w:type="dxa"/>
            <w:vAlign w:val="bottom"/>
            <w:gridSpan w:val="9"/>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Shareholders’ Equity for the Years Ended December 31, 2018, 2017 and 2016</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2"/>
        </w:trPr>
        <w:tc>
          <w:tcPr>
            <w:tcW w:w="76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1900" w:type="dxa"/>
            <w:vAlign w:val="bottom"/>
            <w:gridSpan w:val="2"/>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2"/>
        </w:trPr>
        <w:tc>
          <w:tcPr>
            <w:tcW w:w="31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Notes to Consolidated Financial Statements</w:t>
              </w:r>
            </w:hyperlink>
          </w:p>
        </w:tc>
        <w:tc>
          <w:tcPr>
            <w:tcW w:w="3800" w:type="dxa"/>
            <w:vAlign w:val="bottom"/>
            <w:tcBorders>
              <w:top w:val="single" w:sz="8" w:color="0000EE"/>
            </w:tcBorders>
            <w:gridSpan w:val="4"/>
          </w:tcPr>
          <w:p>
            <w:pPr>
              <w:spacing w:after="0"/>
              <w:rPr>
                <w:sz w:val="24"/>
                <w:szCs w:val="24"/>
                <w:color w:val="auto"/>
              </w:rPr>
            </w:pPr>
          </w:p>
        </w:tc>
        <w:tc>
          <w:tcPr>
            <w:tcW w:w="258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53"/>
        </w:trPr>
        <w:tc>
          <w:tcPr>
            <w:tcW w:w="6660" w:type="dxa"/>
            <w:vAlign w:val="bottom"/>
            <w:gridSpan w:val="4"/>
          </w:tcPr>
          <w:p>
            <w:pPr>
              <w:ind w:left="56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41" w:name="page42"/>
    <w:bookmarkEnd w:id="4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and the Board of Directors of Rush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Rush Enterprises, Inc. and subsidiaries (the Company) as of December 31, 2018 and 2017, and the related consolidated statements of income, comprehensive income,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25, 2019, expressed an unqualified opinion thereon.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112" w:right="559" w:bottom="1440" w:gutter="0" w:footer="0" w:header="0"/>
        </w:sectPr>
      </w:pPr>
    </w:p>
    <w:bookmarkStart w:id="42" w:name="page43"/>
    <w:bookmarkEnd w:id="4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3,201,350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1,023,019</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2018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authorized; 28,709,636 Class A shares and 8,290,277 Class B shares outstanding in 2018; and 31,345,116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A shares and 8,469,247 Class B shares outstanding in 2017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Treasury stock, at cost: 3,791,751 Class A shares and 5,030,787 Class B shares in 2018 and 934,171 Class A</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shares and 4,625,181 Class B shares in 2017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(245,842)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1,066,928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3,201,350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3,558,637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2,993,015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1,670,052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1,471,266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238,238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217,356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5,506,190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4,713,882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3,280,966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2,766,461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934,394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197,271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183,091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4,527,921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3,883,946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3,496,602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978,269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829,936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631,053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148,709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183,169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136,399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139,062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172,129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139,062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172,129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 and net of reclassification 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related to components of other comprehensive income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139,062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172,415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5" w:name="page46"/>
    <w:bookmarkEnd w:id="4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Shares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w:t>
            </w: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Retained</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Class A</w:t>
            </w:r>
          </w:p>
        </w:tc>
        <w:tc>
          <w:tcPr>
            <w:tcW w:w="7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Class 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Capital</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Earnings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30,304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288,294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(43,368)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599,846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awards (including tax</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 of $294)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12,875</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(43,514)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40,582</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30,007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309,127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(86,882)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640,428</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22,355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15,606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172,129</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31,345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348,044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812,557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18,059</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(125,160)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(125,160)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dividends declared 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 stock</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 declared 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139,062</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28,710</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458</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370,025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(245,842)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942,287</w:t>
            </w:r>
          </w:p>
        </w:tc>
        <w:tc>
          <w:tcPr>
            <w:tcW w:w="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2" w:right="239" w:bottom="9"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85725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139,062</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172,129</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157,951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loss on sale of property and equipment,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related to employee stock options and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employee stock purchases</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15,606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(benefit) for deferred income tax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Excess tax expense from stock-based compensation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(147,453)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Draws on floor plan notes payable – trade,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152,737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(209,917)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(206,563)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Draws (payments) on floor plan notes payable – non-trade,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purchases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23,327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expense from stock-based compensation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(314,581)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82,026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131,726</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124,541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42,752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34,149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Income taxes paid (refunded), net</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28,674</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31,323</w:t>
            </w:r>
          </w:p>
        </w:tc>
        <w:tc>
          <w:tcPr>
            <w:tcW w:w="4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15,205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hanging="812"/>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200" w:lineRule="exact"/>
        <w:rPr>
          <w:sz w:val="20"/>
          <w:szCs w:val="20"/>
          <w:color w:val="auto"/>
        </w:rPr>
      </w:pPr>
    </w:p>
    <w:p>
      <w:pPr>
        <w:spacing w:after="0" w:line="227" w:lineRule="exact"/>
        <w:rPr>
          <w:sz w:val="20"/>
          <w:szCs w:val="20"/>
          <w:color w:val="auto"/>
        </w:rPr>
      </w:pPr>
    </w:p>
    <w:p>
      <w:pPr>
        <w:ind w:right="7360" w:firstLine="8"/>
        <w:spacing w:after="0" w:line="501" w:lineRule="auto"/>
        <w:tabs>
          <w:tab w:leader="none" w:pos="8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Principles of Consolidation</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Estimates in Financial Statements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Doubtful Receivables and Repossession Losses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the Company’s inventory typically declines over time, reserves are established based on historical loss experience and market trends. These reserves are charged to cost of sales and reduce the carrying value of the Company’s inventory on hand. An allowance is provided when it is anticipated that cost will exceed net realizable value less a reasonable profit margin.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$357,600 related to major capital projects during 2018. The cost, accumulated depreciation and amortization and estimated useful lives of certain of the Company’s assets are summarized as follows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Estimated Life</w:t>
            </w:r>
          </w:p>
        </w:tc>
      </w:tr>
      <w:tr>
        <w:trPr>
          <w:trHeight w:val="234"/>
        </w:trPr>
        <w:tc>
          <w:tcPr>
            <w:tcW w:w="4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1020" w:type="dxa"/>
            <w:vAlign w:val="bottom"/>
            <w:tcBorders>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6"/>
              </w:rPr>
              <w:t>(Years)</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134,873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129,805</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434,049</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404,679</w:t>
            </w: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27,165</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26,765</w:t>
            </w:r>
          </w:p>
        </w:tc>
        <w:tc>
          <w:tcPr>
            <w:tcW w:w="6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shop equipment</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73,578</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65,694</w:t>
            </w:r>
          </w:p>
        </w:tc>
        <w:tc>
          <w:tcPr>
            <w:tcW w:w="6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5</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computers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67,330</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63,475</w:t>
            </w:r>
          </w:p>
        </w:tc>
        <w:tc>
          <w:tcPr>
            <w:tcW w:w="6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92,385</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81,158</w:t>
            </w:r>
          </w:p>
        </w:tc>
        <w:tc>
          <w:tcPr>
            <w:tcW w:w="6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 vehicles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914,708</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894,905</w:t>
            </w:r>
          </w:p>
        </w:tc>
        <w:tc>
          <w:tcPr>
            <w:tcW w:w="6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16,310</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8,043</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(576,345)</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(514,929)</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6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1,184,053</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1,159,595</w:t>
            </w: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$149.1 million and amortization expense of $36.0 million for the year ended December 31, 2018, depreciation expense of $140.3 million and amortization expense of $17.6 million for the year ended December 31, 2017 and depreciation expense of $140.6 million and amortization expense of $17.0 million for the year ended December 31, 2016.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 had $66.4 million in lease and rental vehicles under various capital leases included in property and equipment, net of accumulated amortization of $44.6 million. The Company recorded depreciation and amortization expense of $114.6 million related to lease and rental vehicles in lease and rental cost of products sold for the year ended December 31, 2018, $107.9 million for the year ended December 31, 2017 and $106.3 million for the year ended December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the excess of the purchase price over the fair value of identifiable net assets acquired in business combinations accounted for under the purchase method. The Company tests goodwill for impairment annually during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The Company has deemed its reporting unit to be the Truck Segment, as all components of the Truck Segment are similar.</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2018. However, the Company cannot predict the occurrence of certain events that might adversely affect the reported value of goodwill in the future.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the carrying amount of goodwill for the Company for the years ended December 31, 2018 and 2017 (in thousands):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31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290,191</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6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8"/>
                <w:szCs w:val="18"/>
                <w:color w:val="auto"/>
              </w:rPr>
            </w:pPr>
          </w:p>
        </w:tc>
      </w:tr>
      <w:tr>
        <w:trPr>
          <w:trHeight w:val="25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 and 2018</w:t>
            </w:r>
          </w:p>
        </w:tc>
        <w:tc>
          <w:tcPr>
            <w:tcW w:w="2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ectPr>
          <w:pgSz w:w="11900" w:h="16838" w:orient="portrait"/>
          <w:cols w:equalWidth="0" w:num="1">
            <w:col w:w="11420"/>
          </w:cols>
          <w:pgMar w:left="240" w:top="112"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0" w:name="page51"/>
    <w:bookmarkEnd w:id="5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Platform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capitalized costs of the Company’s SAP enterprise resource planning software platform (“ERP Platform”) of $10.8 million are recorded on the Consolidated Balance Sheet in Other Assets. Amortization expense relating to the ERP Platform, which is recognized in depreciation and amortization expense in the Consolidated Statements of Income and Comprehensive Income, was $21.7 million for the year ended December 31, 2018 and $3.4 million for the year ended December 31, 2017. The Company estimates that amortization expense relating to the ERP Platform will be approximately $1.9 million for each of the next five years.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2018, as part of an assessment that involved a technical feasibility study of the then current ERP Platform, the Company determined that a majority of the components of this ERP Platform would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that were replaced so that the respective net book values of the components were fully amortized upon replacement in May 2018. The Company amortized the remaining net book value of the components that were replaced on a straight-line basis in February 2018 through May 2018. The Company recognized $19.9 million of amortization expense in 2018 related to the components of the ERP Platform that were replaced. The ERP Platform asset and related amortization are reflected in the Truck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Rights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December 31, 2018 and December 31, 2017,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2018. The Company cannot predict the occurrence of certain events that might adversely affect the reported value of manufacturer franchise rights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Company’s income tax returns are periodically audited by U.S. federal, state and local tax authorities. These audits include questions regarding the Company’s tax filing positions, including the timing and amount of deductions. At any time, multiple tax years are subject to audit by the various tax authorities. In evaluating the tax benefits associated with the Company’s various tax filing positions, the Company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Statements of Income. Unfavorable settlement of any particular issue would require use of the Company’s cash and a charge to income tax expense. Favorable resolution would be recognized as a reduction to income tax expense at the time of resolution.</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despite the Company’s belief that its tax return positions are consistent with applicable tax law, management expects that certain positions may be challenged by taxing authorities. Settlement of any challenge can result in no change, a complete disallowance, or some partial adjustment reached through negotiations. The Company records interest and penalties, if any, related to federal and state unrecognized tax benefits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Policies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January 1, 2018, the Company adopted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the Company recognizes revenue when a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 whether each promised good or service is distinct and recognizes as revenue the amount of the transaction price that is allocated to the respective performance obligation when (or as) the performance obligation is satisfied. For a complete discussion of accounting for revenue, see Note 20 – Revenue of the Notes to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and rental revenue is recognized over the period of the related lease or rental agreement. Contingent rental revenue is recognized when it is earned.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on the lease and rental fleet owned and leased by the Company. There are no costs of sales associated with the Company’s finance and insurance revenue or other revenue.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Assessed by a Governmental Authority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sales taxes assessed by a governmental authority that are directly imposed on a revenue-producing transaction on a net (excluded from revenues)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volatility</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31.68%</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stock volatility</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31.68%</w:t>
            </w:r>
          </w:p>
        </w:tc>
        <w:tc>
          <w:tcPr>
            <w:tcW w:w="3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3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of stock options granted</w:t>
            </w:r>
          </w:p>
        </w:tc>
        <w:tc>
          <w:tcPr>
            <w:tcW w:w="1020" w:type="dxa"/>
            <w:vAlign w:val="bottom"/>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Advertising and marketing expense was $10.4 million for 2018, $9.5 million for 2017 and $6.8 million for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expense is included in selling, general and administrative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Internal Use Software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$10.8 million at December 31, 2018, net of accumulated amortization of $8.3 million, and had $31.9 million, net of accumulated amortization of $20.0 million at December 31,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includes unobservable inputs that reflect the Company’s assumptions about what factors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for the recognition of assets acquired and liabilities assumed through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intended to increase the transparency and comparability among organizations by recognizing lease assets and lease liabilities on the balance sheet and disclosing key information about leasing arrangements. The new standard requires lessees to record assets and liabilities on the balance sheet for all leases with terms longer than twelve months. Leases will be classified as either finance or operating, with classification affecting the pattern of expense recognition in the income statement.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adopted Topic 842 on January 1, 2019. The Company will apply a modified retrospective transition approach for all leases existing at, or entered into after, January 1, 2019. Upon adoption, the Company is applying the practical expedients permitted within Topic 842, which among other things, allows it to retain its existing assessment of whether an arrangement is, or contains, a lease and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 The Company estimates that the adoption of Topic 842 will result in the recognition of right-of-use assets and lease liabilities for operating leases of approximately $51.9 million on its Consolidated Balance Sheets, with no material impact to its Consolidated Statements of Income and Comprehensive Income.</w:t>
      </w:r>
    </w:p>
    <w:p>
      <w:pPr>
        <w:spacing w:after="0" w:line="200" w:lineRule="exact"/>
        <w:rPr>
          <w:sz w:val="20"/>
          <w:szCs w:val="20"/>
          <w:color w:val="auto"/>
        </w:rPr>
      </w:pPr>
    </w:p>
    <w:p>
      <w:pPr>
        <w:spacing w:after="0" w:line="232" w:lineRule="exact"/>
        <w:rPr>
          <w:sz w:val="20"/>
          <w:szCs w:val="20"/>
          <w:color w:val="auto"/>
        </w:rPr>
      </w:pPr>
    </w:p>
    <w:p>
      <w:pPr>
        <w:jc w:val="both"/>
        <w:ind w:right="8160" w:firstLine="8"/>
        <w:spacing w:after="0" w:line="530" w:lineRule="auto"/>
        <w:tabs>
          <w:tab w:leader="none" w:pos="81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SUPPLIER CONCENTRATION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Major Suppliers and Dealership Agreements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market. The agreements allow the Company to use the Manufacturers’ names, trade symbols and intellectual property and expire as follows:</w:t>
      </w:r>
    </w:p>
    <w:p>
      <w:pPr>
        <w:spacing w:after="0" w:line="180" w:lineRule="exact"/>
        <w:rPr>
          <w:sz w:val="20"/>
          <w:szCs w:val="20"/>
          <w:color w:val="auto"/>
        </w:rPr>
      </w:pPr>
    </w:p>
    <w:tbl>
      <w:tblPr>
        <w:tblLayout w:type="fixed"/>
        <w:tblInd w:w="1900" w:type="dxa"/>
        <w:tblCellMar>
          <w:top w:w="0" w:type="dxa"/>
          <w:left w:w="0" w:type="dxa"/>
          <w:bottom w:w="0" w:type="dxa"/>
          <w:right w:w="0" w:type="dxa"/>
        </w:tblCellMar>
      </w:tblPr>
      <w:tr>
        <w:trPr>
          <w:trHeight w:val="234"/>
        </w:trPr>
        <w:tc>
          <w:tcPr>
            <w:tcW w:w="33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Manufacturer</w:t>
            </w:r>
          </w:p>
        </w:tc>
        <w:tc>
          <w:tcPr>
            <w:tcW w:w="2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Expiration Dates</w:t>
            </w:r>
          </w:p>
        </w:tc>
      </w:tr>
      <w:tr>
        <w:trPr>
          <w:trHeight w:val="210"/>
        </w:trPr>
        <w:tc>
          <w:tcPr>
            <w:tcW w:w="3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Peterbilt</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2019 through January 2022</w:t>
            </w:r>
          </w:p>
        </w:tc>
      </w:tr>
      <w:tr>
        <w:trPr>
          <w:trHeight w:val="216"/>
        </w:trPr>
        <w:tc>
          <w:tcPr>
            <w:tcW w:w="3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International</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2020 through October 2023</w:t>
            </w:r>
          </w:p>
        </w:tc>
      </w:tr>
      <w:tr>
        <w:trPr>
          <w:trHeight w:val="216"/>
        </w:trPr>
        <w:tc>
          <w:tcPr>
            <w:tcW w:w="3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Isuzu</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Hino</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Ford</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Blue Bird</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2019</w:t>
            </w:r>
          </w:p>
        </w:tc>
      </w:tr>
      <w:tr>
        <w:trPr>
          <w:trHeight w:val="216"/>
        </w:trPr>
        <w:tc>
          <w:tcPr>
            <w:tcW w:w="33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IC Bus</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2020 through December 2022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its new Peterbilt vehicles from Peterbilt and most of the parts sold at its Peterbilt dealerships from PACCAR, Inc, the parent company of Peterbilt, at prevailing prices charged to all franchised dealers. Sales of new Peterbilt trucks accounted for approximately 62.5% of the Company’s new vehicle sales revenue for the year ended December 31, 2018, 65.2% of the Company’s new vehicle sales revenue for the year ended December 31, 2017, and 61.0% of the Company’s new vehicle sales revenue for the year ended December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Primary Lenders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purchases its new and used commercial vehicle inventories with the assistance of floor plan financing programs as described in Note 7 to these Notes to Consolidated Financial Statements.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acquires lease and rental vehicles with the assistance of financing agreements with PACCAR Leasing Company, Bank of America and Wells Fargo. The financing agreements are secured by a lien on the acquired vehicle. The terms of the financing agreements are similar to the corresponding lease agreements with the Company’s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200" w:lineRule="exact"/>
        <w:rPr>
          <w:sz w:val="20"/>
          <w:szCs w:val="20"/>
          <w:color w:val="auto"/>
        </w:rPr>
      </w:pPr>
    </w:p>
    <w:p>
      <w:pPr>
        <w:spacing w:after="0" w:line="223" w:lineRule="exact"/>
        <w:rPr>
          <w:sz w:val="20"/>
          <w:szCs w:val="20"/>
          <w:color w:val="auto"/>
        </w:rPr>
      </w:pPr>
    </w:p>
    <w:p>
      <w:pPr>
        <w:ind w:left="820" w:hanging="812"/>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from sale of vehicles</w:t>
            </w:r>
          </w:p>
        </w:tc>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100,013</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104,779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receivables other than vehicles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57,697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bad debt and warranty claims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190,650</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183,875</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inventories, net, consisted of the following (in thousands):</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commercial vehicles</w:t>
            </w:r>
          </w:p>
        </w:tc>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976,464</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747,531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Used commercial vehicles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96,126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76,488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accessories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259,396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205,534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(12,183)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1,339,923</w:t>
            </w: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1,033,294</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165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56" w:name="page57"/>
    <w:bookmarkEnd w:id="5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820" w:hanging="812"/>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and allowance accounts include the following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Balance</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Charged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Beginning</w:t>
            </w:r>
          </w:p>
        </w:tc>
        <w:tc>
          <w:tcPr>
            <w:tcW w:w="2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Costs and</w:t>
            </w:r>
          </w:p>
        </w:tc>
        <w:tc>
          <w:tcPr>
            <w:tcW w:w="26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Net Write-</w:t>
            </w:r>
          </w:p>
        </w:tc>
        <w:tc>
          <w:tcPr>
            <w:tcW w:w="2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End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of Year</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Expenses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Offs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of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receivables</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9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6,230</w:t>
            </w:r>
          </w:p>
        </w:tc>
        <w:tc>
          <w:tcPr>
            <w:tcW w:w="2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receivables</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9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4,885</w:t>
            </w:r>
          </w:p>
        </w:tc>
        <w:tc>
          <w:tcPr>
            <w:tcW w:w="2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5,102</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receivables</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9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7,291</w:t>
            </w:r>
          </w:p>
        </w:tc>
        <w:tc>
          <w:tcPr>
            <w:tcW w:w="2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9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6,541</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9,623</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Receivables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a majority of its customer accounts receivable on a non-recourse basis to a third-party that is responsible for qualifying the customer for credit at the point of sale. If the third-party approves the customer for credit, then the third-party assumes all credit risk related to the transaction. For accounts receivable that the Company does not sell or that are sold with recourse to the Company, an allowance for doubtful receivables is provided after considering historical loss experience and other factors that might affect the collection of such accounts receivable.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after it is determined that a receivable will not be fully collected.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200" w:lineRule="exact"/>
        <w:rPr>
          <w:sz w:val="20"/>
          <w:szCs w:val="20"/>
          <w:color w:val="auto"/>
        </w:rPr>
      </w:pPr>
    </w:p>
    <w:p>
      <w:pPr>
        <w:spacing w:after="0" w:line="205" w:lineRule="exact"/>
        <w:rPr>
          <w:sz w:val="20"/>
          <w:szCs w:val="20"/>
          <w:color w:val="auto"/>
        </w:rPr>
      </w:pPr>
    </w:p>
    <w:p>
      <w:pPr>
        <w:ind w:right="6040" w:firstLine="8"/>
        <w:spacing w:after="0" w:line="501" w:lineRule="auto"/>
        <w:tabs>
          <w:tab w:leader="none" w:pos="8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PLAN NOTES PAYABLE AND LINES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 Notes Payable</w:t>
      </w:r>
    </w:p>
    <w:p>
      <w:pPr>
        <w:jc w:val="both"/>
        <w:spacing w:after="0" w:line="266" w:lineRule="auto"/>
        <w:rPr>
          <w:sz w:val="20"/>
          <w:szCs w:val="20"/>
          <w:color w:val="auto"/>
        </w:rPr>
      </w:pPr>
      <w:r>
        <w:rPr>
          <w:rFonts w:ascii="Times New Roman" w:cs="Times New Roman" w:eastAsia="Times New Roman" w:hAnsi="Times New Roman"/>
          <w:sz w:val="18"/>
          <w:szCs w:val="18"/>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$875.0 million and has the interest rate benchmarked to LIBOR, as defined in the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7" w:name="page58"/>
    <w:bookmarkEnd w:id="5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under the Company’s Floor Plan Credit Agreement is the three month LIBOR rate plus 1.51%. The interest rate applicable to the Company’s Floor Plan Credit Agreement was approximately 4.26% at December 31, 2018. The Company utilizes its excess cash on hand to pay down its outstanding borrowings under its Floor Plan Credit Agreement, and the resulting interest earned is recognized as an offset to the Company’s gross interest expense under the Floor Plan Credit Agreement. The Company is required to pay a monthly working capital fee equal to 0.16% per annum multiplied by the amount of voluntary prepayments of new and used inventory loans.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finances substantially all of the purchase price of its new commercial vehicle inventory, and the loan value of its used commercial vehicle inventory, under its Floor Plan Credit Agreement, under which BMO Harris pays the manufacturer directly with respect to new commercial vehicles. Amounts borrowed under the Company’s Floor Plan Credit Agreement are due when the related commercial vehicle inventory (collateral) is sold and the sales proceeds are collected by the Company. The Company’s Floor Plan Credit Agreement expires June 30, 2019, although BMO Harris has the right to terminate the Floor Plan Credit Agreement at any time upon 120 days’ written notice. The Company may terminate the Floor Plan Credit Agreement at any time, although if it does so, it must pay a prepayment processing fee equal to $500,000 if such termination occurs prior to June 30, 2019, subject to specified limited exceptions. On December 31, 2018, the Company had approximately $798.4 million outstanding under its Floor Plan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2012, the Company entered into a wholesale financing agreement with Ford Motor Credit Company that provides for the financing of, and is collateralized by, the Company’s new Ford vehicle inventory. This wholesale financing agreement bears interest at a rate of Prime plus 150 basis points minus certain incentives and rebates. As of December 31, 2018, the interest rate on the wholesale financing agreement was 7.0% before considering the applicable incentives. On December 31, 2018, the Company had an outstanding balance of approximately $139.0 million under the Ford Motor Credit Company wholesale financing agreement.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weighted average interest rate for floor plan notes payable was 1.9% for the year ended December 31, 2018, and 1.4% for the year ended December 31, 2017, which is net of interest related to prepayments of new and used inventory loans.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pledged as collateral were as follows (in thousands):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new and used vehicles at cost based on specific identification, net of allowance</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1,068,003</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818,066</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sale related accounts receivable</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104,779</w:t>
            </w:r>
          </w:p>
        </w:tc>
        <w:tc>
          <w:tcPr>
            <w:tcW w:w="0" w:type="dxa"/>
            <w:vAlign w:val="bottom"/>
          </w:tcPr>
          <w:p>
            <w:pPr>
              <w:spacing w:after="0"/>
              <w:rPr>
                <w:sz w:val="1"/>
                <w:szCs w:val="1"/>
                <w:color w:val="auto"/>
              </w:rPr>
            </w:pPr>
          </w:p>
        </w:tc>
      </w:tr>
      <w:tr>
        <w:trPr>
          <w:trHeight w:val="210"/>
        </w:trPr>
        <w:tc>
          <w:tcPr>
            <w:tcW w:w="110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1,168,016</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922,845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00" w:type="dxa"/>
            <w:vAlign w:val="bottom"/>
            <w:shd w:val="clear" w:color="auto" w:fill="CCEEFF"/>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Floor plan notes payable related to vehicles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1,023,019</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778,561</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Lines of Credit</w:t>
            </w:r>
          </w:p>
        </w:tc>
        <w:tc>
          <w:tcPr>
            <w:tcW w:w="626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100" w:type="dxa"/>
            <w:vAlign w:val="bottom"/>
            <w:tcBorders>
              <w:bottom w:val="single" w:sz="8" w:color="auto"/>
            </w:tcBorders>
            <w:vMerge w:val="continue"/>
          </w:tcPr>
          <w:p>
            <w:pPr>
              <w:spacing w:after="0"/>
              <w:rPr>
                <w:sz w:val="24"/>
                <w:szCs w:val="24"/>
                <w:color w:val="auto"/>
              </w:rPr>
            </w:pPr>
          </w:p>
        </w:tc>
        <w:tc>
          <w:tcPr>
            <w:tcW w:w="62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secured line of credit that provides for a maximum borrowing of $17.5 million. There were no advances outstanding under this secured line of credit at December 31, 2018; however, $11.6 million was pledged to secure various letters of credit related to self-insurance products, leaving $5.9 million available for future borrowings as of December 31, 2018.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Working Capital Facility with BMO Harris. The Working Capital Facility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Working Capital Facility shall have terminated, whether as a result of the occurrence of the Commitment Termination Date (as defined in the Floor Plan Working Capital Facility) or otherwise. There were no advances outstanding under the Working Capital Facility as of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was comprised of the following (in thousands):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interest rate term notes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80,355</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96,157</w:t>
            </w: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interest rate term notes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520,818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515,371</w:t>
            </w:r>
          </w:p>
        </w:tc>
      </w:tr>
      <w:tr>
        <w:trPr>
          <w:trHeight w:val="210"/>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601,173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611,528</w:t>
            </w: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0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(161,955)</w:t>
            </w:r>
          </w:p>
        </w:tc>
        <w:tc>
          <w:tcPr>
            <w:tcW w:w="5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(145,139)</w:t>
            </w:r>
          </w:p>
        </w:tc>
      </w:tr>
      <w:tr>
        <w:trPr>
          <w:trHeight w:val="210"/>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439,218</w:t>
            </w:r>
          </w:p>
        </w:tc>
        <w:tc>
          <w:tcPr>
            <w:tcW w:w="1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466,389</w:t>
            </w: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2018, long-term debt maturities were as follows (in thousands):</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rates on the Company’s variable interest rate notes are based on various LIBOR benchmark rates. The interest rates on the notes ranged from approximately 4.0% to 4.5% on December 31, 2018. Payments on the notes range from approximately $5,330 to $125,833 per month, plus interest. Maturities of these notes range from May 2019 to June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fixed interest rate notes had interest rates that ranged from approximately 2.95% to 7.61% on December 31, 2018. Payments on the notes range from $255 to $72,315 per month. Maturities of these notes range from January 2019 to September 2028.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the issuance of the notes were used primarily to acquire land, buildings and improvements and vehicles for the Company’s lease and rental fleet. The notes are secured by the assets acquired with the proceeds of such notes.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long-term real estate debt agreements, floor plan financing arrangements and the Working Capital Facility require the Company to satisfy various financial ratios such as the debt to worth ratio, leverage ratio, the fixed charge coverage ratio and certain requirements for tangible net worth and GAAP net worth. As of December 31, 2018, the Company was in compliance with all debt covenants. The Company does not anticipate any breach of the covenants in the foreseeable future.</w:t>
      </w:r>
    </w:p>
    <w:p>
      <w:pPr>
        <w:spacing w:after="0" w:line="200" w:lineRule="exact"/>
        <w:rPr>
          <w:sz w:val="20"/>
          <w:szCs w:val="20"/>
          <w:color w:val="auto"/>
        </w:rPr>
      </w:pPr>
    </w:p>
    <w:p>
      <w:pPr>
        <w:spacing w:after="0" w:line="223" w:lineRule="exact"/>
        <w:rPr>
          <w:sz w:val="20"/>
          <w:szCs w:val="20"/>
          <w:color w:val="auto"/>
        </w:rPr>
      </w:pPr>
    </w:p>
    <w:p>
      <w:pPr>
        <w:ind w:left="820" w:hanging="812"/>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INSTRUMENTS AND FAIR VALUE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2018, and 2017. The carrying value of current assets and current liabilities approximates the fair value due to the short maturity of these items.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9" w:name="page60"/>
    <w:bookmarkEnd w:id="5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Auction Rate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2018, the Company did not hold any auction rate securities. The issuer redeemed, at par, all of the remaining auction rate securities in the third quarter of 2018. On December 31, 2017, the Company held auction rate securities with underlying tax-exempt municipal bonds that matured in 2030 and had a fair value and a cost basis of $6.4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of 2016, the Company instituted plans to consolidate its dealership network. In 2016, the Company recorded an impairment charge related to the value of the real estate in the affected locations and a write-down of certain excess real estate in the amount of $7.5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measurements for the Company’s long-lived assets are based on Level 3 inputs. Fair values of the value of the real estate were determined based on evaluations by a third-party real estate broker that utilized its knowledge and historical experience in real estate markets and transactions. During 2016 and 2017, the Company sold seven of the properties previously classified as held for sale with a fair value of $8.3 million. In 2018, the Company sold four of the properties with an aggregate fair value of $4.7 million. During the third quarter of 2017, the Company made the decision to put one of the properties previously classified as “held for sale” with a fair value of $1.4 million back into service. During the fourth quarter of 2018, the Company made the decision to put one of the properties previously classified as “held for sale” with a fair value of $2.6 million back into service. As of December 31, 2018, the remaining real estate associated with the restructuring activities is included in assets held for sale on the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Measurements</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Using Significant</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4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 held for sale</w:t>
            </w: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assets held for sale, see Note 19 – Restructuring Costs of the Notes to Consolidated Financial Statements.</w:t>
      </w:r>
    </w:p>
    <w:p>
      <w:pPr>
        <w:spacing w:after="0" w:line="200" w:lineRule="exact"/>
        <w:rPr>
          <w:sz w:val="20"/>
          <w:szCs w:val="20"/>
          <w:color w:val="auto"/>
        </w:rPr>
      </w:pPr>
    </w:p>
    <w:p>
      <w:pPr>
        <w:spacing w:after="0" w:line="268" w:lineRule="exact"/>
        <w:rPr>
          <w:sz w:val="20"/>
          <w:szCs w:val="20"/>
          <w:color w:val="auto"/>
        </w:rPr>
      </w:pPr>
    </w:p>
    <w:p>
      <w:pPr>
        <w:ind w:right="8740" w:firstLine="8"/>
        <w:spacing w:after="0" w:line="501" w:lineRule="auto"/>
        <w:tabs>
          <w:tab w:leader="none" w:pos="8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Vehicle Leases as Lessee</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vehicles, as lessee, primarily over periods ranging from one to ten years under operating lease and capital lease arrangements. Generally, the Company is required to incur all operating costs and pay a minimum rental. The Company usually guarantees the residual value of vehicles under operating lease and capital lease arrangements. At December 31, 2018, the Company guaranteed vehicle residual values of approximately $38.0 million under operating lease and capital lease arrangements. Historically, the Company purchases these vehicles at the end of the lease term and recognizes a gain on the subsequent sale of the vehicle. Vehicle lease expenses were approximately $2.5 million for the year ended December 31, 2018, $0.9 million for the year ended December 31, 2017 and $1.3 million for the year ended December 31, 2016.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below, these vehicles are then subleased by the Company to customers under various agreements. Future minimum sublease rentals to be received by the Company under non-cancelable subleases, as described below, are $72.8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capital and non-cancelable vehicle leases as of December 31, 2018, are as follows (in thousands):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Capital</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34"/>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Leases</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Leases</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jc w:val="right"/>
              <w:ind w:right="6270"/>
              <w:spacing w:after="0"/>
              <w:rPr>
                <w:sz w:val="20"/>
                <w:szCs w:val="20"/>
                <w:color w:val="auto"/>
              </w:rPr>
            </w:pPr>
            <w:r>
              <w:rPr>
                <w:rFonts w:ascii="Times New Roman" w:cs="Times New Roman" w:eastAsia="Times New Roman" w:hAnsi="Times New Roman"/>
                <w:sz w:val="18"/>
                <w:szCs w:val="18"/>
                <w:color w:val="auto"/>
              </w:rPr>
              <w:t>2019</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3,580</w:t>
            </w:r>
          </w:p>
        </w:tc>
      </w:tr>
      <w:tr>
        <w:trPr>
          <w:trHeight w:val="216"/>
        </w:trPr>
        <w:tc>
          <w:tcPr>
            <w:tcW w:w="20" w:type="dxa"/>
            <w:vAlign w:val="bottom"/>
          </w:tcPr>
          <w:p>
            <w:pPr>
              <w:spacing w:after="0"/>
              <w:rPr>
                <w:sz w:val="18"/>
                <w:szCs w:val="18"/>
                <w:color w:val="auto"/>
              </w:rPr>
            </w:pPr>
          </w:p>
        </w:tc>
        <w:tc>
          <w:tcPr>
            <w:tcW w:w="6860" w:type="dxa"/>
            <w:vAlign w:val="bottom"/>
          </w:tcPr>
          <w:p>
            <w:pPr>
              <w:jc w:val="right"/>
              <w:ind w:right="6270"/>
              <w:spacing w:after="0"/>
              <w:rPr>
                <w:sz w:val="20"/>
                <w:szCs w:val="20"/>
                <w:color w:val="auto"/>
              </w:rPr>
            </w:pPr>
            <w:r>
              <w:rPr>
                <w:rFonts w:ascii="Times New Roman" w:cs="Times New Roman" w:eastAsia="Times New Roman" w:hAnsi="Times New Roman"/>
                <w:sz w:val="18"/>
                <w:szCs w:val="18"/>
                <w:color w:val="auto"/>
              </w:rPr>
              <w:t>2020</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19,113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3,264</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jc w:val="right"/>
              <w:ind w:right="627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14,894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2,764</w:t>
            </w:r>
          </w:p>
        </w:tc>
      </w:tr>
      <w:tr>
        <w:trPr>
          <w:trHeight w:val="216"/>
        </w:trPr>
        <w:tc>
          <w:tcPr>
            <w:tcW w:w="20" w:type="dxa"/>
            <w:vAlign w:val="bottom"/>
          </w:tcPr>
          <w:p>
            <w:pPr>
              <w:spacing w:after="0"/>
              <w:rPr>
                <w:sz w:val="18"/>
                <w:szCs w:val="18"/>
                <w:color w:val="auto"/>
              </w:rPr>
            </w:pPr>
          </w:p>
        </w:tc>
        <w:tc>
          <w:tcPr>
            <w:tcW w:w="6860" w:type="dxa"/>
            <w:vAlign w:val="bottom"/>
          </w:tcPr>
          <w:p>
            <w:pPr>
              <w:jc w:val="right"/>
              <w:ind w:right="627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11,062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2,479</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jc w:val="right"/>
              <w:ind w:right="627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1,957</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1,246</w:t>
            </w: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75,160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15,290</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amount representing interest</w:t>
            </w:r>
          </w:p>
        </w:tc>
        <w:tc>
          <w:tcPr>
            <w:tcW w:w="10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(6,046)</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69,114</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(19,631)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capital leases less current portion</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49,483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Vehicle Leases as Lessor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its PacLease and Idealease franchises, leases vehicles that the Company owns or leases to customers primarily over periods of one to ten years, under operating lease arrangements that require a minimum rental payment and a contingent rental payment based on usage. Rental income during the year ended December 31, 2018 consisted of minimum rental payments of approximately $209.3 million and contingent rental payments of $30.0 million. Rental income during the year ended December 31, 2017 consisted of minimum rental payments of approximately $187.4 million and contingent rental payments of $29.0 million. Rental income during the year ended December 31, 2016 consisted of minimum rental payments of approximately $182.1 million and contingent rental payments of $27.8 million. Minimum rental payments to be received for non-cancelable leases and subleases in effect as of December 31, 2018, are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307,181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$576.0 million of lease and rental vehicles included in property and equipment, net of accumulated depreciation of $338.7 million. As of December 31, 2017, the Company had $584.4 million of lease and rental vehicles included in property and equipment, net of accumulated depreciation of $310.5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Leases - Land and Buildings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various assets under operating leases with expiration dates ranging from February 2019 through June 2102. Monthly rental payments range from approximately $275 per month to $38,091 per month. Rental expense was $10.7 million for the year ended December 31, 2018, $9.5 million for the year ended December 31, 2017, and $10.3 million for the year ended December 31, 2016. Future minimum lease payments under non-cancelable leases at December 31, 2018,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w w:val="88"/>
              </w:rPr>
              <w:t>11.</w:t>
            </w:r>
          </w:p>
        </w:tc>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SHARE BASED COMPENSATION AND EMPLOYEE BENEFIT PLANS:</w:t>
            </w:r>
          </w:p>
        </w:tc>
        <w:tc>
          <w:tcPr>
            <w:tcW w:w="1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20" w:type="dxa"/>
            <w:vAlign w:val="bottom"/>
            <w:vMerge w:val="continue"/>
          </w:tcPr>
          <w:p>
            <w:pPr>
              <w:spacing w:after="0"/>
              <w:rPr>
                <w:sz w:val="24"/>
                <w:szCs w:val="24"/>
                <w:color w:val="auto"/>
              </w:rPr>
            </w:pPr>
          </w:p>
        </w:tc>
        <w:tc>
          <w:tcPr>
            <w:tcW w:w="668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Under the Employee Stock Purchase Plan, there are approximately 331,000 shares remaining of the 1,400,000 shares of the Company’s Class A Common Stock that have been reserved for issuance. The Company issued 84,192 shares under the Employee Stock Purchase Plan during the year ended December 31, 2018 and 112,754 shares during the year ended December 31, 2017. Of the 7,214 employees eligible to participate, approximately 1,495 elected to participate in the plan as of December 31,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Stock Option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Rush Enterprises, Inc. 2006 Non-Employee Director Stock Option Plan, as amended and restated (the “Director Plan”), reserved 500,000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or up to 40% cash, equivalent to a compensation value of $125,000. In 2018, two non-employee directors received a grant of 2,926 shares of the Company’s Class A Common Stock, one non-employee director received a grant of 2,048 shares of the Company’s Class A Common Stock and $37,500 cash and two non-employee director received a grant of 1,756 shares of the Company’s Class A Common Stock and $50,000 cash, for total compensation equivalent to $125,000 each. In 2017, two non-employee directors received a grant of 3,307 shares of the Company’s Class A Common Stock, one non-employee director received a grant of 1,984 shares of the Company’s Class A Common Stock and $50,000 cash, one non-employee director received a grant of 2,315 shares of the Company’s Class A Common Stock and $37,500 cash, and one non-employee director received a grant of 2,480 shares of the Company’s Class A Common Stock and $31,250 cash, for total compensation equivalent to $125,000 each. Under the Director Plan, there are approximately 140,300 shares remaining for issuance of the 500,000 shares of the Company’s Class A Common Stock that have been reserved for issuance. The Company granted 11,412 shares of Class A Common Stock under the Director Plan during the year ended December 31, 2018 and 13,393 shares of Class A Common Stock under the Director Plan during the year ended December 31, 2017.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Incentive Plans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and again on May 16, 2017 to increase the number of shares available for issuance under the plan to 7,800,000 shares of Class A Common Stock and 2,200,000 shares of Class B Common Stock and to make certain other changes intended to bring the 2007 Incentive Plan into conformance with current best practices.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7,800,000 shares of Class A Common Stock and 2,200,000 shares of Class B Common Stock reserved for issuance upon exercise of any awards granted under the Company’s 2007 Incentive Plan. As of December 31, 2018, approximately 1,781,000 shares of Class A Common Stock and 762,000 shares of Class B Common Stock are available for issuance upon the exercise of any awards granted under the Company’s 2007 Incentive Plan. The Company issues new shares of its Class A or Class B Common Stock upon the exercise of stock options or vesting of restricted stock units. During the year ended December 31, 2018, the Company granted 459,663 options to purchase Class A Common Stock and 306,590 restricted Class B Common Stock units under the 2007 Incentive Plan. During the year ended December 31, 2017, the Company granted 472,463 options to purchase Class A Common Stock and 274,390 restricted Class B Common Stock units under the 2007 Incentive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awards, restricted stock units and employee stock purchases was $18.1 million for the year ended December 31, 2018, $15.6 million for the year ended December 31, 2017, and $12.9 million for the year ended December 31, 2016. Cash received from options exercised and shares purchased under all share-based payment arrangements was $5.7 million for the year ended December 31, 2018, $24.8 million for the year ended December 31, 2017, and $6.5 million for the year ended December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for the year ended December 31, 2018,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Weighted</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Exercise</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Intrinsic</w:t>
            </w:r>
          </w:p>
        </w:tc>
      </w:tr>
      <w:tr>
        <w:trPr>
          <w:trHeight w:val="234"/>
        </w:trPr>
        <w:tc>
          <w:tcPr>
            <w:tcW w:w="5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Price</w:t>
            </w:r>
          </w:p>
        </w:tc>
        <w:tc>
          <w:tcPr>
            <w:tcW w:w="22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Life (in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5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January 1, 2018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2,724,308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459,663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(126,027)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(73,664)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24,290,404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after December 31, 2018</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1,750,298</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30.62</w:t>
            </w:r>
          </w:p>
        </w:tc>
        <w:tc>
          <w:tcPr>
            <w:tcW w:w="152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7.63</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10,524,034</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December 31, 2018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1,187,924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23.15</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w w:val="98"/>
              </w:rPr>
              <w:t>13,457,583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weighted-average of the closing price as of December 31, 2018, of the Company’s Class A Common Stock of $34.48. The total intrinsic value of options exercised was $2.7 million during the year ended December 31, 2018, $25.0 million during the year ended December 31, 2017, and $4.8 million during the year ended December 31, 2016.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number of shares underlying Company’s non-vested stock options as of December 31, 2018, and changes during the year ended December 31, 2018, is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Non-vested Shares</w:t>
            </w:r>
          </w:p>
        </w:tc>
        <w:tc>
          <w:tcPr>
            <w:tcW w:w="10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1,836,062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459,663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(430,040)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(69,329)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at December 31, 2018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1,796,356</w:t>
            </w:r>
          </w:p>
        </w:tc>
        <w:tc>
          <w:tcPr>
            <w:tcW w:w="12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vested options was $5.7 million during the year ended December 31, 2018, $6.3 million during the year ended December 31, 2017, and $5.6 million during the year ended December 31, 2016. The weighted-average grant date fair value of options granted was $15.46 per share during the year ended December 31, 2018, $12.33 per share during the year ended December 31, 2017, and $6.54 per share during the year ended December 31, 2016.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restricted stock units to certain of its employees under the 2007 Incentive Plan and unrestricted stock awards to its non-employee directors under the Director Plan during the year ended December 31, 2018. The restricted stock units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units to the Company’s employees is amortized to expense on a straight-line basis over the restricted stock’s vesting period. The shares granted to non-employee directors are expensed on the grant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restricted stock units outstanding at December 31, 2018:</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Aggregate</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Intrinsic</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4"/>
        </w:trPr>
        <w:tc>
          <w:tcPr>
            <w:tcW w:w="5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Stock Awards and Units</w:t>
            </w:r>
          </w:p>
        </w:tc>
        <w:tc>
          <w:tcPr>
            <w:tcW w:w="12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Life (in Years)</w:t>
            </w: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0"/>
        </w:trPr>
        <w:tc>
          <w:tcPr>
            <w:tcW w:w="5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shares at January 1, 2018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540,132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306,590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(267,588)</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(6,000)</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r>
      <w:tr>
        <w:trPr>
          <w:trHeight w:val="210"/>
        </w:trPr>
        <w:tc>
          <w:tcPr>
            <w:tcW w:w="5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non-vested at December 31, 2018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573,134</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20,402,823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 after December 31, 2018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571,974</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20,361,531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shares issued upon the vesting of stock awards during the year ended December 31, 2018 was $6.6 million. The weighted-average grant date fair value of stock awards and units granted was $40.46 per share during the year ended December 31, 2018, $31.37 per share during the year ended December 31, 2017 and $17.57 per share during the year ended December 31, 2016.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$8.1 million of unrecognized compensation expense related to non-vested employee stock options to be recognized over a weighted-average period of 3.3 years and $7.1 million of unrecognized compensation cost related to non-vested restricted stock units to be recognized over a weighted-average period of 1.9 years.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plan (the “Rush 401k Plan”), which is available to all Company employees. Each employee who has completed 30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For the first 10% of an employee’s contribution, the Company contributes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$8.9 million during the year ended December 31, 2018, $7.0 million during the year ended December 31, 2017 and $6.5 million during the year ended December 31,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6, 2010, the Board of Directors of the Company adopted the Rush Enterprises, Inc. Deferred Compensation Plan (the “Deferred Compensation Plan”) pursuant to which selected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$11.1 million on December 31, 2018 and $9.8 million on December 31, 2017. The related cash surrender value of the life insurance contracts was $8.9 million on December 31, 2018 and $9.6 million on December 31, 2017.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does not provide any post-retirement benefits nor does it provide any post-employment benefits.</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Numerator for basic and diluted earnings per share −</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139,062</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172,129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40,582</w:t>
            </w:r>
          </w:p>
        </w:tc>
        <w:tc>
          <w:tcPr>
            <w:tcW w:w="0" w:type="dxa"/>
            <w:vAlign w:val="bottom"/>
          </w:tcPr>
          <w:p>
            <w:pPr>
              <w:spacing w:after="0"/>
              <w:rPr>
                <w:sz w:val="1"/>
                <w:szCs w:val="1"/>
                <w:color w:val="auto"/>
              </w:rPr>
            </w:pPr>
          </w:p>
        </w:tc>
      </w:tr>
      <w:tr>
        <w:trPr>
          <w:trHeight w:val="197"/>
        </w:trPr>
        <w:tc>
          <w:tcPr>
            <w:tcW w:w="57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39,938</w:t>
            </w: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w:t>
            </w:r>
          </w:p>
        </w:tc>
        <w:tc>
          <w:tcPr>
            <w:tcW w:w="3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40,980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40,603</w:t>
            </w:r>
          </w:p>
        </w:tc>
        <w:tc>
          <w:tcPr>
            <w:tcW w:w="0" w:type="dxa"/>
            <w:vAlign w:val="bottom"/>
          </w:tcPr>
          <w:p>
            <w:pPr>
              <w:spacing w:after="0"/>
              <w:rPr>
                <w:sz w:val="1"/>
                <w:szCs w:val="1"/>
                <w:color w:val="auto"/>
              </w:rPr>
            </w:pPr>
          </w:p>
        </w:tc>
      </w:tr>
      <w:tr>
        <w:trPr>
          <w:trHeight w:val="194"/>
        </w:trPr>
        <w:tc>
          <w:tcPr>
            <w:tcW w:w="574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shares outstanding and assumed conversions</w:t>
            </w: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4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4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years ended December 31, 2018, 2017 and 2016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options – weighted average</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3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82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53"/>
        </w:trPr>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tax provisions are summarized as follows (in thousands):</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22,443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15,236</w:t>
            </w:r>
          </w:p>
        </w:tc>
        <w:tc>
          <w:tcPr>
            <w:tcW w:w="5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c>
          <w:tcPr>
            <w:tcW w:w="5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17,536</w:t>
            </w:r>
          </w:p>
        </w:tc>
        <w:tc>
          <w:tcPr>
            <w:tcW w:w="5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 −</w:t>
            </w:r>
          </w:p>
        </w:tc>
        <w:tc>
          <w:tcPr>
            <w:tcW w:w="6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(64,821)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8,260</w:t>
            </w:r>
          </w:p>
        </w:tc>
        <w:tc>
          <w:tcPr>
            <w:tcW w:w="5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(62,203)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8,331</w:t>
            </w:r>
          </w:p>
        </w:tc>
        <w:tc>
          <w:tcPr>
            <w:tcW w:w="5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0"/>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44,107</w:t>
            </w: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(35,730)</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25,867</w:t>
            </w:r>
          </w:p>
        </w:tc>
        <w:tc>
          <w:tcPr>
            <w:tcW w:w="5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65" w:name="page66"/>
    <w:bookmarkEnd w:id="6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taxes based on the federal statutory rates and the provisions (benefits) for income taxes are summarized as follows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federal statutory rate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47,749</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3,246</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(4,097)</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deferred taxes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(82,862)</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5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(35,730)</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25,867</w:t>
            </w:r>
          </w:p>
        </w:tc>
      </w:tr>
      <w:tr>
        <w:trPr>
          <w:trHeight w:val="20"/>
        </w:trPr>
        <w:tc>
          <w:tcPr>
            <w:tcW w:w="5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taxes recorded in other comprehensive income and paid in capital consisted of the following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tax expense (benefit) related to components of other</w:t>
            </w: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120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78"/>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78"/>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stock based compensation</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78"/>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(4,076)</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(3,637)</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(16,202)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(19,480)</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(6,899)</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net operating loss carry forward</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(2,262)</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 tax credit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(3,627)</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 between book and tax basis- 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174,266</w:t>
            </w:r>
          </w:p>
        </w:tc>
      </w:tr>
      <w:tr>
        <w:trPr>
          <w:trHeight w:val="20"/>
        </w:trPr>
        <w:tc>
          <w:tcPr>
            <w:tcW w:w="6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135,261</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6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141,308</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135,311</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22, 2017, the Tax Act was enacted. The Tax Act included, among other items, a reduction of the U.S. federal corporate tax rate from 35% to 21% effective January 1, 2018. The Tax Act made broad and complex changes to the U.S. tax code, some of which affected the Company’s 2017 year end results. Staff Accounting Bulletin No. 118 (SAB 118) provided guidance that allowed registrants to provide a reasonable estimate of the Tax Act in their financial statements and adjust the reported impact in a measurement period not to exceed one year. We applied the guidance in SAB 118 when accounting for the enactment-date effects of the Tax Act in 2017 and throughout 2018. At December 31, 2017, we had not completed our accounting for all of the enactment-date income tax effects of the Tax Act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remeasurement of deferred tax assets and liabilities. At December 31, 2018, we have now completed our accounting for all of the enactment-date income tax effects of the Tax Act. As further discussed below, during 2018, we did not identify any material or significant adjustments to the provisional amounts recorded at December 31, 2017.</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2017, the Company recognized a net tax benefit of $82.9 million, which was included as a component of income tax expense. The benefit recorded was primarily a result of the remeasurement of the Company’s deferred tax assets and liabilities at the rate in which they will reverse. Upon further analysis of certain aspects of the Tax Act and refinement of our calculations during the 12 months ended December 31, 2018, we adjusted our provisional amount by less than $100,000 which is included as a component of income tax expense from continuing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6" w:name="page67"/>
    <w:bookmarkEnd w:id="6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approximately $51.0 million in state net operating loss carry forwards that expire from 2018 to 2038. The Company has evaluated whether its state net operating losses are realizable and has recorded a valuation allowance of $50,000 against them. The valuation allowance remained unchanged in 2018.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unrecognized income tax benefits totaling $2.4 million as a component of accrued liabilities as of December 31, 2018, and $2.6 million at December 31, 2017,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2018, 2017 and 2016, the Company recognized approximately $(27,450), $21,050, and $34,800 in interest expense (income). No amounts were accrued for penalties. The Company had approximately $139,000, $166,000 and $145,000 for the payment of interest accrued as of December 31, 2018, 2017 and 2016,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December 31, 2018, the tax years ended December 31, 2015 through 2018 remained subject to audit by federal tax authorities and the tax years ended December 31, 2014 through 2018, remained subject to audit by state tax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unrecognized tax benefits is as follows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2,555</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year</w:t>
            </w:r>
          </w:p>
        </w:tc>
        <w:tc>
          <w:tcPr>
            <w:tcW w:w="10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0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2,389</w:t>
            </w: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2,555</w:t>
            </w:r>
          </w:p>
        </w:tc>
        <w:tc>
          <w:tcPr>
            <w:tcW w:w="40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top w:val="single" w:sz="8" w:color="CCEEFF"/>
            </w:tcBorders>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ind w:left="820" w:hanging="812"/>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purchase obligations of approximately $10.0 million as of December 31, 2018 related to the Company’s construction contract for a facility in Atlanta, Georgia and the purchase of real estate in Irving, Texas. The Company also has a contractual obligation of approximately $2.8 million with SAP America, Inc. with respect to the software license agreement for the ERP Platform.</w:t>
      </w:r>
    </w:p>
    <w:p>
      <w:pPr>
        <w:spacing w:after="0" w:line="200" w:lineRule="exact"/>
        <w:rPr>
          <w:sz w:val="20"/>
          <w:szCs w:val="20"/>
          <w:color w:val="auto"/>
        </w:rPr>
      </w:pPr>
    </w:p>
    <w:p>
      <w:pPr>
        <w:spacing w:after="0" w:line="219" w:lineRule="exact"/>
        <w:rPr>
          <w:sz w:val="20"/>
          <w:szCs w:val="20"/>
          <w:color w:val="auto"/>
        </w:rPr>
      </w:pPr>
    </w:p>
    <w:p>
      <w:pPr>
        <w:ind w:left="820" w:hanging="812"/>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acquisition was considered a business combination and accounted for under ASC 805 “Business Combinations.” Pro forma information is not included in accordance with ASC 805 because this acquisition was not considered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14, 2017, the Company acquired certain assets of Transwest San Diego, LLC, which included a Ford truck franchise in 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was valued at approximately $2.2 million, with the purchase price paid in cash.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7" w:name="page68"/>
    <w:bookmarkEnd w:id="6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1140" w:right="6860" w:hanging="1132"/>
        <w:spacing w:after="0" w:line="313" w:lineRule="auto"/>
        <w:tabs>
          <w:tab w:leader="none" w:pos="8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UNAUDITED QUARTERLY FINANCIAL DATA</w:t>
      </w:r>
      <w:r>
        <w:rPr>
          <w:rFonts w:ascii="Times New Roman" w:cs="Times New Roman" w:eastAsia="Times New Roman" w:hAnsi="Times New Roman"/>
          <w:sz w:val="17"/>
          <w:szCs w:val="17"/>
          <w:color w:val="auto"/>
        </w:rPr>
        <w:t>: (In thousands, except per share amounts.)</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30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3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0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1,240,781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1,348,831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1,376,136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226,995</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243,377</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249,057</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32,389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43,426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58,649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28,083</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38,932</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54,181</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21,039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29,389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41,665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1,044,797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1,203,523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1,257,459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187,907</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209,072</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220,048</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24,849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37,407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48,436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22,058</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34,583</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45,335</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21,999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29,784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820" w:hanging="81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intersegment sales and transfers as if the sales or transfers were to third parties, that is, at current market prices. There were no material intersegment sales during the years ended December 31, 2018, 2017 or 2016.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 segment income or loss from continuing operations and segment assets for the periods ended December 31, 2018, 2017 and 2016 (in thousands):</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Truck</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All</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5,488,787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17,403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202,851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income (loss) from continuing operations before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183,251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3,166,174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35,176</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288,831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4,698,035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15,847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148,709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Segment income (loss) from continuing operations before</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137,205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2,855,001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35,138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288,831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4,199,348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income (loss) from continuing operations before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67,364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2,570,016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33,031</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290,191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196,965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820" w:hanging="812"/>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a loan and security agreement with Central California Truck &amp; Trailer Sales, LLC (“CCTTS”), a related party. The fifth amendment to the loan and security agreement provides for advances up to $17.0 million to finance commercial vehicle inventory and bears interest at the three month LIBOR rate plus 4.0%. Principal amounts advanced under the loan agreement are due when the related commercial vehicle inventory is sold by CCTTS and the interest is payable monthly. The Company had a $12.9 million receivable under the loan agreement as of December 31, 2018, and an $11.9 million receivable as of December 31, 2017.</w:t>
      </w:r>
    </w:p>
    <w:p>
      <w:pPr>
        <w:spacing w:after="0" w:line="200" w:lineRule="exact"/>
        <w:rPr>
          <w:sz w:val="20"/>
          <w:szCs w:val="20"/>
          <w:color w:val="auto"/>
        </w:rPr>
      </w:pPr>
    </w:p>
    <w:p>
      <w:pPr>
        <w:spacing w:after="0" w:line="227" w:lineRule="exact"/>
        <w:rPr>
          <w:sz w:val="20"/>
          <w:szCs w:val="20"/>
          <w:color w:val="auto"/>
        </w:rPr>
      </w:pPr>
    </w:p>
    <w:p>
      <w:pPr>
        <w:ind w:left="820" w:hanging="812"/>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2016, the Company instituted plans to consolidate its dealership network and incurred pre-tax expenses of approximately $8.9 million related to costs associated with the restructuring activities, including asset impairment charges.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restructuring charges included $8.2 million associated with impairment charges related to certain fixed assets, the value of the real estate underlying the affected locations and a write-down of certain excess real estate, which was reported in selling, general and administrative expenses in the Consolidated Statements of Income and Comprehensive Income. See Note 9 – Financial Instruments and Fair Value, for further discussion on the impairment charge related to the value of real estate in the affected locations.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2016 and 2017, the Company sold seven of the properties previously classified as held for sale with a fair value of $8.3 million. In 2018, the Company sold four of the properties with an aggregate fair value of $4.7 million. During the third quarter of 2017, the Company made the decision to put one of the properties previously classified as “held for sale” with a fair value of $1.4 million back into service. During the fourth quarter of 2018, the Company made the decision to put one of the properties previously classified as “held for sale” with a fair value of $2.6 million back into service. As of December 31, 2018, the remaining real estate associated with the restructuring activities is included in assets held for sale on the Consolidated Balance Sheets.</w:t>
      </w:r>
    </w:p>
    <w:p>
      <w:pPr>
        <w:sectPr>
          <w:pgSz w:w="11900" w:h="16838" w:orient="portrait"/>
          <w:cols w:equalWidth="0" w:num="1">
            <w:col w:w="11420"/>
          </w:cols>
          <w:pgMar w:left="240" w:top="112" w:right="239" w:bottom="90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900" w:gutter="0" w:footer="0" w:header="0"/>
          <w:type w:val="continuous"/>
        </w:sectPr>
      </w:pPr>
    </w:p>
    <w:bookmarkStart w:id="69" w:name="page70"/>
    <w:bookmarkEnd w:id="6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costs and the assets held for sale are reported under the Truck Segment.</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amended the accounting standards for revenue recognition. The Company adopted Topic 606 on January 1, 2018, and is applying the modified retrospective method. There was not a material impact to revenues as a result of applying Topic 606 for the year ended December 31, 2018, and there have not been significant changes to our business processes, systems or internal controls as a result of implementing the standard. Adoption of the new standard does not materially change the timing or amount of revenue recognized in the Company’s Consolidated Statements of Income and Comprehensive Income.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for the year ended December 31, 2018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Year Ended</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2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3,558,637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937,241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5,267,952</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does not have any material contract assets or contract liabilities on the Balance Sheet as of December 31, 2018. Revenues related to commercial vehicle sales, parts sales, commercial vehicle repair service, finance and the majority of other revenues are related to the Truck Segment.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0" w:name="page71"/>
    <w:bookmarkEnd w:id="7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is mostly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200" w:lineRule="exact"/>
        <w:rPr>
          <w:sz w:val="20"/>
          <w:szCs w:val="20"/>
          <w:color w:val="auto"/>
        </w:rPr>
      </w:pPr>
    </w:p>
    <w:p>
      <w:pPr>
        <w:spacing w:after="0" w:line="205" w:lineRule="exact"/>
        <w:rPr>
          <w:sz w:val="20"/>
          <w:szCs w:val="20"/>
          <w:color w:val="auto"/>
        </w:rPr>
      </w:pPr>
    </w:p>
    <w:p>
      <w:pPr>
        <w:ind w:left="820" w:hanging="812"/>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2019, the Company announced that it had entered into an agreement with Tallman Group, the largest International dealership group in Canada, to form Rush Truck Centres of Canada Limited, which will operate Tallman Group’s network of commercial vehicle dealerships in the Province of Ontario, Canada. Under the terms of the agreement, which is subject to customary closing conditions, a subsidiary of the Company will purchase 50% of the equity in Rush Truck Centres of Canada Limited for approximately CAD $30.0 million. The purchase price does not include any of the real estate, which will continue to be leased from the existing owners of the real estate. The Company does not intend to consolidate Rush Truck Centres of Canada Limited as part of its Truck Segment for financial reporting purposes. Rush Truck Centres of Canada Limited will be accounted for as an equity method investment. The parties expect the transaction to close on February 25,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1" w:name="page72"/>
    <w:bookmarkEnd w:id="7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2018,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December 31, 2018,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2018, based on those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2018. The report, which expresses an unqualified opinion on the effectiveness of the Company’s internal control over financial reporting as of December 31, 2018, is included in this Item 9A under the heading “Attestation Report of Independent Registered Public Accounting Firm.”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and Board of Directors of Rush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Rush Enterprises, Inc.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2018,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shareholders’ equity, and cash flows for each of the three years in the period ended December 31, 2018, and the related notes and our report dated February 25,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3" w:name="page74"/>
    <w:bookmarkEnd w:id="7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10 of Form 10-K is incorporated herein by reference to such information included in the Company’s Proxy Statement for the 2019 Annual Meeting of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code of ethics applicable to our principal executive officer, principal financial officer, principal accounting officer or controller, and other persons performing similar functions. To view this code of ethics free of charge, please visit our website at www.rushenterprises.com (This website address is not intended to function as a hyperlink, and the information contained in our website is not incorporated in to this report or otherwise made part of this report). We intend to satisfy the disclosure requirements under Item 5.05 of Form 8-K regarding an amendment to, or waiver from, a provision of this code of ethics, if any, by posting such information on our website set forth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11 of Form 10-K is incorporated herein by reference to such information included in the Company’s Proxy Statement for the 2019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12 of Form 10-K, other than the equity compensation plan information set forth below, is incorporated herein by reference to such information included in the Company’s Proxy Statement for the 2019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13 of Form 10-K is incorporated herein by reference to such information included in the Company’s Proxy Statement for the 2019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14 of Form 10-K is incorporated herein by reference to such information included in the Company’s Proxy Statement for the 2019 Annual Meeting of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2018, and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2018, 2017,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2018, 2017,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2018, 2017,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2018, 2017, and 2016;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These schedules are omitted as the required information is inapplicable or the information is presented in the consolidated financial statements or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(a)(3) Exhibits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6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Identification of Exhibit</w:t>
            </w:r>
          </w:p>
        </w:tc>
      </w:tr>
      <w:tr>
        <w:trPr>
          <w:trHeight w:val="196"/>
        </w:trPr>
        <w:tc>
          <w:tcPr>
            <w:tcW w:w="1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0" w:type="dxa"/>
            <w:vAlign w:val="bottom"/>
          </w:tcPr>
          <w:p>
            <w:pPr>
              <w:spacing w:after="0"/>
              <w:rPr>
                <w:sz w:val="17"/>
                <w:szCs w:val="17"/>
                <w:color w:val="auto"/>
              </w:rPr>
            </w:pPr>
          </w:p>
        </w:tc>
        <w:tc>
          <w:tcPr>
            <w:tcW w:w="9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Restated Articles of Incorporation of Rush Enterprises, Inc. (incorporated herein by reference to Exhibit 3.1 of the Company’s</w:t>
              </w:r>
            </w:hyperlink>
          </w:p>
        </w:tc>
        <w:tc>
          <w:tcPr>
            <w:tcW w:w="100" w:type="dxa"/>
            <w:vAlign w:val="bottom"/>
            <w:gridSpan w:val="2"/>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Quarterly Report on Form 10-Q (File No. 000-20797) for the quarter ended June 30, 2008)</w:t>
              </w:r>
            </w:hyperlink>
          </w:p>
        </w:tc>
        <w:tc>
          <w:tcPr>
            <w:tcW w:w="3000" w:type="dxa"/>
            <w:vAlign w:val="bottom"/>
            <w:gridSpan w:val="7"/>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tcPr>
          <w:p>
            <w:pPr>
              <w:spacing w:after="0"/>
              <w:rPr>
                <w:sz w:val="24"/>
                <w:szCs w:val="24"/>
                <w:color w:val="auto"/>
              </w:rPr>
            </w:pPr>
          </w:p>
        </w:tc>
        <w:tc>
          <w:tcPr>
            <w:tcW w:w="9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Rush Enterprises, Inc. Amended and Restated Bylaws (incorporated herein by reference to Exhibit 3.1 of the Company’s Current</w:t>
              </w:r>
            </w:hyperlink>
          </w:p>
        </w:tc>
        <w:tc>
          <w:tcPr>
            <w:tcW w:w="10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Report on Form 8-K (File No. 000-20797) filed May 21, 2013)</w:t>
              </w:r>
            </w:hyperlink>
          </w:p>
        </w:tc>
        <w:tc>
          <w:tcPr>
            <w:tcW w:w="5000" w:type="dxa"/>
            <w:vAlign w:val="bottom"/>
            <w:gridSpan w:val="10"/>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600" w:type="dxa"/>
            <w:vAlign w:val="bottom"/>
          </w:tcPr>
          <w:p>
            <w:pPr>
              <w:spacing w:after="0"/>
              <w:rPr>
                <w:sz w:val="24"/>
                <w:szCs w:val="24"/>
                <w:color w:val="auto"/>
              </w:rPr>
            </w:pPr>
          </w:p>
        </w:tc>
        <w:tc>
          <w:tcPr>
            <w:tcW w:w="9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Specimen of certificate representing Common Stock (now Class B Common Stock), $.01 par value, of Rush Enterprises, Inc.</w:t>
              </w:r>
            </w:hyperlink>
          </w:p>
        </w:tc>
        <w:tc>
          <w:tcPr>
            <w:tcW w:w="8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540" w:type="dxa"/>
            <w:vAlign w:val="bottom"/>
            <w:gridSpan w:val="1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(incorporated herein by reference to Exhibit 4.1 of the Company’s Registration Statement No. 333-03346 on Form S-1 filed April</w:t>
              </w:r>
            </w:hyperlink>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77">
              <w:r>
                <w:rPr>
                  <w:rFonts w:ascii="Times New Roman" w:cs="Times New Roman" w:eastAsia="Times New Roman" w:hAnsi="Times New Roman"/>
                  <w:sz w:val="18"/>
                  <w:szCs w:val="18"/>
                  <w:color w:val="0000EE"/>
                  <w:w w:val="95"/>
                </w:rPr>
                <w:t>10, 1996)</w:t>
              </w:r>
            </w:hyperlink>
          </w:p>
        </w:tc>
        <w:tc>
          <w:tcPr>
            <w:tcW w:w="78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600" w:type="dxa"/>
            <w:vAlign w:val="bottom"/>
          </w:tcPr>
          <w:p>
            <w:pPr>
              <w:spacing w:after="0"/>
              <w:rPr>
                <w:sz w:val="24"/>
                <w:szCs w:val="24"/>
                <w:color w:val="auto"/>
              </w:rPr>
            </w:pPr>
          </w:p>
        </w:tc>
        <w:tc>
          <w:tcPr>
            <w:tcW w:w="9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Specimen of certificate representing Class A Common Stock, $.01 par value, of the Registrant (incorporated herein by reference to</w:t>
              </w:r>
            </w:hyperlink>
          </w:p>
        </w:tc>
        <w:tc>
          <w:tcPr>
            <w:tcW w:w="10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Exhibit 4.1 of the Company’s Registration Statement on Form 8-A filed July 9, 2002)</w:t>
              </w:r>
            </w:hyperlink>
          </w:p>
        </w:tc>
        <w:tc>
          <w:tcPr>
            <w:tcW w:w="3380" w:type="dxa"/>
            <w:vAlign w:val="bottom"/>
            <w:gridSpan w:val="8"/>
          </w:tcPr>
          <w:p>
            <w:pPr>
              <w:spacing w:after="0"/>
              <w:rPr>
                <w:sz w:val="17"/>
                <w:szCs w:val="17"/>
                <w:color w:val="auto"/>
              </w:rPr>
            </w:pPr>
          </w:p>
        </w:tc>
      </w:tr>
      <w:tr>
        <w:trPr>
          <w:trHeight w:val="412"/>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Right of First Refusal dated December 19, 2012 between Peterbilt Motors Company and W. Marvin Rush (incorporated herein by</w:t>
              </w:r>
            </w:hyperlink>
          </w:p>
        </w:tc>
        <w:tc>
          <w:tcPr>
            <w:tcW w:w="10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7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reference to Exhibit 10.2 of the Company’s Current Report on Form 8-K (File No. 000-20797) filed December 20, 2012)</w:t>
              </w:r>
            </w:hyperlink>
          </w:p>
        </w:tc>
        <w:tc>
          <w:tcPr>
            <w:tcW w:w="840" w:type="dxa"/>
            <w:vAlign w:val="bottom"/>
            <w:gridSpan w:val="6"/>
          </w:tcPr>
          <w:p>
            <w:pPr>
              <w:spacing w:after="0"/>
              <w:rPr>
                <w:sz w:val="17"/>
                <w:szCs w:val="17"/>
                <w:color w:val="auto"/>
              </w:rPr>
            </w:pPr>
          </w:p>
        </w:tc>
      </w:tr>
      <w:tr>
        <w:trPr>
          <w:trHeight w:val="412"/>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Right of First Refusal dated December 19, 2012 between Peterbilt Motors Company and W.M. “Rusty” Rush (incorporated herein</w:t>
              </w:r>
            </w:hyperlink>
          </w:p>
        </w:tc>
        <w:tc>
          <w:tcPr>
            <w:tcW w:w="10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by reference to Exhibit 10.3 of the Company’s Current Report on Form 8-K (File No. 000-20797) filed December 20, 2012)</w:t>
              </w:r>
            </w:hyperlink>
          </w:p>
        </w:tc>
        <w:tc>
          <w:tcPr>
            <w:tcW w:w="620" w:type="dxa"/>
            <w:vAlign w:val="bottom"/>
            <w:gridSpan w:val="5"/>
          </w:tcPr>
          <w:p>
            <w:pPr>
              <w:spacing w:after="0"/>
              <w:rPr>
                <w:sz w:val="17"/>
                <w:szCs w:val="17"/>
                <w:color w:val="auto"/>
              </w:rPr>
            </w:pPr>
          </w:p>
        </w:tc>
      </w:tr>
      <w:tr>
        <w:trPr>
          <w:trHeight w:val="412"/>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9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Rush Enterprises, Inc. 2004 Employee Stock Purchase Plan, as amended (as Amended and Restated Effective February 23,</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540" w:type="dxa"/>
            <w:vAlign w:val="bottom"/>
            <w:gridSpan w:val="14"/>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2016) (incorporated herein by reference to Exhibit 10.5 of the Company’s Form 10-K (File No. 000-20797) for the year ended</w:t>
              </w:r>
            </w:hyperlink>
          </w:p>
        </w:tc>
      </w:tr>
      <w:tr>
        <w:trPr>
          <w:trHeight w:val="196"/>
        </w:trPr>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December 31, 2016)</w:t>
              </w:r>
            </w:hyperlink>
          </w:p>
        </w:tc>
        <w:tc>
          <w:tcPr>
            <w:tcW w:w="140" w:type="dxa"/>
            <w:vAlign w:val="bottom"/>
            <w:gridSpan w:val="4"/>
          </w:tcPr>
          <w:p>
            <w:pPr>
              <w:spacing w:after="0"/>
              <w:rPr>
                <w:sz w:val="17"/>
                <w:szCs w:val="17"/>
                <w:color w:val="auto"/>
              </w:rPr>
            </w:pPr>
          </w:p>
        </w:tc>
      </w:tr>
      <w:tr>
        <w:trPr>
          <w:trHeight w:val="480"/>
        </w:trPr>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Borders>
              <w:top w:val="single" w:sz="8" w:color="0000EE"/>
            </w:tcBorders>
            <w:gridSpan w:val="2"/>
          </w:tcPr>
          <w:p>
            <w:pPr>
              <w:spacing w:after="0"/>
              <w:rPr>
                <w:sz w:val="24"/>
                <w:szCs w:val="24"/>
                <w:color w:val="auto"/>
              </w:rPr>
            </w:pPr>
          </w:p>
        </w:tc>
        <w:tc>
          <w:tcPr>
            <w:tcW w:w="30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75" w:name="page76"/>
    <w:bookmarkEnd w:id="7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Rush Enterprises, Inc. Amended and Restated 2006 Non-Employee Director Stock Plan (incorporated herein by reference to</w:t>
              </w:r>
            </w:hyperlink>
          </w:p>
        </w:tc>
        <w:tc>
          <w:tcPr>
            <w:tcW w:w="80" w:type="dxa"/>
            <w:vAlign w:val="bottom"/>
          </w:tcPr>
          <w:p>
            <w:pPr>
              <w:spacing w:after="0"/>
              <w:rPr>
                <w:sz w:val="17"/>
                <w:szCs w:val="17"/>
                <w:color w:val="auto"/>
              </w:rPr>
            </w:pPr>
          </w:p>
        </w:tc>
      </w:tr>
      <w:tr>
        <w:trPr>
          <w:trHeight w:val="196"/>
        </w:trPr>
        <w:tc>
          <w:tcPr>
            <w:tcW w:w="1880" w:type="dxa"/>
            <w:vAlign w:val="bottom"/>
          </w:tcPr>
          <w:p>
            <w:pPr>
              <w:spacing w:after="0"/>
              <w:rPr>
                <w:sz w:val="17"/>
                <w:szCs w:val="17"/>
                <w:color w:val="auto"/>
              </w:rPr>
            </w:pPr>
          </w:p>
        </w:tc>
        <w:tc>
          <w:tcPr>
            <w:tcW w:w="7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Exhibit 10.10 of the Company’s Form 10-K (File No. 000-20797) for the year ended December 31, 2010)</w:t>
              </w:r>
            </w:hyperlink>
          </w:p>
        </w:tc>
        <w:tc>
          <w:tcPr>
            <w:tcW w:w="1940" w:type="dxa"/>
            <w:vAlign w:val="bottom"/>
            <w:gridSpan w:val="9"/>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Rush Enterprises, Inc. 2006 Non-Employee Director Stock Option Agreement (incorporated herein by reference to</w:t>
              </w:r>
            </w:hyperlink>
          </w:p>
        </w:tc>
        <w:tc>
          <w:tcPr>
            <w:tcW w:w="120" w:type="dxa"/>
            <w:vAlign w:val="bottom"/>
            <w:gridSpan w:val="3"/>
          </w:tcPr>
          <w:p>
            <w:pPr>
              <w:spacing w:after="0"/>
              <w:rPr>
                <w:sz w:val="24"/>
                <w:szCs w:val="24"/>
                <w:color w:val="auto"/>
              </w:rPr>
            </w:pPr>
          </w:p>
        </w:tc>
      </w:tr>
      <w:tr>
        <w:trPr>
          <w:trHeight w:val="196"/>
        </w:trPr>
        <w:tc>
          <w:tcPr>
            <w:tcW w:w="1880" w:type="dxa"/>
            <w:vAlign w:val="bottom"/>
          </w:tcPr>
          <w:p>
            <w:pPr>
              <w:spacing w:after="0"/>
              <w:rPr>
                <w:sz w:val="17"/>
                <w:szCs w:val="17"/>
                <w:color w:val="auto"/>
              </w:rPr>
            </w:pPr>
          </w:p>
        </w:tc>
        <w:tc>
          <w:tcPr>
            <w:tcW w:w="7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Exhibit 4.4 of the Company’s Registration Statement No. 333-138556 on Form S-8 filed November 9, 2006)</w:t>
              </w:r>
            </w:hyperlink>
          </w:p>
        </w:tc>
        <w:tc>
          <w:tcPr>
            <w:tcW w:w="1720" w:type="dxa"/>
            <w:vAlign w:val="bottom"/>
            <w:gridSpan w:val="8"/>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Rush Enterprises, Inc. 2006 Non-Employee Director Stock Plan Restricted Stock Unit Award Agreement (incorporated</w:t>
              </w:r>
            </w:hyperlink>
          </w:p>
        </w:tc>
        <w:tc>
          <w:tcPr>
            <w:tcW w:w="120" w:type="dxa"/>
            <w:vAlign w:val="bottom"/>
            <w:gridSpan w:val="3"/>
          </w:tcPr>
          <w:p>
            <w:pPr>
              <w:spacing w:after="0"/>
              <w:rPr>
                <w:sz w:val="24"/>
                <w:szCs w:val="24"/>
                <w:color w:val="auto"/>
              </w:rPr>
            </w:pPr>
          </w:p>
        </w:tc>
      </w:tr>
      <w:tr>
        <w:trPr>
          <w:trHeight w:val="196"/>
        </w:trPr>
        <w:tc>
          <w:tcPr>
            <w:tcW w:w="1880" w:type="dxa"/>
            <w:vAlign w:val="bottom"/>
          </w:tcPr>
          <w:p>
            <w:pPr>
              <w:spacing w:after="0"/>
              <w:rPr>
                <w:sz w:val="17"/>
                <w:szCs w:val="17"/>
                <w:color w:val="auto"/>
              </w:rPr>
            </w:pPr>
          </w:p>
        </w:tc>
        <w:tc>
          <w:tcPr>
            <w:tcW w:w="8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herein by reference to Exhibit 10.1 of the Company’s Form 10-Q (File No. 000-20797) for the quarter ended June 30, 2012)</w:t>
              </w:r>
            </w:hyperlink>
          </w:p>
        </w:tc>
        <w:tc>
          <w:tcPr>
            <w:tcW w:w="620" w:type="dxa"/>
            <w:vAlign w:val="bottom"/>
            <w:gridSpan w:val="6"/>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540" w:type="dxa"/>
            <w:vAlign w:val="bottom"/>
            <w:gridSpan w:val="16"/>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Rush Enterprises, Inc. Amended and Restated 2007 Long-Term Incentive Plan (incorporated herein by reference to Exhibit 10.1 of</w:t>
              </w:r>
            </w:hyperlink>
          </w:p>
        </w:tc>
      </w:tr>
      <w:tr>
        <w:trPr>
          <w:trHeight w:val="196"/>
        </w:trPr>
        <w:tc>
          <w:tcPr>
            <w:tcW w:w="188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the Company’s Current Report on Form 8-K (File No. 000-20797) filed May 22, 2017)</w:t>
              </w:r>
            </w:hyperlink>
          </w:p>
        </w:tc>
        <w:tc>
          <w:tcPr>
            <w:tcW w:w="3140" w:type="dxa"/>
            <w:vAlign w:val="bottom"/>
            <w:tcBorders>
              <w:top w:val="single" w:sz="8" w:color="0000EE"/>
            </w:tcBorders>
            <w:gridSpan w:val="6"/>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540" w:type="dxa"/>
            <w:vAlign w:val="bottom"/>
            <w:gridSpan w:val="16"/>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Rush Enterprises, Inc. 2007 Long-Term Incentive Plan Restricted Stock Unit Agreement (incorporated herein by</w:t>
              </w:r>
            </w:hyperlink>
          </w:p>
        </w:tc>
      </w:tr>
      <w:tr>
        <w:trPr>
          <w:trHeight w:val="196"/>
        </w:trPr>
        <w:tc>
          <w:tcPr>
            <w:tcW w:w="1880" w:type="dxa"/>
            <w:vAlign w:val="bottom"/>
          </w:tcPr>
          <w:p>
            <w:pPr>
              <w:spacing w:after="0"/>
              <w:rPr>
                <w:sz w:val="17"/>
                <w:szCs w:val="17"/>
                <w:color w:val="auto"/>
              </w:rPr>
            </w:pPr>
          </w:p>
        </w:tc>
        <w:tc>
          <w:tcPr>
            <w:tcW w:w="94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reference to Exhibit 10.1 of the Company’s Current Report on Form 8-K (File No. 000-20797) filed March 14, 2012)</w:t>
              </w:r>
            </w:hyperlink>
          </w:p>
        </w:tc>
        <w:tc>
          <w:tcPr>
            <w:tcW w:w="140" w:type="dxa"/>
            <w:vAlign w:val="bottom"/>
            <w:gridSpan w:val="4"/>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Rush Enterprises, Inc. 2007 Long-Term Incentive Plan Stock Option Agreement (incorporated herein by reference to</w:t>
              </w:r>
            </w:hyperlink>
          </w:p>
        </w:tc>
        <w:tc>
          <w:tcPr>
            <w:tcW w:w="100" w:type="dxa"/>
            <w:vAlign w:val="bottom"/>
            <w:gridSpan w:val="2"/>
          </w:tcPr>
          <w:p>
            <w:pPr>
              <w:spacing w:after="0"/>
              <w:rPr>
                <w:sz w:val="24"/>
                <w:szCs w:val="24"/>
                <w:color w:val="auto"/>
              </w:rPr>
            </w:pPr>
          </w:p>
        </w:tc>
      </w:tr>
      <w:tr>
        <w:trPr>
          <w:trHeight w:val="196"/>
        </w:trPr>
        <w:tc>
          <w:tcPr>
            <w:tcW w:w="1880" w:type="dxa"/>
            <w:vAlign w:val="bottom"/>
          </w:tcPr>
          <w:p>
            <w:pPr>
              <w:spacing w:after="0"/>
              <w:rPr>
                <w:sz w:val="17"/>
                <w:szCs w:val="17"/>
                <w:color w:val="auto"/>
              </w:rPr>
            </w:pPr>
          </w:p>
        </w:tc>
        <w:tc>
          <w:tcPr>
            <w:tcW w:w="5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Exhibit 4.4 of the Company’s Form S-8 (File No. 333-144821) filed July 24, 2007)</w:t>
              </w:r>
            </w:hyperlink>
          </w:p>
        </w:tc>
        <w:tc>
          <w:tcPr>
            <w:tcW w:w="3560" w:type="dxa"/>
            <w:vAlign w:val="bottom"/>
            <w:gridSpan w:val="11"/>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540" w:type="dxa"/>
            <w:vAlign w:val="bottom"/>
            <w:gridSpan w:val="16"/>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Rush Enterprises, Inc. Deferred Compensation Plan (incorporated herein by reference to Exhibit 10.1 of the Company’s Current</w:t>
              </w:r>
            </w:hyperlink>
          </w:p>
        </w:tc>
      </w:tr>
      <w:tr>
        <w:trPr>
          <w:trHeight w:val="196"/>
        </w:trPr>
        <w:tc>
          <w:tcPr>
            <w:tcW w:w="1880" w:type="dxa"/>
            <w:vAlign w:val="bottom"/>
          </w:tcPr>
          <w:p>
            <w:pPr>
              <w:spacing w:after="0"/>
              <w:rPr>
                <w:sz w:val="17"/>
                <w:szCs w:val="17"/>
                <w:color w:val="auto"/>
              </w:rPr>
            </w:pPr>
          </w:p>
        </w:tc>
        <w:tc>
          <w:tcPr>
            <w:tcW w:w="94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8-K (File No. 000-20797) filed November 12, 2010)</w:t>
              </w:r>
            </w:hyperlink>
          </w:p>
        </w:tc>
        <w:tc>
          <w:tcPr>
            <w:tcW w:w="140" w:type="dxa"/>
            <w:vAlign w:val="bottom"/>
            <w:gridSpan w:val="4"/>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Indemnity Agreement (incorporated herein by reference to Exhibit 10.1 of the Company’s Current Report on Form 8-K</w:t>
              </w:r>
            </w:hyperlink>
          </w:p>
        </w:tc>
        <w:tc>
          <w:tcPr>
            <w:tcW w:w="80" w:type="dxa"/>
            <w:vAlign w:val="bottom"/>
          </w:tcPr>
          <w:p>
            <w:pPr>
              <w:spacing w:after="0"/>
              <w:rPr>
                <w:sz w:val="24"/>
                <w:szCs w:val="24"/>
                <w:color w:val="auto"/>
              </w:rPr>
            </w:pPr>
          </w:p>
        </w:tc>
      </w:tr>
      <w:tr>
        <w:trPr>
          <w:trHeight w:val="196"/>
        </w:trPr>
        <w:tc>
          <w:tcPr>
            <w:tcW w:w="1880" w:type="dxa"/>
            <w:vAlign w:val="bottom"/>
          </w:tcPr>
          <w:p>
            <w:pPr>
              <w:spacing w:after="0"/>
              <w:rPr>
                <w:sz w:val="17"/>
                <w:szCs w:val="17"/>
                <w:color w:val="auto"/>
              </w:rPr>
            </w:pPr>
          </w:p>
        </w:tc>
        <w:tc>
          <w:tcPr>
            <w:tcW w:w="3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(File No. 000-20797) filed January 7, 2015)</w:t>
              </w:r>
            </w:hyperlink>
          </w:p>
        </w:tc>
        <w:tc>
          <w:tcPr>
            <w:tcW w:w="6380" w:type="dxa"/>
            <w:vAlign w:val="bottom"/>
            <w:gridSpan w:val="14"/>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Rush Enterprises, Inc. Executive Transition Plan (as Amended and Restated Effective as of February 20, 2018) (incorporated</w:t>
              </w:r>
            </w:hyperlink>
          </w:p>
        </w:tc>
        <w:tc>
          <w:tcPr>
            <w:tcW w:w="120" w:type="dxa"/>
            <w:vAlign w:val="bottom"/>
            <w:gridSpan w:val="3"/>
          </w:tcPr>
          <w:p>
            <w:pPr>
              <w:spacing w:after="0"/>
              <w:rPr>
                <w:sz w:val="24"/>
                <w:szCs w:val="24"/>
                <w:color w:val="auto"/>
              </w:rPr>
            </w:pPr>
          </w:p>
        </w:tc>
      </w:tr>
      <w:tr>
        <w:trPr>
          <w:trHeight w:val="196"/>
        </w:trPr>
        <w:tc>
          <w:tcPr>
            <w:tcW w:w="1880" w:type="dxa"/>
            <w:vAlign w:val="bottom"/>
          </w:tcPr>
          <w:p>
            <w:pPr>
              <w:spacing w:after="0"/>
              <w:rPr>
                <w:sz w:val="17"/>
                <w:szCs w:val="17"/>
                <w:color w:val="auto"/>
              </w:rPr>
            </w:pPr>
          </w:p>
        </w:tc>
        <w:tc>
          <w:tcPr>
            <w:tcW w:w="9540" w:type="dxa"/>
            <w:vAlign w:val="bottom"/>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herein by reference to Exhibit 10.1 of the Company’s Current Report on Form 8-K (File No. 000-20797) filed February 26, 2018)</w:t>
              </w:r>
            </w:hyperlink>
          </w:p>
        </w:tc>
      </w:tr>
      <w:tr>
        <w:trPr>
          <w:trHeight w:val="20"/>
        </w:trPr>
        <w:tc>
          <w:tcPr>
            <w:tcW w:w="1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586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540" w:type="dxa"/>
            <w:vAlign w:val="bottom"/>
            <w:gridSpan w:val="16"/>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dealer agreement between Peterbilt Motors Company and Rush Truck Centers (incorporated herein by reference to</w:t>
              </w:r>
            </w:hyperlink>
          </w:p>
        </w:tc>
      </w:tr>
      <w:tr>
        <w:trPr>
          <w:trHeight w:val="196"/>
        </w:trPr>
        <w:tc>
          <w:tcPr>
            <w:tcW w:w="18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Exhibit 10.18 of the Company’s Form 10-K (File No. 000-20797) for the year ended December 31, 1999)</w:t>
              </w:r>
            </w:hyperlink>
          </w:p>
        </w:tc>
        <w:tc>
          <w:tcPr>
            <w:tcW w:w="1800" w:type="dxa"/>
            <w:vAlign w:val="bottom"/>
            <w:tcBorders>
              <w:top w:val="single" w:sz="8" w:color="0000EE"/>
            </w:tcBorders>
            <w:gridSpan w:val="5"/>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Amended and Restated Amendment to Dealer Sales and Service Agreements, dated December 19, 2012, by and among Peterbilt</w:t>
              </w:r>
            </w:hyperlink>
          </w:p>
        </w:tc>
        <w:tc>
          <w:tcPr>
            <w:tcW w:w="100" w:type="dxa"/>
            <w:vAlign w:val="bottom"/>
            <w:gridSpan w:val="2"/>
          </w:tcPr>
          <w:p>
            <w:pPr>
              <w:spacing w:after="0"/>
              <w:rPr>
                <w:sz w:val="24"/>
                <w:szCs w:val="24"/>
                <w:color w:val="auto"/>
              </w:rPr>
            </w:pPr>
          </w:p>
        </w:tc>
      </w:tr>
      <w:tr>
        <w:trPr>
          <w:trHeight w:val="196"/>
        </w:trPr>
        <w:tc>
          <w:tcPr>
            <w:tcW w:w="1880" w:type="dxa"/>
            <w:vAlign w:val="bottom"/>
          </w:tcPr>
          <w:p>
            <w:pPr>
              <w:spacing w:after="0"/>
              <w:rPr>
                <w:sz w:val="17"/>
                <w:szCs w:val="17"/>
                <w:color w:val="auto"/>
              </w:rPr>
            </w:pPr>
          </w:p>
        </w:tc>
        <w:tc>
          <w:tcPr>
            <w:tcW w:w="9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Motors Company, a division of PACCAR, Inc., Rush Enterprises, Inc. and the subsidiaries of Rush Enterprises, Inc. named a party</w:t>
              </w:r>
            </w:hyperlink>
          </w:p>
        </w:tc>
        <w:tc>
          <w:tcPr>
            <w:tcW w:w="120" w:type="dxa"/>
            <w:vAlign w:val="bottom"/>
            <w:gridSpan w:val="3"/>
          </w:tcPr>
          <w:p>
            <w:pPr>
              <w:spacing w:after="0"/>
              <w:rPr>
                <w:sz w:val="17"/>
                <w:szCs w:val="17"/>
                <w:color w:val="auto"/>
              </w:rPr>
            </w:pPr>
          </w:p>
        </w:tc>
      </w:tr>
      <w:tr>
        <w:trPr>
          <w:trHeight w:val="196"/>
        </w:trPr>
        <w:tc>
          <w:tcPr>
            <w:tcW w:w="1880" w:type="dxa"/>
            <w:vAlign w:val="bottom"/>
          </w:tcPr>
          <w:p>
            <w:pPr>
              <w:spacing w:after="0"/>
              <w:rPr>
                <w:sz w:val="17"/>
                <w:szCs w:val="17"/>
                <w:color w:val="auto"/>
              </w:rPr>
            </w:pPr>
          </w:p>
        </w:tc>
        <w:tc>
          <w:tcPr>
            <w:tcW w:w="9540" w:type="dxa"/>
            <w:vAlign w:val="bottom"/>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therein (incorporated herein by reference to Exhibit 10.1 of the Company's Form 8-K (File No. 000-20797) filed December 20,</w:t>
              </w:r>
            </w:hyperlink>
          </w:p>
        </w:tc>
      </w:tr>
      <w:tr>
        <w:trPr>
          <w:trHeight w:val="196"/>
        </w:trPr>
        <w:tc>
          <w:tcPr>
            <w:tcW w:w="18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2">
              <w:r>
                <w:rPr>
                  <w:rFonts w:ascii="Times New Roman" w:cs="Times New Roman" w:eastAsia="Times New Roman" w:hAnsi="Times New Roman"/>
                  <w:sz w:val="18"/>
                  <w:szCs w:val="18"/>
                  <w:color w:val="0000EE"/>
                  <w:w w:val="95"/>
                </w:rPr>
                <w:t>2012)</w:t>
              </w:r>
            </w:hyperlink>
          </w:p>
        </w:tc>
        <w:tc>
          <w:tcPr>
            <w:tcW w:w="27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Guaranty Agreement, dated December 31, 2010, by Rush Enterprises, Inc. and each other Guarantor party thereto in favor of</w:t>
              </w:r>
            </w:hyperlink>
          </w:p>
        </w:tc>
        <w:tc>
          <w:tcPr>
            <w:tcW w:w="100" w:type="dxa"/>
            <w:vAlign w:val="bottom"/>
            <w:gridSpan w:val="2"/>
          </w:tcPr>
          <w:p>
            <w:pPr>
              <w:spacing w:after="0"/>
              <w:rPr>
                <w:sz w:val="24"/>
                <w:szCs w:val="24"/>
                <w:color w:val="auto"/>
              </w:rPr>
            </w:pPr>
          </w:p>
        </w:tc>
      </w:tr>
      <w:tr>
        <w:trPr>
          <w:trHeight w:val="196"/>
        </w:trPr>
        <w:tc>
          <w:tcPr>
            <w:tcW w:w="1880" w:type="dxa"/>
            <w:vAlign w:val="bottom"/>
          </w:tcPr>
          <w:p>
            <w:pPr>
              <w:spacing w:after="0"/>
              <w:rPr>
                <w:sz w:val="17"/>
                <w:szCs w:val="17"/>
                <w:color w:val="auto"/>
              </w:rPr>
            </w:pPr>
          </w:p>
        </w:tc>
        <w:tc>
          <w:tcPr>
            <w:tcW w:w="9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General Electric Capital Corporation. (incorporated herein by reference to Exhibit 10.2 of the Company’s Current Report on Form</w:t>
              </w:r>
            </w:hyperlink>
          </w:p>
        </w:tc>
        <w:tc>
          <w:tcPr>
            <w:tcW w:w="120" w:type="dxa"/>
            <w:vAlign w:val="bottom"/>
            <w:gridSpan w:val="3"/>
          </w:tcPr>
          <w:p>
            <w:pPr>
              <w:spacing w:after="0"/>
              <w:rPr>
                <w:sz w:val="17"/>
                <w:szCs w:val="17"/>
                <w:color w:val="auto"/>
              </w:rPr>
            </w:pPr>
          </w:p>
        </w:tc>
      </w:tr>
      <w:tr>
        <w:trPr>
          <w:trHeight w:val="196"/>
        </w:trPr>
        <w:tc>
          <w:tcPr>
            <w:tcW w:w="1880" w:type="dxa"/>
            <w:vAlign w:val="bottom"/>
          </w:tcPr>
          <w:p>
            <w:pPr>
              <w:spacing w:after="0"/>
              <w:rPr>
                <w:sz w:val="17"/>
                <w:szCs w:val="17"/>
                <w:color w:val="auto"/>
              </w:rPr>
            </w:pPr>
          </w:p>
        </w:tc>
        <w:tc>
          <w:tcPr>
            <w:tcW w:w="9540" w:type="dxa"/>
            <w:vAlign w:val="bottom"/>
            <w:gridSpan w:val="1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8-K (File No. 000-20797) filed January 6, 2011)</w:t>
              </w:r>
            </w:hyperlink>
          </w:p>
        </w:tc>
      </w:tr>
      <w:tr>
        <w:trPr>
          <w:trHeight w:val="480"/>
        </w:trPr>
        <w:tc>
          <w:tcPr>
            <w:tcW w:w="188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sz w:val="24"/>
                <w:szCs w:val="24"/>
                <w:color w:val="auto"/>
              </w:rPr>
            </w:pPr>
          </w:p>
        </w:tc>
        <w:tc>
          <w:tcPr>
            <w:tcW w:w="15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76" w:name="page77"/>
    <w:bookmarkEnd w:id="7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Third Amended and Restated Credit Agreement, dated as of July 7, 2016 by and among the Company, the Lenders signatory</w:t>
              </w:r>
            </w:hyperlink>
          </w:p>
        </w:tc>
      </w:tr>
      <w:tr>
        <w:trPr>
          <w:trHeight w:val="196"/>
        </w:trPr>
        <w:tc>
          <w:tcPr>
            <w:tcW w:w="1880" w:type="dxa"/>
            <w:vAlign w:val="bottom"/>
          </w:tcPr>
          <w:p>
            <w:pPr>
              <w:spacing w:after="0"/>
              <w:rPr>
                <w:sz w:val="17"/>
                <w:szCs w:val="17"/>
                <w:color w:val="auto"/>
              </w:rPr>
            </w:pPr>
          </w:p>
        </w:tc>
        <w:tc>
          <w:tcPr>
            <w:tcW w:w="9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thereto, as Administrative Agent and Collateral Agent (incorporated herein by reference to Exhibit 10.1 of the Company’s Current</w:t>
              </w:r>
            </w:hyperlink>
          </w:p>
        </w:tc>
      </w:tr>
      <w:tr>
        <w:trPr>
          <w:trHeight w:val="196"/>
        </w:trPr>
        <w:tc>
          <w:tcPr>
            <w:tcW w:w="1880" w:type="dxa"/>
            <w:vAlign w:val="bottom"/>
          </w:tcPr>
          <w:p>
            <w:pPr>
              <w:spacing w:after="0"/>
              <w:rPr>
                <w:sz w:val="17"/>
                <w:szCs w:val="17"/>
                <w:color w:val="auto"/>
              </w:rPr>
            </w:pPr>
          </w:p>
        </w:tc>
        <w:tc>
          <w:tcPr>
            <w:tcW w:w="4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Report on Form 8-K (File No. 000-20797) filed July 8, 2016)</w:t>
              </w:r>
            </w:hyperlink>
          </w:p>
        </w:tc>
        <w:tc>
          <w:tcPr>
            <w:tcW w:w="5000" w:type="dxa"/>
            <w:vAlign w:val="bottom"/>
            <w:gridSpan w:val="5"/>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Credit Agreement, dated as of March 21, 2017 by and among the Company, the Lenders signatory thereto and BMO Harris Bank</w:t>
              </w:r>
            </w:hyperlink>
          </w:p>
        </w:tc>
      </w:tr>
      <w:tr>
        <w:trPr>
          <w:trHeight w:val="196"/>
        </w:trPr>
        <w:tc>
          <w:tcPr>
            <w:tcW w:w="1880" w:type="dxa"/>
            <w:vAlign w:val="bottom"/>
          </w:tcPr>
          <w:p>
            <w:pPr>
              <w:spacing w:after="0"/>
              <w:rPr>
                <w:sz w:val="17"/>
                <w:szCs w:val="17"/>
                <w:color w:val="auto"/>
              </w:rPr>
            </w:pPr>
          </w:p>
        </w:tc>
        <w:tc>
          <w:tcPr>
            <w:tcW w:w="9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N.A., as Administrative Agent incorporated herein by reference to Exhibit 10.1 of the Company's Form 8-K (File No. 000-20797)</w:t>
              </w:r>
            </w:hyperlink>
          </w:p>
        </w:tc>
      </w:tr>
      <w:tr>
        <w:trPr>
          <w:trHeight w:val="196"/>
        </w:trPr>
        <w:tc>
          <w:tcPr>
            <w:tcW w:w="188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filed March 27, 2017)</w:t>
              </w:r>
            </w:hyperlink>
          </w:p>
        </w:tc>
        <w:tc>
          <w:tcPr>
            <w:tcW w:w="7840" w:type="dxa"/>
            <w:vAlign w:val="bottom"/>
            <w:gridSpan w:val="11"/>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420" w:type="dxa"/>
            <w:vAlign w:val="bottom"/>
            <w:gridSpan w:val="12"/>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Security Agreement, dated as of March 21, 2017, made by the Company in favor of BMO Harris Bank N.A., as Administrative</w:t>
              </w:r>
            </w:hyperlink>
          </w:p>
        </w:tc>
      </w:tr>
      <w:tr>
        <w:trPr>
          <w:trHeight w:val="196"/>
        </w:trPr>
        <w:tc>
          <w:tcPr>
            <w:tcW w:w="188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Agent incorporated herein by reference to Exhibit 10.2 of the Company's Form 8-K (File No. 000-20797) filed March 27, 2017)</w:t>
              </w:r>
            </w:hyperlink>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420" w:type="dxa"/>
            <w:vAlign w:val="bottom"/>
            <w:gridSpan w:val="1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Intercreditor Agreement, dated as of March 21, 2017, by and among BMO Harris Bank N.A., as Administrative Agent under the</w:t>
              </w:r>
            </w:hyperlink>
          </w:p>
        </w:tc>
      </w:tr>
      <w:tr>
        <w:trPr>
          <w:trHeight w:val="20"/>
        </w:trPr>
        <w:tc>
          <w:tcPr>
            <w:tcW w:w="18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80" w:type="dxa"/>
            <w:vAlign w:val="bottom"/>
          </w:tcPr>
          <w:p>
            <w:pPr>
              <w:spacing w:after="0"/>
              <w:rPr>
                <w:sz w:val="17"/>
                <w:szCs w:val="17"/>
                <w:color w:val="auto"/>
              </w:rPr>
            </w:pPr>
          </w:p>
        </w:tc>
        <w:tc>
          <w:tcPr>
            <w:tcW w:w="9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Credit Agreement, BMO Harris Bank N.A., as Administrative Agent and Collateral Agent under the Third Amended and Restated</w:t>
              </w:r>
            </w:hyperlink>
          </w:p>
        </w:tc>
      </w:tr>
      <w:tr>
        <w:trPr>
          <w:trHeight w:val="196"/>
        </w:trPr>
        <w:tc>
          <w:tcPr>
            <w:tcW w:w="1880" w:type="dxa"/>
            <w:vAlign w:val="bottom"/>
          </w:tcPr>
          <w:p>
            <w:pPr>
              <w:spacing w:after="0"/>
              <w:rPr>
                <w:sz w:val="17"/>
                <w:szCs w:val="17"/>
                <w:color w:val="auto"/>
              </w:rPr>
            </w:pPr>
          </w:p>
        </w:tc>
        <w:tc>
          <w:tcPr>
            <w:tcW w:w="9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Credit Agreement, dated as of July 7, 2016, and the Company incorporated herein by reference to Exhibit 10.3 of the Company's</w:t>
              </w:r>
            </w:hyperlink>
          </w:p>
        </w:tc>
      </w:tr>
      <w:tr>
        <w:trPr>
          <w:trHeight w:val="196"/>
        </w:trPr>
        <w:tc>
          <w:tcPr>
            <w:tcW w:w="1880" w:type="dxa"/>
            <w:vAlign w:val="bottom"/>
          </w:tcPr>
          <w:p>
            <w:pPr>
              <w:spacing w:after="0"/>
              <w:rPr>
                <w:sz w:val="17"/>
                <w:szCs w:val="17"/>
                <w:color w:val="auto"/>
              </w:rPr>
            </w:pPr>
          </w:p>
        </w:tc>
        <w:tc>
          <w:tcPr>
            <w:tcW w:w="3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Form 8-K (File No. 000-20797) filed March 27, 2017)</w:t>
              </w:r>
            </w:hyperlink>
          </w:p>
        </w:tc>
        <w:tc>
          <w:tcPr>
            <w:tcW w:w="5500" w:type="dxa"/>
            <w:vAlign w:val="bottom"/>
            <w:gridSpan w:val="6"/>
          </w:tcPr>
          <w:p>
            <w:pPr>
              <w:spacing w:after="0"/>
              <w:rPr>
                <w:sz w:val="17"/>
                <w:szCs w:val="17"/>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79">
              <w:r>
                <w:rPr>
                  <w:rFonts w:ascii="Times New Roman" w:cs="Times New Roman" w:eastAsia="Times New Roman" w:hAnsi="Times New Roman"/>
                  <w:sz w:val="18"/>
                  <w:szCs w:val="18"/>
                  <w:color w:val="0000EE"/>
                  <w:w w:val="98"/>
                </w:rPr>
                <w:t>Subsidiaries of the Company</w:t>
              </w:r>
            </w:hyperlink>
          </w:p>
        </w:tc>
        <w:tc>
          <w:tcPr>
            <w:tcW w:w="7340" w:type="dxa"/>
            <w:vAlign w:val="bottom"/>
            <w:gridSpan w:val="9"/>
          </w:tcPr>
          <w:p>
            <w:pPr>
              <w:spacing w:after="0"/>
              <w:rPr>
                <w:sz w:val="24"/>
                <w:szCs w:val="24"/>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20" w:type="dxa"/>
            <w:vAlign w:val="bottom"/>
            <w:gridSpan w:val="12"/>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Consent of Ernst &amp; Young LLP</w:t>
              </w:r>
            </w:hyperlink>
          </w:p>
        </w:tc>
      </w:tr>
      <w:tr>
        <w:trPr>
          <w:trHeight w:val="20"/>
        </w:trPr>
        <w:tc>
          <w:tcPr>
            <w:tcW w:w="18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gridSpan w:val="12"/>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Certification of President and Chief Executive Officer pursuant to Rules 13a-14(a) and 15d-14(a), as adopted pursuant to Section</w:t>
              </w:r>
            </w:hyperlink>
          </w:p>
        </w:tc>
      </w:tr>
      <w:tr>
        <w:trPr>
          <w:trHeight w:val="196"/>
        </w:trPr>
        <w:tc>
          <w:tcPr>
            <w:tcW w:w="188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302 of the Sarbanes-Oxley Act of 2002</w:t>
              </w:r>
            </w:hyperlink>
          </w:p>
        </w:tc>
        <w:tc>
          <w:tcPr>
            <w:tcW w:w="2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20" w:type="dxa"/>
            <w:vAlign w:val="bottom"/>
            <w:gridSpan w:val="12"/>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Certification of Chief Financial Officer pursuant to Rules 13a-14(a) and 15d-14(a), as adopted pursuant to Section 302 of the</w:t>
              </w:r>
            </w:hyperlink>
          </w:p>
        </w:tc>
      </w:tr>
      <w:tr>
        <w:trPr>
          <w:trHeight w:val="196"/>
        </w:trPr>
        <w:tc>
          <w:tcPr>
            <w:tcW w:w="188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Sarbanes-Oxley Act of 2002</w:t>
              </w:r>
            </w:hyperlink>
          </w:p>
        </w:tc>
        <w:tc>
          <w:tcPr>
            <w:tcW w:w="2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Certification Pursuant to 18 U.S.C. Section 1350, as Adopted Pursuant to Section 906 of the Sarbanes-Oxley Act of 2002</w:t>
              </w:r>
            </w:hyperlink>
          </w:p>
        </w:tc>
        <w:tc>
          <w:tcPr>
            <w:tcW w:w="660" w:type="dxa"/>
            <w:vAlign w:val="bottom"/>
            <w:gridSpan w:val="3"/>
          </w:tcPr>
          <w:p>
            <w:pPr>
              <w:spacing w:after="0"/>
              <w:rPr>
                <w:sz w:val="24"/>
                <w:szCs w:val="24"/>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hyperlink>
          </w:p>
        </w:tc>
        <w:tc>
          <w:tcPr>
            <w:tcW w:w="680" w:type="dxa"/>
            <w:vAlign w:val="bottom"/>
            <w:gridSpan w:val="4"/>
          </w:tcPr>
          <w:p>
            <w:pPr>
              <w:spacing w:after="0"/>
              <w:rPr>
                <w:sz w:val="24"/>
                <w:szCs w:val="24"/>
                <w:color w:val="auto"/>
              </w:rPr>
            </w:pPr>
          </w:p>
        </w:tc>
      </w:tr>
      <w:tr>
        <w:trPr>
          <w:trHeight w:val="45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14" w:lineRule="exact"/>
        <w:rPr>
          <w:sz w:val="20"/>
          <w:szCs w:val="20"/>
          <w:color w:val="auto"/>
        </w:rPr>
      </w:pPr>
    </w:p>
    <w:p>
      <w:pPr>
        <w:ind w:left="1100" w:hanging="642"/>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00" w:hanging="642"/>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1100" w:right="1520" w:hanging="642"/>
        <w:spacing w:after="0" w:line="255"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sectPr>
      </w:pPr>
    </w:p>
    <w:bookmarkStart w:id="77" w:name="page78"/>
    <w:bookmarkEnd w:id="7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2680" w:type="dxa"/>
            <w:vAlign w:val="bottom"/>
          </w:tcPr>
          <w:p>
            <w:pPr>
              <w:spacing w:after="0"/>
              <w:rPr>
                <w:sz w:val="20"/>
                <w:szCs w:val="20"/>
                <w:color w:val="auto"/>
              </w:rPr>
            </w:pPr>
          </w:p>
        </w:tc>
      </w:tr>
      <w:tr>
        <w:trPr>
          <w:trHeight w:val="608"/>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W. M.”RUSTY” RUSH</w:t>
            </w:r>
          </w:p>
        </w:tc>
        <w:tc>
          <w:tcPr>
            <w:tcW w:w="26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Date: February 25, 2019</w:t>
            </w:r>
          </w:p>
        </w:tc>
      </w:tr>
      <w:tr>
        <w:trPr>
          <w:trHeight w:val="218"/>
        </w:trPr>
        <w:tc>
          <w:tcPr>
            <w:tcW w:w="300" w:type="dxa"/>
            <w:vAlign w:val="bottom"/>
          </w:tcPr>
          <w:p>
            <w:pPr>
              <w:spacing w:after="0"/>
              <w:rPr>
                <w:sz w:val="18"/>
                <w:szCs w:val="18"/>
                <w:color w:val="auto"/>
              </w:rPr>
            </w:pPr>
          </w:p>
        </w:tc>
        <w:tc>
          <w:tcPr>
            <w:tcW w:w="2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 M. “Rusty” Rush</w:t>
            </w:r>
          </w:p>
        </w:tc>
        <w:tc>
          <w:tcPr>
            <w:tcW w:w="17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6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Chairman of the Board</w:t>
            </w:r>
          </w:p>
        </w:tc>
        <w:tc>
          <w:tcPr>
            <w:tcW w:w="2680" w:type="dxa"/>
            <w:vAlign w:val="bottom"/>
          </w:tcPr>
          <w:p>
            <w:pPr>
              <w:spacing w:after="0"/>
              <w:rPr>
                <w:sz w:val="20"/>
                <w:szCs w:val="20"/>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Signature</w:t>
            </w:r>
          </w:p>
        </w:tc>
        <w:tc>
          <w:tcPr>
            <w:tcW w:w="148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w:t>
            </w:r>
          </w:p>
        </w:tc>
        <w:tc>
          <w:tcPr>
            <w:tcW w:w="1720" w:type="dxa"/>
            <w:vAlign w:val="bottom"/>
          </w:tcPr>
          <w:p>
            <w:pPr>
              <w:spacing w:after="0"/>
              <w:rPr>
                <w:sz w:val="17"/>
                <w:szCs w:val="17"/>
                <w:color w:val="auto"/>
              </w:rPr>
            </w:pPr>
          </w:p>
        </w:tc>
        <w:tc>
          <w:tcPr>
            <w:tcW w:w="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28"/>
        </w:trPr>
        <w:tc>
          <w:tcPr>
            <w:tcW w:w="2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/s/ W. M. “RUSTY” RUSH</w:t>
            </w:r>
          </w:p>
        </w:tc>
        <w:tc>
          <w:tcPr>
            <w:tcW w:w="940" w:type="dxa"/>
            <w:vAlign w:val="bottom"/>
            <w:gridSpan w:val="3"/>
          </w:tcPr>
          <w:p>
            <w:pPr>
              <w:spacing w:after="0"/>
              <w:rPr>
                <w:sz w:val="24"/>
                <w:szCs w:val="24"/>
                <w:color w:val="auto"/>
              </w:rPr>
            </w:pP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5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18"/>
        </w:trPr>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Chairman of the Board</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STEVEN L. KELLER</w:t>
            </w: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5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7"/>
        </w:trPr>
        <w:tc>
          <w:tcPr>
            <w:tcW w:w="18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100" w:type="dxa"/>
            <w:vAlign w:val="bottom"/>
            <w:gridSpan w:val="5"/>
          </w:tcPr>
          <w:p>
            <w:pPr>
              <w:spacing w:after="0"/>
              <w:rPr>
                <w:sz w:val="20"/>
                <w:szCs w:val="20"/>
                <w:color w:val="auto"/>
              </w:rPr>
            </w:pP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THOMAS A. AKIN</w:t>
            </w:r>
          </w:p>
        </w:tc>
        <w:tc>
          <w:tcPr>
            <w:tcW w:w="1240" w:type="dxa"/>
            <w:vAlign w:val="bottom"/>
            <w:gridSpan w:val="7"/>
          </w:tcPr>
          <w:p>
            <w:pPr>
              <w:spacing w:after="0"/>
              <w:rPr>
                <w:sz w:val="24"/>
                <w:szCs w:val="24"/>
                <w:color w:val="auto"/>
              </w:rPr>
            </w:pP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7"/>
        </w:trPr>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Thomas A. Akin</w:t>
            </w: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22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/s/ JAMES C. UNDERWOOD</w:t>
            </w:r>
          </w:p>
        </w:tc>
        <w:tc>
          <w:tcPr>
            <w:tcW w:w="720" w:type="dxa"/>
            <w:vAlign w:val="bottom"/>
            <w:gridSpan w:val="2"/>
          </w:tcPr>
          <w:p>
            <w:pPr>
              <w:spacing w:after="0"/>
              <w:rPr>
                <w:sz w:val="24"/>
                <w:szCs w:val="24"/>
                <w:color w:val="auto"/>
              </w:rPr>
            </w:pP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7"/>
        </w:trPr>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James C. Underwood</w:t>
            </w: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RAYMOND J. CHESS</w:t>
            </w: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7"/>
        </w:trPr>
        <w:tc>
          <w:tcPr>
            <w:tcW w:w="19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Raymond J. Chess</w:t>
            </w:r>
          </w:p>
        </w:tc>
        <w:tc>
          <w:tcPr>
            <w:tcW w:w="1040" w:type="dxa"/>
            <w:vAlign w:val="bottom"/>
            <w:gridSpan w:val="4"/>
          </w:tcPr>
          <w:p>
            <w:pPr>
              <w:spacing w:after="0"/>
              <w:rPr>
                <w:sz w:val="20"/>
                <w:szCs w:val="20"/>
                <w:color w:val="auto"/>
              </w:rPr>
            </w:pP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24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/s/ DR. KENNON GUGLIELMO</w:t>
            </w:r>
          </w:p>
        </w:tc>
        <w:tc>
          <w:tcPr>
            <w:tcW w:w="500" w:type="dxa"/>
            <w:vAlign w:val="bottom"/>
          </w:tcPr>
          <w:p>
            <w:pPr>
              <w:spacing w:after="0"/>
              <w:rPr>
                <w:sz w:val="24"/>
                <w:szCs w:val="24"/>
                <w:color w:val="auto"/>
              </w:rPr>
            </w:pP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7"/>
        </w:trPr>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Dr. Kennon Guglielmo</w:t>
            </w: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/s/ WILLIAM H. CARY</w:t>
            </w:r>
          </w:p>
        </w:tc>
        <w:tc>
          <w:tcPr>
            <w:tcW w:w="1160" w:type="dxa"/>
            <w:vAlign w:val="bottom"/>
            <w:gridSpan w:val="6"/>
          </w:tcPr>
          <w:p>
            <w:pPr>
              <w:spacing w:after="0"/>
              <w:rPr>
                <w:sz w:val="24"/>
                <w:szCs w:val="24"/>
                <w:color w:val="auto"/>
              </w:rPr>
            </w:pPr>
          </w:p>
        </w:tc>
        <w:tc>
          <w:tcPr>
            <w:tcW w:w="4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7"/>
        </w:trPr>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William H. Cary</w:t>
            </w:r>
          </w:p>
        </w:tc>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11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00" w:type="dxa"/>
            <w:vAlign w:val="bottom"/>
            <w:gridSpan w:val="3"/>
          </w:tcPr>
          <w:p>
            <w:pPr>
              <w:ind w:left="3200"/>
              <w:spacing w:after="0"/>
              <w:rPr>
                <w:sz w:val="20"/>
                <w:szCs w:val="20"/>
                <w:color w:val="auto"/>
              </w:rPr>
            </w:pPr>
            <w:r>
              <w:rPr>
                <w:rFonts w:ascii="Times New Roman" w:cs="Times New Roman" w:eastAsia="Times New Roman" w:hAnsi="Times New Roman"/>
                <w:sz w:val="22"/>
                <w:szCs w:val="22"/>
                <w:color w:val="auto"/>
                <w:w w:val="96"/>
              </w:rPr>
              <w:t>EXHIBIT 21.1</w:t>
            </w: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3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State of</w:t>
            </w:r>
          </w:p>
        </w:tc>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620" w:type="dxa"/>
            <w:vAlign w:val="bottom"/>
          </w:tcPr>
          <w:p>
            <w:pPr>
              <w:spacing w:after="0"/>
              <w:rPr>
                <w:sz w:val="16"/>
                <w:szCs w:val="16"/>
                <w:color w:val="auto"/>
              </w:rPr>
            </w:pPr>
          </w:p>
        </w:tc>
        <w:tc>
          <w:tcPr>
            <w:tcW w:w="11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auto"/>
                <w:w w:val="99"/>
              </w:rPr>
              <w:t>Incorporation</w:t>
            </w:r>
          </w:p>
        </w:tc>
        <w:tc>
          <w:tcPr>
            <w:tcW w:w="5580" w:type="dxa"/>
            <w:vAlign w:val="bottom"/>
            <w:gridSpan w:val="4"/>
          </w:tcPr>
          <w:p>
            <w:pPr>
              <w:ind w:left="1080"/>
              <w:spacing w:after="0" w:line="194" w:lineRule="exact"/>
              <w:rPr>
                <w:sz w:val="20"/>
                <w:szCs w:val="20"/>
                <w:color w:val="auto"/>
              </w:rPr>
            </w:pPr>
            <w:r>
              <w:rPr>
                <w:rFonts w:ascii="Times New Roman" w:cs="Times New Roman" w:eastAsia="Times New Roman" w:hAnsi="Times New Roman"/>
                <w:sz w:val="18"/>
                <w:szCs w:val="18"/>
                <w:color w:val="auto"/>
              </w:rPr>
              <w:t>Names Under Which Subsidiary Does Business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Alabama, Inc.</w:t>
            </w:r>
          </w:p>
        </w:tc>
        <w:tc>
          <w:tcPr>
            <w:tcW w:w="1760" w:type="dxa"/>
            <w:vAlign w:val="bottom"/>
            <w:gridSpan w:val="3"/>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44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Rush Truck Center, Mobile</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Mobile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Arizona, Inc.</w:t>
            </w:r>
          </w:p>
        </w:tc>
        <w:tc>
          <w:tcPr>
            <w:tcW w:w="17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44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Rush Truck Center, Phoenix</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Phoenix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Flagstaff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Flagstaff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Tucson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Tucson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Yuma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Yuma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Medium Duty Truck Centers of California, Inc.</w:t>
            </w:r>
          </w:p>
        </w:tc>
        <w:tc>
          <w:tcPr>
            <w:tcW w:w="1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Rush Truck Center, Modesto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California, Inc.</w:t>
            </w:r>
          </w:p>
        </w:tc>
        <w:tc>
          <w:tcPr>
            <w:tcW w:w="17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44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Rush Peterbilt Truck Center, Pico Rivera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Pico Rivera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Medium Duty Truck Center,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Isuzu Trucks,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Medium Duty Truck Center,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Towing Systems,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Fontana Used Trucks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Fontana Vocational Service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Long Beach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Long Beach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Sylmar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Sylmar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San Diego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San Diego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Whittier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Isuzu Trucks, Whittier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Whittier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Los Angeles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Los Angeles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Modesto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Fontana Collision Center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Rush Medium Duty Truck Centers of Colorado, Inc.</w:t>
            </w:r>
          </w:p>
        </w:tc>
        <w:tc>
          <w:tcPr>
            <w:tcW w:w="1760" w:type="dxa"/>
            <w:vAlign w:val="bottom"/>
            <w:gridSpan w:val="3"/>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44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Rush Medium Duty Truck Center, Denver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Rush Medium Duty Ford Trucks, Denver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Rush Towing Systems, Denver</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Colorado, Inc.</w:t>
            </w:r>
          </w:p>
        </w:tc>
        <w:tc>
          <w:tcPr>
            <w:tcW w:w="17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44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Rush Peterbilt Truck Center, Denver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Denver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Greeley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Truck Center, Greeley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Rush Peterbilt Truck Center, Pueblo</w:t>
            </w:r>
          </w:p>
        </w:tc>
        <w:tc>
          <w:tcPr>
            <w:tcW w:w="0" w:type="dxa"/>
            <w:vAlign w:val="bottom"/>
          </w:tcPr>
          <w:p>
            <w:pPr>
              <w:spacing w:after="0"/>
              <w:rPr>
                <w:sz w:val="1"/>
                <w:szCs w:val="1"/>
                <w:color w:val="auto"/>
              </w:rPr>
            </w:pPr>
          </w:p>
        </w:tc>
      </w:tr>
    </w:tbl>
    <w:p>
      <w:pPr>
        <w:ind w:left="6000"/>
        <w:spacing w:after="0"/>
        <w:rPr>
          <w:sz w:val="20"/>
          <w:szCs w:val="20"/>
          <w:color w:val="auto"/>
        </w:rPr>
      </w:pPr>
      <w:r>
        <w:rPr>
          <w:rFonts w:ascii="Times New Roman" w:cs="Times New Roman" w:eastAsia="Times New Roman" w:hAnsi="Times New Roman"/>
          <w:sz w:val="18"/>
          <w:szCs w:val="18"/>
          <w:color w:val="auto"/>
        </w:rPr>
        <w:t>Rush Truck Center, Pueblo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Rush Truck Center, Colorado Springs</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Rush Peterbilt Truck Center, Colorado Springs</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Rush Isuzu Trucks, Denver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Florida, Inc.</w:t>
            </w:r>
          </w:p>
        </w:tc>
        <w:tc>
          <w:tcPr>
            <w:tcW w:w="2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Isuzu Trucks, Orlando</w:t>
            </w:r>
          </w:p>
        </w:tc>
        <w:tc>
          <w:tcPr>
            <w:tcW w:w="140" w:type="dxa"/>
            <w:vAlign w:val="bottom"/>
          </w:tcPr>
          <w:p>
            <w:pPr>
              <w:spacing w:after="0"/>
              <w:rPr>
                <w:sz w:val="17"/>
                <w:szCs w:val="17"/>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Orlando</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Isuzu Truck Center, Orlando</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Orlando</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Orlando Light &amp; Medium Duty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Isuzu Trucks, Orlando North</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Orlando North</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Orlando South</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Orlando South</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Orlando Used Trucks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Haines City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Haines City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Tampa</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Tampa</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Jacksonville</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Jacksonville</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Lake City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Lake City</w:t>
            </w:r>
          </w:p>
        </w:tc>
        <w:tc>
          <w:tcPr>
            <w:tcW w:w="140" w:type="dxa"/>
            <w:vAlign w:val="bottom"/>
          </w:tcPr>
          <w:p>
            <w:pPr>
              <w:spacing w:after="0"/>
              <w:rPr>
                <w:sz w:val="18"/>
                <w:szCs w:val="18"/>
                <w:color w:val="auto"/>
              </w:rPr>
            </w:pPr>
          </w:p>
        </w:tc>
      </w:tr>
      <w:tr>
        <w:trPr>
          <w:trHeight w:val="234"/>
        </w:trPr>
        <w:tc>
          <w:tcPr>
            <w:tcW w:w="34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House of Trucks, Miami</w:t>
            </w:r>
          </w:p>
        </w:tc>
        <w:tc>
          <w:tcPr>
            <w:tcW w:w="140" w:type="dxa"/>
            <w:vAlign w:val="bottom"/>
          </w:tcPr>
          <w:p>
            <w:pPr>
              <w:spacing w:after="0"/>
              <w:rPr>
                <w:sz w:val="20"/>
                <w:szCs w:val="20"/>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Georgia, Inc.</w:t>
            </w:r>
          </w:p>
        </w:tc>
        <w:tc>
          <w:tcPr>
            <w:tcW w:w="204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Adairsville</w:t>
            </w:r>
          </w:p>
        </w:tc>
        <w:tc>
          <w:tcPr>
            <w:tcW w:w="140" w:type="dxa"/>
            <w:vAlign w:val="bottom"/>
          </w:tcPr>
          <w:p>
            <w:pPr>
              <w:spacing w:after="0"/>
              <w:rPr>
                <w:sz w:val="17"/>
                <w:szCs w:val="17"/>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Medium Duty Truck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Atlanta Collision Center</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Doraville</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Doraville</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Smyrna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Tifton</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Tifton</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Columbus</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Gainesville</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Augusta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Blackshear</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Macon</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Valdosta</w:t>
            </w:r>
          </w:p>
        </w:tc>
        <w:tc>
          <w:tcPr>
            <w:tcW w:w="14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Savannah</w:t>
            </w:r>
          </w:p>
        </w:tc>
        <w:tc>
          <w:tcPr>
            <w:tcW w:w="140" w:type="dxa"/>
            <w:vAlign w:val="bottom"/>
          </w:tcPr>
          <w:p>
            <w:pPr>
              <w:spacing w:after="0"/>
              <w:rPr>
                <w:sz w:val="20"/>
                <w:szCs w:val="20"/>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Idaho, Inc.</w:t>
            </w:r>
          </w:p>
        </w:tc>
        <w:tc>
          <w:tcPr>
            <w:tcW w:w="2040" w:type="dxa"/>
            <w:vAlign w:val="bottom"/>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International Truck Center, Boise</w:t>
            </w:r>
          </w:p>
        </w:tc>
        <w:tc>
          <w:tcPr>
            <w:tcW w:w="140" w:type="dxa"/>
            <w:vAlign w:val="bottom"/>
          </w:tcPr>
          <w:p>
            <w:pPr>
              <w:spacing w:after="0"/>
              <w:rPr>
                <w:sz w:val="17"/>
                <w:szCs w:val="17"/>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Idaho Falls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Lewiston</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Twin Falls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Boise</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Idaho Falls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Lewiston</w:t>
            </w:r>
          </w:p>
        </w:tc>
        <w:tc>
          <w:tcPr>
            <w:tcW w:w="140" w:type="dxa"/>
            <w:vAlign w:val="bottom"/>
          </w:tcPr>
          <w:p>
            <w:pPr>
              <w:spacing w:after="0"/>
              <w:rPr>
                <w:sz w:val="18"/>
                <w:szCs w:val="18"/>
                <w:color w:val="auto"/>
              </w:rPr>
            </w:pPr>
          </w:p>
        </w:tc>
      </w:tr>
      <w:tr>
        <w:trPr>
          <w:trHeight w:val="234"/>
        </w:trPr>
        <w:tc>
          <w:tcPr>
            <w:tcW w:w="34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Twin Falls</w:t>
            </w:r>
          </w:p>
        </w:tc>
        <w:tc>
          <w:tcPr>
            <w:tcW w:w="140" w:type="dxa"/>
            <w:vAlign w:val="bottom"/>
          </w:tcPr>
          <w:p>
            <w:pPr>
              <w:spacing w:after="0"/>
              <w:rPr>
                <w:sz w:val="20"/>
                <w:szCs w:val="20"/>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Illinois, Inc.</w:t>
            </w:r>
          </w:p>
        </w:tc>
        <w:tc>
          <w:tcPr>
            <w:tcW w:w="204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Bloomington</w:t>
            </w:r>
          </w:p>
        </w:tc>
        <w:tc>
          <w:tcPr>
            <w:tcW w:w="140" w:type="dxa"/>
            <w:vAlign w:val="bottom"/>
          </w:tcPr>
          <w:p>
            <w:pPr>
              <w:spacing w:after="0"/>
              <w:rPr>
                <w:sz w:val="17"/>
                <w:szCs w:val="17"/>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Carol Stream</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Chambersburg</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Champaign</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Chicago</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Effingham</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Huntley</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Joliet</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Quincy</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Springfield</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House of Trucks, Willowbrook</w:t>
            </w:r>
          </w:p>
        </w:tc>
        <w:tc>
          <w:tcPr>
            <w:tcW w:w="14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 Vehicle Solutions</w:t>
            </w:r>
          </w:p>
        </w:tc>
        <w:tc>
          <w:tcPr>
            <w:tcW w:w="140" w:type="dxa"/>
            <w:vAlign w:val="bottom"/>
          </w:tcPr>
          <w:p>
            <w:pPr>
              <w:spacing w:after="0"/>
              <w:rPr>
                <w:sz w:val="20"/>
                <w:szCs w:val="20"/>
                <w:color w:val="auto"/>
              </w:rPr>
            </w:pPr>
          </w:p>
        </w:tc>
      </w:tr>
      <w:tr>
        <w:trPr>
          <w:trHeight w:val="601"/>
        </w:trPr>
        <w:tc>
          <w:tcPr>
            <w:tcW w:w="3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Indiana, Inc.</w:t>
            </w:r>
          </w:p>
        </w:tc>
        <w:tc>
          <w:tcPr>
            <w:tcW w:w="1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Gary</w:t>
            </w:r>
          </w:p>
        </w:tc>
        <w:tc>
          <w:tcPr>
            <w:tcW w:w="140" w:type="dxa"/>
            <w:vAlign w:val="bottom"/>
          </w:tcPr>
          <w:p>
            <w:pPr>
              <w:spacing w:after="0"/>
              <w:rPr>
                <w:sz w:val="17"/>
                <w:szCs w:val="17"/>
                <w:color w:val="auto"/>
              </w:rPr>
            </w:pPr>
          </w:p>
        </w:tc>
      </w:tr>
      <w:tr>
        <w:trPr>
          <w:trHeight w:val="234"/>
        </w:trPr>
        <w:tc>
          <w:tcPr>
            <w:tcW w:w="37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Indianapolis</w:t>
            </w:r>
          </w:p>
        </w:tc>
        <w:tc>
          <w:tcPr>
            <w:tcW w:w="140" w:type="dxa"/>
            <w:vAlign w:val="bottom"/>
          </w:tcPr>
          <w:p>
            <w:pPr>
              <w:spacing w:after="0"/>
              <w:rPr>
                <w:sz w:val="20"/>
                <w:szCs w:val="20"/>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Kansas, Inc.</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Kansas City</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Kentucky, Inc.</w:t>
            </w:r>
          </w:p>
        </w:tc>
        <w:tc>
          <w:tcPr>
            <w:tcW w:w="1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Bowling Green</w:t>
            </w:r>
          </w:p>
        </w:tc>
        <w:tc>
          <w:tcPr>
            <w:tcW w:w="140" w:type="dxa"/>
            <w:vAlign w:val="bottom"/>
          </w:tcPr>
          <w:p>
            <w:pPr>
              <w:spacing w:after="0"/>
              <w:rPr>
                <w:sz w:val="18"/>
                <w:szCs w:val="18"/>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Missouri, Inc.</w:t>
            </w:r>
          </w:p>
        </w:tc>
        <w:tc>
          <w:tcPr>
            <w:tcW w:w="178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St. Peters</w:t>
            </w:r>
          </w:p>
        </w:tc>
        <w:tc>
          <w:tcPr>
            <w:tcW w:w="140" w:type="dxa"/>
            <w:vAlign w:val="bottom"/>
          </w:tcPr>
          <w:p>
            <w:pPr>
              <w:spacing w:after="0"/>
              <w:rPr>
                <w:sz w:val="17"/>
                <w:szCs w:val="17"/>
                <w:color w:val="auto"/>
              </w:rPr>
            </w:pPr>
          </w:p>
        </w:tc>
      </w:tr>
      <w:tr>
        <w:trPr>
          <w:trHeight w:val="234"/>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St. Louis</w:t>
            </w:r>
          </w:p>
        </w:tc>
        <w:tc>
          <w:tcPr>
            <w:tcW w:w="140" w:type="dxa"/>
            <w:vAlign w:val="bottom"/>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Nebraska, Inc.</w:t>
            </w:r>
          </w:p>
        </w:tc>
        <w:tc>
          <w:tcPr>
            <w:tcW w:w="1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Nevada, Inc.</w:t>
            </w:r>
          </w:p>
        </w:tc>
        <w:tc>
          <w:tcPr>
            <w:tcW w:w="178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Las Vegas</w:t>
            </w:r>
          </w:p>
        </w:tc>
        <w:tc>
          <w:tcPr>
            <w:tcW w:w="140" w:type="dxa"/>
            <w:vAlign w:val="bottom"/>
          </w:tcPr>
          <w:p>
            <w:pPr>
              <w:spacing w:after="0"/>
              <w:rPr>
                <w:sz w:val="17"/>
                <w:szCs w:val="17"/>
                <w:color w:val="auto"/>
              </w:rPr>
            </w:pPr>
          </w:p>
        </w:tc>
      </w:tr>
      <w:tr>
        <w:trPr>
          <w:trHeight w:val="234"/>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Las Vegas</w:t>
            </w:r>
          </w:p>
        </w:tc>
        <w:tc>
          <w:tcPr>
            <w:tcW w:w="140" w:type="dxa"/>
            <w:vAlign w:val="bottom"/>
          </w:tcPr>
          <w:p>
            <w:pPr>
              <w:spacing w:after="0"/>
              <w:rPr>
                <w:sz w:val="20"/>
                <w:szCs w:val="20"/>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New Mexico, Inc.</w:t>
            </w:r>
          </w:p>
        </w:tc>
        <w:tc>
          <w:tcPr>
            <w:tcW w:w="178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Albuquerque</w:t>
            </w:r>
          </w:p>
        </w:tc>
        <w:tc>
          <w:tcPr>
            <w:tcW w:w="14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Albuquerque</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Farmington</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Farmington</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Las Cruces</w:t>
            </w:r>
          </w:p>
        </w:tc>
        <w:tc>
          <w:tcPr>
            <w:tcW w:w="140" w:type="dxa"/>
            <w:vAlign w:val="bottom"/>
          </w:tcPr>
          <w:p>
            <w:pPr>
              <w:spacing w:after="0"/>
              <w:rPr>
                <w:sz w:val="18"/>
                <w:szCs w:val="18"/>
                <w:color w:val="auto"/>
              </w:rPr>
            </w:pPr>
          </w:p>
        </w:tc>
      </w:tr>
      <w:tr>
        <w:trPr>
          <w:trHeight w:val="234"/>
        </w:trPr>
        <w:tc>
          <w:tcPr>
            <w:tcW w:w="37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Las Cruces</w:t>
            </w:r>
          </w:p>
        </w:tc>
        <w:tc>
          <w:tcPr>
            <w:tcW w:w="140" w:type="dxa"/>
            <w:vAlign w:val="bottom"/>
          </w:tcPr>
          <w:p>
            <w:pPr>
              <w:spacing w:after="0"/>
              <w:rPr>
                <w:sz w:val="20"/>
                <w:szCs w:val="20"/>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North Carolina, Inc.</w:t>
            </w:r>
          </w:p>
        </w:tc>
        <w:tc>
          <w:tcPr>
            <w:tcW w:w="1780" w:type="dxa"/>
            <w:vAlign w:val="bottom"/>
          </w:tcPr>
          <w:p>
            <w:pPr>
              <w:ind w:left="6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International Truck Center, Charlotte</w:t>
            </w:r>
          </w:p>
        </w:tc>
        <w:tc>
          <w:tcPr>
            <w:tcW w:w="14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Charlotte</w:t>
            </w:r>
          </w:p>
        </w:tc>
        <w:tc>
          <w:tcPr>
            <w:tcW w:w="14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Charlotte</w:t>
            </w:r>
          </w:p>
        </w:tc>
        <w:tc>
          <w:tcPr>
            <w:tcW w:w="14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Charlotte Collision Center</w:t>
            </w:r>
          </w:p>
        </w:tc>
        <w:tc>
          <w:tcPr>
            <w:tcW w:w="14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Hickory</w:t>
            </w:r>
          </w:p>
        </w:tc>
        <w:tc>
          <w:tcPr>
            <w:tcW w:w="14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Asheville</w:t>
            </w:r>
          </w:p>
        </w:tc>
        <w:tc>
          <w:tcPr>
            <w:tcW w:w="140" w:type="dxa"/>
            <w:vAlign w:val="bottom"/>
          </w:tcPr>
          <w:p>
            <w:pPr>
              <w:spacing w:after="0"/>
              <w:rPr>
                <w:sz w:val="20"/>
                <w:szCs w:val="20"/>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Ohio, Inc.</w:t>
            </w:r>
          </w:p>
        </w:tc>
        <w:tc>
          <w:tcPr>
            <w:tcW w:w="1780" w:type="dxa"/>
            <w:vAlign w:val="bottom"/>
            <w:shd w:val="clear" w:color="auto" w:fill="CCEEFF"/>
          </w:tcPr>
          <w:p>
            <w:pPr>
              <w:ind w:left="62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Akron</w:t>
            </w:r>
          </w:p>
        </w:tc>
        <w:tc>
          <w:tcPr>
            <w:tcW w:w="14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Cincinnati</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Isuzu Trucks, Cincinnati</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Cleveland</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Columbus</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Columbus West</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Isuzu Trucks, Columbus West</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Dayton</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Isuzu Trucks, Dayton</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Lima</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Bus Center, Cincinnati</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Bus Center, Akron</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Bus Center, Cleveland</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Bus Center, Columbus</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Bus Center, Dayton</w:t>
            </w:r>
          </w:p>
        </w:tc>
        <w:tc>
          <w:tcPr>
            <w:tcW w:w="140" w:type="dxa"/>
            <w:vAlign w:val="bottom"/>
          </w:tcPr>
          <w:p>
            <w:pPr>
              <w:spacing w:after="0"/>
              <w:rPr>
                <w:sz w:val="18"/>
                <w:szCs w:val="18"/>
                <w:color w:val="auto"/>
              </w:rPr>
            </w:pPr>
          </w:p>
        </w:tc>
      </w:tr>
      <w:tr>
        <w:trPr>
          <w:trHeight w:val="234"/>
        </w:trPr>
        <w:tc>
          <w:tcPr>
            <w:tcW w:w="37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Bus Center, Lima</w:t>
            </w:r>
          </w:p>
        </w:tc>
        <w:tc>
          <w:tcPr>
            <w:tcW w:w="140" w:type="dxa"/>
            <w:vAlign w:val="bottom"/>
          </w:tcPr>
          <w:p>
            <w:pPr>
              <w:spacing w:after="0"/>
              <w:rPr>
                <w:sz w:val="20"/>
                <w:szCs w:val="20"/>
                <w:color w:val="auto"/>
              </w:rPr>
            </w:pPr>
          </w:p>
        </w:tc>
      </w:tr>
      <w:tr>
        <w:trPr>
          <w:trHeight w:val="574"/>
        </w:trPr>
        <w:tc>
          <w:tcPr>
            <w:tcW w:w="3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Oklahoma, Inc.</w:t>
            </w:r>
          </w:p>
        </w:tc>
        <w:tc>
          <w:tcPr>
            <w:tcW w:w="1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Ardmore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Oklahoma City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Tulsa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Ardmore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Oklahoma City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Tulsa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Isuzu Trucks, Oklahoma City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Used Truck Center, Tulsa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Rigging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Perfection Equipment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Perfection Truck Parts &amp; Equipment, Oklahoma City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Perfection Crane Repair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Pennsylvania, Inc.</w:t>
            </w:r>
          </w:p>
        </w:tc>
        <w:tc>
          <w:tcPr>
            <w:tcW w:w="184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Custom Vehicle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Green Castle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Tennessee, Inc.</w:t>
            </w:r>
          </w:p>
        </w:tc>
        <w:tc>
          <w:tcPr>
            <w:tcW w:w="1840" w:type="dxa"/>
            <w:vAlign w:val="bottom"/>
            <w:shd w:val="clear" w:color="auto" w:fill="CCEEFF"/>
          </w:tcPr>
          <w:p>
            <w:pPr>
              <w:ind w:left="68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Nashville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Nashville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Towing Systems, Nashville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Memphis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Texas, L.P.</w:t>
            </w:r>
          </w:p>
        </w:tc>
        <w:tc>
          <w:tcPr>
            <w:tcW w:w="184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color w:val="auto"/>
              </w:rPr>
              <w:t>Texas</w:t>
            </w:r>
          </w:p>
        </w:tc>
        <w:tc>
          <w:tcPr>
            <w:tcW w:w="576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Custom Vehicle Solutions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Rig Tough Used Trucks, Dallas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Austin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Corpus Christi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Dallas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Dallas, Number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Fort Worth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Houston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Laredo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Lufkin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Pharr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San Antonio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San Antonio, Number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Sealy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Selma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Texarkana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Tyler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Waco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Austin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College Station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Corpus Christi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Dallas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El Paso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Sealy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Waco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Medium Duty Truck Center, Dallas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Medium Duty Truck Center, Waco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Abilene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Amarillo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Austin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Beaumont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Brownsville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College Station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Corpus Christi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Cotulla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Dalhart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Dallas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El Paso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Fort Worth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Houston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Houston Northwest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Laredo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Lubbock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Lufkin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Odessa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Pharr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San Antonio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Sealy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Texarkana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Tyler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Victoria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Waco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Refuse Systems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Towing Systems, Houston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Towing Systems, San Antonio</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9" w:right="379" w:bottom="0" w:gutter="0" w:footer="0" w:header="0"/>
        </w:sectPr>
      </w:pPr>
    </w:p>
    <w:bookmarkStart w:id="82" w:name="page83"/>
    <w:bookmarkEnd w:id="82"/>
    <w:p>
      <w:pPr>
        <w:ind w:left="4800"/>
        <w:spacing w:after="0"/>
        <w:rPr>
          <w:sz w:val="20"/>
          <w:szCs w:val="20"/>
          <w:color w:val="auto"/>
        </w:rPr>
      </w:pPr>
      <w:r>
        <w:rPr>
          <w:rFonts w:ascii="Times New Roman" w:cs="Times New Roman" w:eastAsia="Times New Roman" w:hAnsi="Times New Roman"/>
          <w:sz w:val="18"/>
          <w:szCs w:val="18"/>
          <w:color w:val="auto"/>
        </w:rPr>
        <w:t>Rush Truck Center, Abilene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Amarillo</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Austin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Austin North</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Beaumont</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Bryan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Brownsville</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College Station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Corpus Christi</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Cotulla</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Dalhart</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Dallas</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Dallas Medium Duty</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Rush Truck Center, Dallas Light and Medium Duty</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Denton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El Paso</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Fort Worth</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Houston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Houston Medium Duty</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Houston Northwest</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Laredo</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Lubbock</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Lufkin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Odessa</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Pharr</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San Antonio</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Sealy</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Texarkana</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Tyler</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Victoria</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Truck Center, Waco</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Rush Crane and Refuse Systems International</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World Wide Tires</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House of Trucks,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382905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Truck Centers of Utah, Inc.</w:t>
            </w:r>
          </w:p>
        </w:tc>
        <w:tc>
          <w:tcPr>
            <w:tcW w:w="1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International Truck Center, Salt Lake City</w:t>
            </w:r>
          </w:p>
        </w:tc>
        <w:tc>
          <w:tcPr>
            <w:tcW w:w="140" w:type="dxa"/>
            <w:vAlign w:val="bottom"/>
          </w:tcPr>
          <w:p>
            <w:pPr>
              <w:spacing w:after="0"/>
              <w:rPr>
                <w:sz w:val="17"/>
                <w:szCs w:val="17"/>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International Truck Center, Springville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International Truck Center, St. George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International Truck Center, Ogden</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Truck Center, Salt Lake City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Truck Center, Springville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Truck Center, St. George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Truck Center, Ogden</w:t>
            </w:r>
          </w:p>
        </w:tc>
        <w:tc>
          <w:tcPr>
            <w:tcW w:w="140" w:type="dxa"/>
            <w:vAlign w:val="bottom"/>
          </w:tcPr>
          <w:p>
            <w:pPr>
              <w:spacing w:after="0"/>
              <w:rPr>
                <w:sz w:val="18"/>
                <w:szCs w:val="18"/>
                <w:color w:val="auto"/>
              </w:rPr>
            </w:pPr>
          </w:p>
        </w:tc>
      </w:tr>
      <w:tr>
        <w:trPr>
          <w:trHeight w:val="234"/>
        </w:trPr>
        <w:tc>
          <w:tcPr>
            <w:tcW w:w="37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Truck Center, Farr West</w:t>
            </w:r>
          </w:p>
        </w:tc>
        <w:tc>
          <w:tcPr>
            <w:tcW w:w="140" w:type="dxa"/>
            <w:vAlign w:val="bottom"/>
          </w:tcPr>
          <w:p>
            <w:pPr>
              <w:spacing w:after="0"/>
              <w:rPr>
                <w:sz w:val="20"/>
                <w:szCs w:val="20"/>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Rush Truck Centers of Virginia, Inc.</w:t>
            </w:r>
          </w:p>
        </w:tc>
        <w:tc>
          <w:tcPr>
            <w:tcW w:w="184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4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Rush Truck Center, Richmond</w:t>
            </w:r>
          </w:p>
        </w:tc>
        <w:tc>
          <w:tcPr>
            <w:tcW w:w="140" w:type="dxa"/>
            <w:vAlign w:val="bottom"/>
          </w:tcPr>
          <w:p>
            <w:pPr>
              <w:spacing w:after="0"/>
              <w:rPr>
                <w:sz w:val="17"/>
                <w:szCs w:val="17"/>
                <w:color w:val="auto"/>
              </w:rPr>
            </w:pPr>
          </w:p>
        </w:tc>
      </w:tr>
      <w:tr>
        <w:trPr>
          <w:trHeight w:val="216"/>
        </w:trPr>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Rush Truck Center, Chester</w:t>
            </w:r>
          </w:p>
        </w:tc>
        <w:tc>
          <w:tcPr>
            <w:tcW w:w="14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Rush Truck Center, Fredericksburg</w:t>
            </w:r>
          </w:p>
        </w:tc>
        <w:tc>
          <w:tcPr>
            <w:tcW w:w="140" w:type="dxa"/>
            <w:vAlign w:val="bottom"/>
          </w:tcPr>
          <w:p>
            <w:pPr>
              <w:spacing w:after="0"/>
              <w:rPr>
                <w:sz w:val="20"/>
                <w:szCs w:val="20"/>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Rush Truck Leasing, Inc.</w:t>
            </w:r>
          </w:p>
        </w:tc>
        <w:tc>
          <w:tcPr>
            <w:tcW w:w="1840" w:type="dxa"/>
            <w:vAlign w:val="bottom"/>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4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Rush Crane Systems</w:t>
            </w:r>
          </w:p>
        </w:tc>
        <w:tc>
          <w:tcPr>
            <w:tcW w:w="140" w:type="dxa"/>
            <w:vAlign w:val="bottom"/>
          </w:tcPr>
          <w:p>
            <w:pPr>
              <w:spacing w:after="0"/>
              <w:rPr>
                <w:sz w:val="17"/>
                <w:szCs w:val="17"/>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Idealease, Charlotte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Rush Refuse Systems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Augusta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Asheville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Boise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Champaign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Charlotte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Chicago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Cincinnati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Cleveland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Columbus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Dayton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Effingham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Hickory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Indianapolis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Lima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Macon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Norfolk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Quincy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Richmond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Salt Lake City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Springfield Idealease</w:t>
            </w:r>
          </w:p>
        </w:tc>
        <w:tc>
          <w:tcPr>
            <w:tcW w:w="140" w:type="dxa"/>
            <w:vAlign w:val="bottom"/>
          </w:tcPr>
          <w:p>
            <w:pPr>
              <w:spacing w:after="0"/>
              <w:rPr>
                <w:sz w:val="18"/>
                <w:szCs w:val="18"/>
                <w:color w:val="auto"/>
              </w:rPr>
            </w:pPr>
          </w:p>
        </w:tc>
      </w:tr>
      <w:tr>
        <w:trPr>
          <w:trHeight w:val="234"/>
        </w:trPr>
        <w:tc>
          <w:tcPr>
            <w:tcW w:w="37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 Louis Idealease</w:t>
            </w:r>
          </w:p>
        </w:tc>
        <w:tc>
          <w:tcPr>
            <w:tcW w:w="140" w:type="dxa"/>
            <w:vAlign w:val="bottom"/>
          </w:tcPr>
          <w:p>
            <w:pPr>
              <w:spacing w:after="0"/>
              <w:rPr>
                <w:sz w:val="20"/>
                <w:szCs w:val="20"/>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Advance Premium Finance, Inc.</w:t>
            </w:r>
          </w:p>
        </w:tc>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California</w:t>
            </w:r>
          </w:p>
        </w:tc>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AiRush, Inc.</w:t>
            </w:r>
          </w:p>
        </w:tc>
        <w:tc>
          <w:tcPr>
            <w:tcW w:w="1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8"/>
                <w:szCs w:val="18"/>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Associated Acceptance, Inc.</w:t>
            </w:r>
          </w:p>
        </w:tc>
        <w:tc>
          <w:tcPr>
            <w:tcW w:w="184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Texas</w:t>
            </w:r>
          </w:p>
        </w:tc>
        <w:tc>
          <w:tcPr>
            <w:tcW w:w="574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Automotive Industry Insurance</w:t>
            </w:r>
          </w:p>
        </w:tc>
        <w:tc>
          <w:tcPr>
            <w:tcW w:w="140" w:type="dxa"/>
            <w:vAlign w:val="bottom"/>
          </w:tcPr>
          <w:p>
            <w:pPr>
              <w:spacing w:after="0"/>
              <w:rPr>
                <w:sz w:val="17"/>
                <w:szCs w:val="17"/>
                <w:color w:val="auto"/>
              </w:rPr>
            </w:pPr>
          </w:p>
        </w:tc>
      </w:tr>
      <w:tr>
        <w:trPr>
          <w:trHeight w:val="216"/>
        </w:trPr>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Associated Truck Insurance Services</w:t>
            </w:r>
          </w:p>
        </w:tc>
        <w:tc>
          <w:tcPr>
            <w:tcW w:w="14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Rush Truck Insurance Services</w:t>
            </w:r>
          </w:p>
        </w:tc>
        <w:tc>
          <w:tcPr>
            <w:tcW w:w="140" w:type="dxa"/>
            <w:vAlign w:val="bottom"/>
          </w:tcPr>
          <w:p>
            <w:pPr>
              <w:spacing w:after="0"/>
              <w:rPr>
                <w:sz w:val="20"/>
                <w:szCs w:val="20"/>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Acceptance of Florida, Inc.</w:t>
            </w:r>
          </w:p>
        </w:tc>
        <w:tc>
          <w:tcPr>
            <w:tcW w:w="1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Georgia, Inc.</w:t>
            </w:r>
          </w:p>
        </w:tc>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Associated Acceptance of Oklahoma, Inc.</w:t>
            </w:r>
          </w:p>
        </w:tc>
        <w:tc>
          <w:tcPr>
            <w:tcW w:w="1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Fleet Technologies, Inc.</w:t>
            </w:r>
          </w:p>
        </w:tc>
        <w:tc>
          <w:tcPr>
            <w:tcW w:w="1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Delaware</w:t>
            </w:r>
          </w:p>
        </w:tc>
        <w:tc>
          <w:tcPr>
            <w:tcW w:w="5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Partsriver, Inc.</w:t>
            </w:r>
          </w:p>
        </w:tc>
        <w:tc>
          <w:tcPr>
            <w:tcW w:w="140" w:type="dxa"/>
            <w:vAlign w:val="bottom"/>
          </w:tcPr>
          <w:p>
            <w:pPr>
              <w:spacing w:after="0"/>
              <w:rPr>
                <w:sz w:val="20"/>
                <w:szCs w:val="20"/>
                <w:color w:val="auto"/>
              </w:rPr>
            </w:pPr>
          </w:p>
        </w:tc>
      </w:tr>
      <w:tr>
        <w:trPr>
          <w:trHeight w:val="583"/>
        </w:trPr>
        <w:tc>
          <w:tcPr>
            <w:tcW w:w="3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Idealease of Chicago LLC</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Illinois</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General Agency, Inc.</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Cuernos, Inc.</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 Cuernos Ranch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Fuel Systems, Inc.</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Momentum Fuel Technologies</w:t>
            </w: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Rig Tough, Inc.</w:t>
            </w:r>
          </w:p>
        </w:tc>
        <w:tc>
          <w:tcPr>
            <w:tcW w:w="15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Rush Truck Center, Bakersfield</w:t>
            </w:r>
          </w:p>
        </w:tc>
      </w:tr>
      <w:tr>
        <w:trPr>
          <w:trHeight w:val="234"/>
        </w:trPr>
        <w:tc>
          <w:tcPr>
            <w:tcW w:w="40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Rush Truck Center, Birgmingham</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RTC Nevada, LLC</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Accessories Corporation</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Chrome Country</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Rush Administrative Services, Inc.</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Rushco, Inc.</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do Brasil Participacoes LTDA</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Logistics, Inc.</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Rush Real Estate Holdings, Inc.</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Rush Retail Centers, Inc.</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Rushtex, Inc.</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 &amp; Trailer Finance, Inc.</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1187394B.C.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None</w:t>
            </w:r>
          </w:p>
        </w:tc>
      </w:tr>
    </w:tbl>
    <w:p>
      <w:pPr>
        <w:sectPr>
          <w:pgSz w:w="11900" w:h="16838" w:orient="portrait"/>
          <w:cols w:equalWidth="0" w:num="1">
            <w:col w:w="11280"/>
          </w:cols>
          <w:pgMar w:left="240" w:top="599" w:right="3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color w:val="auto"/>
        </w:rPr>
        <w:t>EXHIBIT 23.1</w:t>
      </w: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333-219878 pertaining to the Rush Enterprises, Inc. Amended and Restated 2007 Long-Term Incentive Plan,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333-198080 pertaining to the Rush Enterprises, Inc.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333-170732 pertaining to the Rush Enterprises, Inc. Deferred Compensation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333-168231 pertaining to the Rush Enterprises, Inc.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333-144821 pertaining to the Rush Enterprises, Inc.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333-138556 pertaining to the Rush Enterprises, Inc. 2006 Non-Employee Director Stock Option Plan, and</w:t>
      </w:r>
    </w:p>
    <w:p>
      <w:pPr>
        <w:spacing w:after="0" w:line="9"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333-121355 pertaining to the Rush Enterprises, Inc. Long-Term Incentive Plan, the Rush Enterprises, Inc. 2004 Employee Stock Purchase Plan and Certain Non-Plan Options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25, 2019,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ectPr>
          <w:pgSz w:w="11900" w:h="16838" w:orient="portrait"/>
          <w:cols w:equalWidth="0" w:num="1">
            <w:col w:w="11420"/>
          </w:cols>
          <w:pgMar w:left="240" w:top="111"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M. “Rusty” Rush, certify that:</w:t>
      </w:r>
    </w:p>
    <w:p>
      <w:pPr>
        <w:spacing w:after="0" w:line="225"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4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4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5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6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4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3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2019</w:t>
            </w:r>
          </w:p>
        </w:tc>
        <w:tc>
          <w:tcPr>
            <w:tcW w:w="478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W. M. “RUSTY” RUSH</w:t>
            </w:r>
          </w:p>
        </w:tc>
      </w:tr>
      <w:tr>
        <w:trPr>
          <w:trHeight w:val="20"/>
        </w:trPr>
        <w:tc>
          <w:tcPr>
            <w:tcW w:w="3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3400" w:type="dxa"/>
            <w:vAlign w:val="bottom"/>
          </w:tcPr>
          <w:p>
            <w:pPr>
              <w:spacing w:after="0"/>
              <w:rPr>
                <w:sz w:val="20"/>
                <w:szCs w:val="20"/>
                <w:color w:val="auto"/>
              </w:rPr>
            </w:pPr>
          </w:p>
        </w:tc>
        <w:tc>
          <w:tcPr>
            <w:tcW w:w="47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W. M. “Rusty” Rush</w:t>
            </w:r>
          </w:p>
        </w:tc>
      </w:tr>
      <w:tr>
        <w:trPr>
          <w:trHeight w:val="414"/>
        </w:trPr>
        <w:tc>
          <w:tcPr>
            <w:tcW w:w="3400" w:type="dxa"/>
            <w:vAlign w:val="bottom"/>
          </w:tcPr>
          <w:p>
            <w:pPr>
              <w:spacing w:after="0"/>
              <w:rPr>
                <w:sz w:val="24"/>
                <w:szCs w:val="24"/>
                <w:color w:val="auto"/>
              </w:rPr>
            </w:pPr>
          </w:p>
        </w:tc>
        <w:tc>
          <w:tcPr>
            <w:tcW w:w="47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3400" w:type="dxa"/>
            <w:vAlign w:val="bottom"/>
          </w:tcPr>
          <w:p>
            <w:pPr>
              <w:spacing w:after="0"/>
              <w:rPr>
                <w:sz w:val="18"/>
                <w:szCs w:val="18"/>
                <w:color w:val="auto"/>
              </w:rPr>
            </w:pPr>
          </w:p>
        </w:tc>
        <w:tc>
          <w:tcPr>
            <w:tcW w:w="47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400" w:type="dxa"/>
            <w:vAlign w:val="bottom"/>
          </w:tcPr>
          <w:p>
            <w:pPr>
              <w:spacing w:after="0"/>
              <w:rPr>
                <w:sz w:val="20"/>
                <w:szCs w:val="20"/>
                <w:color w:val="auto"/>
              </w:rPr>
            </w:pPr>
          </w:p>
        </w:tc>
        <w:tc>
          <w:tcPr>
            <w:tcW w:w="47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2"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4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4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6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4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2019</w:t>
            </w:r>
          </w:p>
        </w:tc>
        <w:tc>
          <w:tcPr>
            <w:tcW w:w="5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0"/>
        </w:trPr>
        <w:tc>
          <w:tcPr>
            <w:tcW w:w="3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8"/>
        </w:trPr>
        <w:tc>
          <w:tcPr>
            <w:tcW w:w="3400" w:type="dxa"/>
            <w:vAlign w:val="bottom"/>
          </w:tcPr>
          <w:p>
            <w:pPr>
              <w:spacing w:after="0"/>
              <w:rPr>
                <w:sz w:val="18"/>
                <w:szCs w:val="18"/>
                <w:color w:val="auto"/>
              </w:rPr>
            </w:pPr>
          </w:p>
        </w:tc>
        <w:tc>
          <w:tcPr>
            <w:tcW w:w="52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3400" w:type="dxa"/>
            <w:vAlign w:val="bottom"/>
          </w:tcPr>
          <w:p>
            <w:pPr>
              <w:spacing w:after="0"/>
              <w:rPr>
                <w:sz w:val="18"/>
                <w:szCs w:val="18"/>
                <w:color w:val="auto"/>
              </w:rPr>
            </w:pPr>
          </w:p>
        </w:tc>
        <w:tc>
          <w:tcPr>
            <w:tcW w:w="52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400" w:type="dxa"/>
            <w:vAlign w:val="bottom"/>
          </w:tcPr>
          <w:p>
            <w:pPr>
              <w:spacing w:after="0"/>
              <w:rPr>
                <w:sz w:val="20"/>
                <w:szCs w:val="20"/>
                <w:color w:val="auto"/>
              </w:rPr>
            </w:pPr>
          </w:p>
        </w:tc>
        <w:tc>
          <w:tcPr>
            <w:tcW w:w="52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420"/>
          </w:cols>
          <w:pgMar w:left="240" w:top="112"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2018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020" w:hanging="36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4"/>
        <w:spacing w:after="0" w:line="282" w:lineRule="auto"/>
        <w:tabs>
          <w:tab w:leader="none" w:pos="11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5"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M. “RUSTY” RUSH</w:t>
            </w:r>
          </w:p>
        </w:tc>
        <w:tc>
          <w:tcPr>
            <w:tcW w:w="2500" w:type="dxa"/>
            <w:vAlign w:val="bottom"/>
          </w:tcPr>
          <w:p>
            <w:pPr>
              <w:spacing w:after="0"/>
              <w:rPr>
                <w:sz w:val="17"/>
                <w:szCs w:val="17"/>
                <w:color w:val="auto"/>
              </w:rPr>
            </w:pPr>
          </w:p>
        </w:tc>
      </w:tr>
      <w:tr>
        <w:trPr>
          <w:trHeight w:val="218"/>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 M. “Rusty” Rush</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President, Chief Executive Officer and Chairman of the Board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25, 2019</w:t>
            </w:r>
          </w:p>
        </w:tc>
      </w:tr>
    </w:tbl>
    <w:p>
      <w:pPr>
        <w:sectPr>
          <w:pgSz w:w="11900" w:h="16838" w:orient="portrait"/>
          <w:cols w:equalWidth="0" w:num="1">
            <w:col w:w="11420"/>
          </w:cols>
          <w:pgMar w:left="240" w:top="111"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2018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020" w:hanging="36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4"/>
        <w:spacing w:after="0" w:line="282" w:lineRule="auto"/>
        <w:tabs>
          <w:tab w:leader="none" w:pos="11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STEVEN L. KELLER</w:t>
            </w:r>
          </w:p>
        </w:tc>
      </w:tr>
      <w:tr>
        <w:trPr>
          <w:trHeight w:val="20"/>
        </w:trPr>
        <w:tc>
          <w:tcPr>
            <w:tcW w:w="580" w:type="dxa"/>
            <w:vAlign w:val="bottom"/>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8"/>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Steven L. Keller</w:t>
            </w:r>
          </w:p>
        </w:tc>
      </w:tr>
      <w:tr>
        <w:trPr>
          <w:trHeight w:val="216"/>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February 25, 2019</w:t>
            </w: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4"/>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Roman"/>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4"/>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2"/>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decimal"/>
      <w:start w:val="4"/>
    </w:lvl>
  </w:abstractNum>
  <w:abstractNum w:abstractNumId="18">
    <w:nsid w:val="2901D82"/>
    <w:multiLevelType w:val="hybridMultilevel"/>
    <w:lvl w:ilvl="0">
      <w:lvlJc w:val="left"/>
      <w:lvlText w:val="%1."/>
      <w:numFmt w:val="decimal"/>
      <w:start w:val="6"/>
    </w:lvl>
  </w:abstractNum>
  <w:abstractNum w:abstractNumId="19">
    <w:nsid w:val="3A95F874"/>
    <w:multiLevelType w:val="hybridMultilevel"/>
    <w:lvl w:ilvl="0">
      <w:lvlJc w:val="left"/>
      <w:lvlText w:val="%1."/>
      <w:numFmt w:val="decimal"/>
      <w:start w:val="7"/>
    </w:lvl>
  </w:abstractNum>
  <w:abstractNum w:abstractNumId="20">
    <w:nsid w:val="8138641"/>
    <w:multiLevelType w:val="hybridMultilevel"/>
    <w:lvl w:ilvl="0">
      <w:lvlJc w:val="left"/>
      <w:lvlText w:val="%1."/>
      <w:numFmt w:val="decimal"/>
      <w:start w:val="9"/>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1."/>
      <w:numFmt w:val="decimal"/>
      <w:start w:val="12"/>
    </w:lvl>
  </w:abstractNum>
  <w:abstractNum w:abstractNumId="23">
    <w:nsid w:val="737B8DDC"/>
    <w:multiLevelType w:val="hybridMultilevel"/>
    <w:lvl w:ilvl="0">
      <w:lvlJc w:val="left"/>
      <w:lvlText w:val="%1."/>
      <w:numFmt w:val="decimal"/>
      <w:start w:val="14"/>
    </w:lvl>
  </w:abstractNum>
  <w:abstractNum w:abstractNumId="24">
    <w:nsid w:val="6CEAF087"/>
    <w:multiLevelType w:val="hybridMultilevel"/>
    <w:lvl w:ilvl="0">
      <w:lvlJc w:val="left"/>
      <w:lvlText w:val="%1."/>
      <w:numFmt w:val="decimal"/>
      <w:start w:val="15"/>
    </w:lvl>
  </w:abstractNum>
  <w:abstractNum w:abstractNumId="25">
    <w:nsid w:val="22221A70"/>
    <w:multiLevelType w:val="hybridMultilevel"/>
    <w:lvl w:ilvl="0">
      <w:lvlJc w:val="left"/>
      <w:lvlText w:val="%1."/>
      <w:numFmt w:val="decimal"/>
      <w:start w:val="16"/>
    </w:lvl>
  </w:abstractNum>
  <w:abstractNum w:abstractNumId="26">
    <w:nsid w:val="4516DDE9"/>
    <w:multiLevelType w:val="hybridMultilevel"/>
    <w:lvl w:ilvl="0">
      <w:lvlJc w:val="left"/>
      <w:lvlText w:val="%1."/>
      <w:numFmt w:val="decimal"/>
      <w:start w:val="17"/>
    </w:lvl>
  </w:abstractNum>
  <w:abstractNum w:abstractNumId="27">
    <w:nsid w:val="3006C83E"/>
    <w:multiLevelType w:val="hybridMultilevel"/>
    <w:lvl w:ilvl="0">
      <w:lvlJc w:val="left"/>
      <w:lvlText w:val="%1."/>
      <w:numFmt w:val="decimal"/>
      <w:start w:val="18"/>
    </w:lvl>
  </w:abstractNum>
  <w:abstractNum w:abstractNumId="28">
    <w:nsid w:val="614FD4A1"/>
    <w:multiLevelType w:val="hybridMultilevel"/>
    <w:lvl w:ilvl="0">
      <w:lvlJc w:val="left"/>
      <w:lvlText w:val="%1."/>
      <w:numFmt w:val="decimal"/>
      <w:start w:val="19"/>
    </w:lvl>
  </w:abstractNum>
  <w:abstractNum w:abstractNumId="29">
    <w:nsid w:val="419AC241"/>
    <w:multiLevelType w:val="hybridMultilevel"/>
    <w:lvl w:ilvl="0">
      <w:lvlJc w:val="left"/>
      <w:lvlText w:val="%1."/>
      <w:numFmt w:val="decimal"/>
      <w:start w:val="20"/>
    </w:lvl>
  </w:abstractNum>
  <w:abstractNum w:abstractNumId="30">
    <w:nsid w:val="5577F8E1"/>
    <w:multiLevelType w:val="hybridMultilevel"/>
    <w:lvl w:ilvl="0">
      <w:lvlJc w:val="left"/>
      <w:lvlText w:val="%1."/>
      <w:numFmt w:val="decimal"/>
      <w:start w:val="2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75" Type="http://schemas.openxmlformats.org/officeDocument/2006/relationships/hyperlink" Target="http://www.sec.gov/Archives/edgar/data/1012019/000110465908051789/a08-18770_1ex3d1.htm" TargetMode="External"/><Relationship Id="rId76" Type="http://schemas.openxmlformats.org/officeDocument/2006/relationships/hyperlink" Target="http://www.sec.gov/Archives/edgar/data/1012019/000143774913006455/rusha20130517_8kex3-1.htm" TargetMode="External"/><Relationship Id="rId77" Type="http://schemas.openxmlformats.org/officeDocument/2006/relationships/hyperlink" Target="http://www.sec.gov/Archives/edgar/data/1012019/0000950129-96-000812-index.html" TargetMode="External"/><Relationship Id="rId78" Type="http://schemas.openxmlformats.org/officeDocument/2006/relationships/hyperlink" Target="http://www.sec.gov/Archives/edgar/data/1012019/000091205702026743/a2083861zex-4_1.htm" TargetMode="External"/><Relationship Id="rId79" Type="http://schemas.openxmlformats.org/officeDocument/2006/relationships/hyperlink" Target="http://www.sec.gov/Archives/edgar/data/1012019/000143774912013051/ex10-2.htm" TargetMode="External"/><Relationship Id="rId80" Type="http://schemas.openxmlformats.org/officeDocument/2006/relationships/hyperlink" Target="http://www.sec.gov/Archives/edgar/data/1012019/000143774912013051/ex10-3.htm" TargetMode="External"/><Relationship Id="rId81" Type="http://schemas.openxmlformats.org/officeDocument/2006/relationships/hyperlink" Target="http://www.sec.gov/Archives/edgar/data/1012019/000143774917003534/ex10-5.htm" TargetMode="External"/><Relationship Id="rId82" Type="http://schemas.openxmlformats.org/officeDocument/2006/relationships/hyperlink" Target="http://www.sec.gov/Archives/edgar/data/1012019/000095012311024520/c13928exv10w10.htm" TargetMode="External"/><Relationship Id="rId83" Type="http://schemas.openxmlformats.org/officeDocument/2006/relationships/hyperlink" Target="http://www.sec.gov/Archives/edgar/data/1012019/000110465906073551/a06-23617_2ex4d4.htm" TargetMode="External"/><Relationship Id="rId84" Type="http://schemas.openxmlformats.org/officeDocument/2006/relationships/hyperlink" Target="http://www.sec.gov/Archives/edgar/data/1012019/000143774912008036/ex10-1.htm" TargetMode="External"/><Relationship Id="rId85" Type="http://schemas.openxmlformats.org/officeDocument/2006/relationships/hyperlink" Target="http://www.sec.gov/Archives/edgar/data/1012019/000143774917009809/ex10-1.htm" TargetMode="External"/><Relationship Id="rId86" Type="http://schemas.openxmlformats.org/officeDocument/2006/relationships/hyperlink" Target="http://www.sec.gov/Archives/edgar/data/1012019/000119312512114188/d315042dex101.htm" TargetMode="External"/><Relationship Id="rId87" Type="http://schemas.openxmlformats.org/officeDocument/2006/relationships/hyperlink" Target="http://www.sec.gov/Archives/edgar/data/1012019/000110465907055737/a07-20147_1ex4d4.htm" TargetMode="External"/><Relationship Id="rId88" Type="http://schemas.openxmlformats.org/officeDocument/2006/relationships/hyperlink" Target="http://www.sec.gov/Archives/edgar/data/1012019/000095012310104889/c08447exv10w1.htm" TargetMode="External"/><Relationship Id="rId89" Type="http://schemas.openxmlformats.org/officeDocument/2006/relationships/hyperlink" Target="http://www.sec.gov/Archives/edgar/data/1012019/000143774915000385/ex10-1.htm" TargetMode="External"/><Relationship Id="rId90" Type="http://schemas.openxmlformats.org/officeDocument/2006/relationships/hyperlink" Target="http://www.sec.gov/Archives/edgar/data/1012019/000110465908047652/a08-20031_1ex10d1.htm" TargetMode="External"/><Relationship Id="rId91" Type="http://schemas.openxmlformats.org/officeDocument/2006/relationships/hyperlink" Target="http://www.sec.gov/Archives/edgar/data/1012019/000095013400002832/0000950134-00-002832.txt" TargetMode="External"/><Relationship Id="rId92" Type="http://schemas.openxmlformats.org/officeDocument/2006/relationships/hyperlink" Target="http://www.sec.gov/Archives/edgar/data/1012019/000143774912013051/ex10-1.htm" TargetMode="External"/><Relationship Id="rId93" Type="http://schemas.openxmlformats.org/officeDocument/2006/relationships/hyperlink" Target="http://www.sec.gov/Archives/edgar/data/1012019/000095012311001052/c10658exv10w2.htm" TargetMode="External"/><Relationship Id="rId94" Type="http://schemas.openxmlformats.org/officeDocument/2006/relationships/hyperlink" Target="http://www.sec.gov/Archives/edgar/data/1012019/000143774916035047/rusha20160708_8k.htm" TargetMode="External"/><Relationship Id="rId95" Type="http://schemas.openxmlformats.org/officeDocument/2006/relationships/hyperlink" Target="http://www.sec.gov/Archives/edgar/data/1012019/000143774917005336/ex10-1.htm" TargetMode="External"/><Relationship Id="rId96" Type="http://schemas.openxmlformats.org/officeDocument/2006/relationships/hyperlink" Target="http://www.sec.gov/Archives/edgar/data/1012019/000143774917005336/ex10-2.htm" TargetMode="External"/><Relationship Id="rId97" Type="http://schemas.openxmlformats.org/officeDocument/2006/relationships/hyperlink" Target="http://www.sec.gov/Archives/edgar/data/1012019/000143774917005336/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2019-12-28T16:17:27Z</dcterms:created>
  <dcterms:modified xsi:type="dcterms:W3CDTF">2019-12-28T16:17:27Z</dcterms:modified>
</cp:coreProperties>
</file>