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211" w:lineRule="exact"/>
        <w:rPr>
          <w:sz w:val="24"/>
          <w:szCs w:val="24"/>
          <w:color w:val="auto"/>
        </w:rPr>
      </w:pPr>
    </w:p>
    <w:p>
      <w:pPr>
        <w:ind w:right="2100" w:firstLine="8"/>
        <w:spacing w:after="0" w:line="530" w:lineRule="auto"/>
        <w:tabs>
          <w:tab w:leader="none" w:pos="150" w:val="left"/>
        </w:tabs>
        <w:numPr>
          <w:ilvl w:val="0"/>
          <w:numId w:val="2"/>
        </w:numPr>
        <w:rPr>
          <w:rFonts w:ascii="Arial" w:cs="Arial" w:eastAsia="Arial" w:hAnsi="Arial"/>
          <w:sz w:val="17"/>
          <w:szCs w:val="17"/>
          <w:color w:val="auto"/>
        </w:rPr>
      </w:pPr>
      <w:r>
        <w:rPr>
          <w:rFonts w:ascii="Arial" w:cs="Arial" w:eastAsia="Arial" w:hAnsi="Arial"/>
          <w:sz w:val="17"/>
          <w:szCs w:val="17"/>
          <w:color w:val="auto"/>
        </w:rPr>
        <w:t>) TRANSITION REPORT PURSUANT TO SECTION 13 OR 15(d) OF THE SECURITIES EXCHANGE ACT OF 1934 For the transition period from ___________________________ to ____________________________________________</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Commission File Number 0-20797</w:t>
      </w:r>
    </w:p>
    <w:p>
      <w:pPr>
        <w:spacing w:after="0" w:line="200" w:lineRule="exact"/>
        <w:rPr>
          <w:sz w:val="24"/>
          <w:szCs w:val="24"/>
          <w:color w:val="auto"/>
        </w:rPr>
      </w:pPr>
    </w:p>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RUSH ENTERPRISES,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226" w:right="199" w:bottom="1059" w:gutter="0" w:footer="0" w:header="0"/>
        </w:sectPr>
      </w:pPr>
    </w:p>
    <w:p>
      <w:pPr>
        <w:spacing w:after="0" w:line="211" w:lineRule="exact"/>
        <w:rPr>
          <w:sz w:val="24"/>
          <w:szCs w:val="24"/>
          <w:color w:val="auto"/>
        </w:rPr>
      </w:pPr>
    </w:p>
    <w:p>
      <w:pPr>
        <w:ind w:left="2600"/>
        <w:spacing w:after="0"/>
        <w:rPr>
          <w:sz w:val="20"/>
          <w:szCs w:val="20"/>
          <w:color w:val="auto"/>
        </w:rPr>
      </w:pPr>
      <w:r>
        <w:rPr>
          <w:rFonts w:ascii="Arial" w:cs="Arial" w:eastAsia="Arial" w:hAnsi="Arial"/>
          <w:sz w:val="18"/>
          <w:szCs w:val="18"/>
          <w:color w:val="auto"/>
        </w:rPr>
        <w:t>Texas</w:t>
      </w:r>
    </w:p>
    <w:p>
      <w:pPr>
        <w:spacing w:after="0" w:line="23" w:lineRule="exact"/>
        <w:rPr>
          <w:sz w:val="24"/>
          <w:szCs w:val="24"/>
          <w:color w:val="auto"/>
        </w:rPr>
      </w:pPr>
    </w:p>
    <w:p>
      <w:pPr>
        <w:ind w:left="1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7" w:lineRule="exact"/>
        <w:rPr>
          <w:sz w:val="24"/>
          <w:szCs w:val="24"/>
          <w:color w:val="auto"/>
        </w:rPr>
      </w:pPr>
    </w:p>
    <w:p>
      <w:pPr>
        <w:jc w:val="center"/>
        <w:ind w:right="1580"/>
        <w:spacing w:after="0"/>
        <w:rPr>
          <w:sz w:val="20"/>
          <w:szCs w:val="20"/>
          <w:color w:val="auto"/>
        </w:rPr>
      </w:pPr>
      <w:r>
        <w:rPr>
          <w:rFonts w:ascii="Arial" w:cs="Arial" w:eastAsia="Arial" w:hAnsi="Arial"/>
          <w:sz w:val="18"/>
          <w:szCs w:val="18"/>
          <w:color w:val="auto"/>
        </w:rPr>
        <w:t>74-1733016</w:t>
      </w:r>
    </w:p>
    <w:p>
      <w:pPr>
        <w:spacing w:after="0" w:line="23" w:lineRule="exact"/>
        <w:rPr>
          <w:sz w:val="24"/>
          <w:szCs w:val="24"/>
          <w:color w:val="auto"/>
        </w:rPr>
      </w:pPr>
    </w:p>
    <w:p>
      <w:pPr>
        <w:jc w:val="center"/>
        <w:ind w:right="158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600" w:space="720"/>
            <w:col w:w="4140"/>
          </w:cols>
          <w:pgMar w:left="240" w:top="226" w:right="199" w:bottom="1059" w:gutter="0" w:footer="0" w:header="0"/>
          <w:type w:val="continuous"/>
        </w:sectPr>
      </w:pP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555 I.H. 35 South, Suite 500</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New Braunfels, Texas 78130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60"/>
          </w:cols>
          <w:pgMar w:left="240" w:top="226" w:right="199" w:bottom="1059" w:gutter="0" w:footer="0" w:header="0"/>
          <w:type w:val="continuous"/>
        </w:sectPr>
      </w:pP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(830) 626-5200</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both"/>
        <w:ind w:right="40" w:firstLine="972"/>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940"/>
        <w:spacing w:after="0"/>
        <w:tabs>
          <w:tab w:leader="none" w:pos="632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81" w:lineRule="exact"/>
        <w:rPr>
          <w:sz w:val="24"/>
          <w:szCs w:val="24"/>
          <w:color w:val="auto"/>
        </w:rPr>
      </w:pPr>
    </w:p>
    <w:p>
      <w:pPr>
        <w:ind w:left="4940"/>
        <w:spacing w:after="0"/>
        <w:tabs>
          <w:tab w:leader="none" w:pos="632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60"/>
          </w:cols>
          <w:pgMar w:left="240" w:top="226" w:right="199" w:bottom="1059" w:gutter="0" w:footer="0" w:header="0"/>
          <w:type w:val="continuous"/>
        </w:sectPr>
      </w:pPr>
    </w:p>
    <w:p>
      <w:pPr>
        <w:spacing w:after="0" w:line="178" w:lineRule="exact"/>
        <w:rPr>
          <w:sz w:val="24"/>
          <w:szCs w:val="24"/>
          <w:color w:val="auto"/>
        </w:rPr>
      </w:pPr>
    </w:p>
    <w:p>
      <w:pPr>
        <w:ind w:left="3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020" w:space="720"/>
            <w:col w:w="5720"/>
          </w:cols>
          <w:pgMar w:left="240" w:top="226" w:right="199" w:bottom="1059" w:gutter="0" w:footer="0" w:header="0"/>
          <w:type w:val="continuous"/>
        </w:sectPr>
      </w:pPr>
    </w:p>
    <w:p>
      <w:pPr>
        <w:spacing w:after="0" w:line="48" w:lineRule="exact"/>
        <w:rPr>
          <w:sz w:val="24"/>
          <w:szCs w:val="24"/>
          <w:color w:val="auto"/>
        </w:rPr>
      </w:pPr>
    </w:p>
    <w:p>
      <w:pPr>
        <w:ind w:left="30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30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4" w:lineRule="exact"/>
        <w:rPr>
          <w:sz w:val="24"/>
          <w:szCs w:val="24"/>
          <w:color w:val="auto"/>
        </w:rPr>
      </w:pPr>
    </w:p>
    <w:p>
      <w:pPr>
        <w:sectPr>
          <w:pgSz w:w="11900" w:h="16838" w:orient="portrait"/>
          <w:cols w:equalWidth="0" w:num="2">
            <w:col w:w="5040" w:space="720"/>
            <w:col w:w="5700"/>
          </w:cols>
          <w:pgMar w:left="240" w:top="226" w:right="199" w:bottom="1059" w:gutter="0" w:footer="0" w:header="0"/>
          <w:type w:val="continuous"/>
        </w:sectPr>
      </w:pPr>
    </w:p>
    <w:p>
      <w:pPr>
        <w:spacing w:after="0" w:line="3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4940"/>
        <w:spacing w:after="0"/>
        <w:tabs>
          <w:tab w:leader="none" w:pos="628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May 4, 2015.</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Number of</w:t>
            </w:r>
          </w:p>
        </w:tc>
        <w:tc>
          <w:tcPr>
            <w:tcW w:w="4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280" w:type="dxa"/>
            <w:vAlign w:val="bottom"/>
            <w:gridSpan w:val="2"/>
          </w:tcPr>
          <w:p>
            <w:pPr>
              <w:jc w:val="center"/>
              <w:ind w:right="2400"/>
              <w:spacing w:after="0"/>
              <w:rPr>
                <w:sz w:val="20"/>
                <w:szCs w:val="20"/>
                <w:color w:val="auto"/>
              </w:rPr>
            </w:pPr>
            <w:r>
              <w:rPr>
                <w:rFonts w:ascii="Arial" w:cs="Arial" w:eastAsia="Arial" w:hAnsi="Arial"/>
                <w:sz w:val="18"/>
                <w:szCs w:val="18"/>
                <w:color w:val="auto"/>
                <w:w w:val="84"/>
              </w:rPr>
              <w:t>Shares</w:t>
            </w:r>
          </w:p>
        </w:tc>
        <w:tc>
          <w:tcPr>
            <w:tcW w:w="40" w:type="dxa"/>
            <w:vAlign w:val="bottom"/>
          </w:tcPr>
          <w:p>
            <w:pPr>
              <w:spacing w:after="0"/>
              <w:rPr>
                <w:sz w:val="18"/>
                <w:szCs w:val="18"/>
                <w:color w:val="auto"/>
              </w:rPr>
            </w:pPr>
          </w:p>
        </w:tc>
      </w:tr>
      <w:tr>
        <w:trPr>
          <w:trHeight w:val="190"/>
        </w:trPr>
        <w:tc>
          <w:tcPr>
            <w:tcW w:w="8140" w:type="dxa"/>
            <w:vAlign w:val="bottom"/>
            <w:gridSpan w:val="3"/>
          </w:tcPr>
          <w:p>
            <w:pPr>
              <w:jc w:val="center"/>
              <w:ind w:right="2420"/>
              <w:spacing w:after="0" w:line="190" w:lineRule="exact"/>
              <w:rPr>
                <w:sz w:val="20"/>
                <w:szCs w:val="20"/>
                <w:color w:val="auto"/>
              </w:rPr>
            </w:pPr>
            <w:r>
              <w:rPr>
                <w:rFonts w:ascii="Arial" w:cs="Arial" w:eastAsia="Arial" w:hAnsi="Arial"/>
                <w:sz w:val="18"/>
                <w:szCs w:val="18"/>
                <w:color w:val="auto"/>
                <w:w w:val="92"/>
              </w:rPr>
              <w:t>Title of Class</w:t>
            </w:r>
          </w:p>
        </w:tc>
        <w:tc>
          <w:tcPr>
            <w:tcW w:w="3280" w:type="dxa"/>
            <w:vAlign w:val="bottom"/>
            <w:gridSpan w:val="2"/>
          </w:tcPr>
          <w:p>
            <w:pPr>
              <w:jc w:val="center"/>
              <w:ind w:right="2400"/>
              <w:spacing w:after="0" w:line="190" w:lineRule="exact"/>
              <w:rPr>
                <w:sz w:val="20"/>
                <w:szCs w:val="20"/>
                <w:color w:val="auto"/>
              </w:rPr>
            </w:pPr>
            <w:r>
              <w:rPr>
                <w:rFonts w:ascii="Arial" w:cs="Arial" w:eastAsia="Arial" w:hAnsi="Arial"/>
                <w:sz w:val="18"/>
                <w:szCs w:val="18"/>
                <w:color w:val="auto"/>
                <w:w w:val="90"/>
              </w:rPr>
              <w:t>Outstanding</w:t>
            </w:r>
          </w:p>
        </w:tc>
        <w:tc>
          <w:tcPr>
            <w:tcW w:w="40" w:type="dxa"/>
            <w:vAlign w:val="bottom"/>
          </w:tcPr>
          <w:p>
            <w:pPr>
              <w:spacing w:after="0"/>
              <w:rPr>
                <w:sz w:val="16"/>
                <w:szCs w:val="16"/>
                <w:color w:val="auto"/>
              </w:rPr>
            </w:pPr>
          </w:p>
        </w:tc>
      </w:tr>
      <w:tr>
        <w:trPr>
          <w:trHeight w:val="21"/>
        </w:trPr>
        <w:tc>
          <w:tcPr>
            <w:tcW w:w="238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8140" w:type="dxa"/>
            <w:vAlign w:val="bottom"/>
            <w:gridSpan w:val="3"/>
            <w:shd w:val="clear" w:color="auto" w:fill="CCEEFF"/>
          </w:tcPr>
          <w:p>
            <w:pPr>
              <w:jc w:val="center"/>
              <w:ind w:right="2460"/>
              <w:spacing w:after="0"/>
              <w:rPr>
                <w:sz w:val="20"/>
                <w:szCs w:val="20"/>
                <w:color w:val="auto"/>
              </w:rPr>
            </w:pPr>
            <w:r>
              <w:rPr>
                <w:rFonts w:ascii="Arial" w:cs="Arial" w:eastAsia="Arial" w:hAnsi="Arial"/>
                <w:sz w:val="18"/>
                <w:szCs w:val="18"/>
                <w:color w:val="auto"/>
                <w:w w:val="90"/>
              </w:rPr>
              <w:t>Class A Common Stock, $.01 Par Value</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30,170,422</w:t>
            </w:r>
          </w:p>
        </w:tc>
        <w:tc>
          <w:tcPr>
            <w:tcW w:w="2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8140" w:type="dxa"/>
            <w:vAlign w:val="bottom"/>
            <w:gridSpan w:val="3"/>
          </w:tcPr>
          <w:p>
            <w:pPr>
              <w:jc w:val="center"/>
              <w:ind w:right="2420"/>
              <w:spacing w:after="0"/>
              <w:rPr>
                <w:sz w:val="20"/>
                <w:szCs w:val="20"/>
                <w:color w:val="auto"/>
              </w:rPr>
            </w:pPr>
            <w:r>
              <w:rPr>
                <w:rFonts w:ascii="Arial" w:cs="Arial" w:eastAsia="Arial" w:hAnsi="Arial"/>
                <w:sz w:val="18"/>
                <w:szCs w:val="18"/>
                <w:color w:val="auto"/>
                <w:w w:val="90"/>
              </w:rPr>
              <w:t>Class B Common Stock, $.01 Par Value</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10,093,305</w:t>
            </w:r>
          </w:p>
        </w:tc>
        <w:tc>
          <w:tcPr>
            <w:tcW w:w="24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820"/>
        </w:trPr>
        <w:tc>
          <w:tcPr>
            <w:tcW w:w="2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23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48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4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226" w:right="199" w:bottom="1059"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920" w:type="dxa"/>
            <w:vAlign w:val="bottom"/>
            <w:gridSpan w:val="18"/>
          </w:tcPr>
          <w:p>
            <w:pPr>
              <w:spacing w:after="0"/>
              <w:rPr>
                <w:sz w:val="20"/>
                <w:szCs w:val="20"/>
                <w:color w:val="auto"/>
              </w:rPr>
            </w:pPr>
            <w:r>
              <w:rPr>
                <w:rFonts w:ascii="Arial" w:cs="Arial" w:eastAsia="Arial" w:hAnsi="Arial"/>
                <w:sz w:val="18"/>
                <w:szCs w:val="18"/>
                <w:b w:val="1"/>
                <w:bCs w:val="1"/>
                <w:color w:val="auto"/>
              </w:rPr>
              <w:t>PART I. FINANCIAL INFORMATION</w:t>
            </w:r>
          </w:p>
        </w:tc>
        <w:tc>
          <w:tcPr>
            <w:tcW w:w="540" w:type="dxa"/>
            <w:vAlign w:val="bottom"/>
            <w:gridSpan w:val="3"/>
          </w:tcPr>
          <w:p>
            <w:pPr>
              <w:ind w:left="14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Item 1.</w:t>
            </w:r>
          </w:p>
        </w:tc>
        <w:tc>
          <w:tcPr>
            <w:tcW w:w="9760" w:type="dxa"/>
            <w:vAlign w:val="bottom"/>
            <w:gridSpan w:val="1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760" w:type="dxa"/>
            <w:vAlign w:val="bottom"/>
            <w:gridSpan w:val="1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March 31, 2015 (unaudited) and December 31, 2014</w:t>
              </w:r>
            </w:hyperlink>
          </w:p>
        </w:tc>
        <w:tc>
          <w:tcPr>
            <w:tcW w:w="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760" w:type="dxa"/>
            <w:vAlign w:val="bottom"/>
            <w:gridSpan w:val="16"/>
            <w:shd w:val="clear" w:color="auto" w:fill="CCEEFF"/>
          </w:tcPr>
          <w:p>
            <w:pPr>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Consolidated Statements of Income and Comprehensive Income - For the Three Months Ended March 31, 2015 and 2014 (unaudited)</w:t>
              </w:r>
            </w:hyperlink>
          </w:p>
        </w:tc>
        <w:tc>
          <w:tcPr>
            <w:tcW w:w="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760" w:type="dxa"/>
            <w:vAlign w:val="bottom"/>
            <w:gridSpan w:val="16"/>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 For the Three Months Ended March 31, 2015 and 2014 (unaudited)</w:t>
              </w:r>
            </w:hyperlink>
          </w:p>
        </w:tc>
        <w:tc>
          <w:tcPr>
            <w:tcW w:w="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760" w:type="dxa"/>
            <w:vAlign w:val="bottom"/>
            <w:gridSpan w:val="16"/>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 (unaudited)</w:t>
              </w:r>
            </w:hyperlink>
          </w:p>
        </w:tc>
        <w:tc>
          <w:tcPr>
            <w:tcW w:w="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900" w:type="dxa"/>
            <w:vAlign w:val="bottom"/>
            <w:gridSpan w:val="17"/>
            <w:shd w:val="clear" w:color="auto" w:fill="CCEEFF"/>
          </w:tcPr>
          <w:p>
            <w:pPr>
              <w:ind w:left="52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2. </w:t>
            </w:r>
            <w:hyperlink w:anchor="page13">
              <w:r>
                <w:rPr>
                  <w:rFonts w:ascii="Arial" w:cs="Arial" w:eastAsia="Arial" w:hAnsi="Arial"/>
                  <w:sz w:val="18"/>
                  <w:szCs w:val="18"/>
                  <w:color w:val="0000EE"/>
                </w:rPr>
                <w:t>Discussion and Analysis of Financial Condition and Results of Operations</w:t>
              </w:r>
            </w:hyperlink>
          </w:p>
        </w:tc>
        <w:tc>
          <w:tcPr>
            <w:tcW w:w="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900" w:type="dxa"/>
            <w:vAlign w:val="bottom"/>
            <w:gridSpan w:val="17"/>
            <w:shd w:val="clear" w:color="auto" w:fill="CCEEFF"/>
          </w:tcPr>
          <w:p>
            <w:pPr>
              <w:ind w:left="52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3. </w:t>
            </w:r>
            <w:hyperlink w:anchor="page24">
              <w:r>
                <w:rPr>
                  <w:rFonts w:ascii="Arial" w:cs="Arial" w:eastAsia="Arial" w:hAnsi="Arial"/>
                  <w:sz w:val="18"/>
                  <w:szCs w:val="18"/>
                  <w:color w:val="0000EE"/>
                </w:rPr>
                <w:t>Quantitative and Qualitative Disclosures About Market Risk</w:t>
              </w:r>
            </w:hyperlink>
          </w:p>
        </w:tc>
        <w:tc>
          <w:tcPr>
            <w:tcW w:w="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900" w:type="dxa"/>
            <w:vAlign w:val="bottom"/>
            <w:gridSpan w:val="17"/>
            <w:shd w:val="clear" w:color="auto" w:fill="CCEEFF"/>
          </w:tcPr>
          <w:p>
            <w:pPr>
              <w:ind w:left="52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4. </w:t>
            </w:r>
            <w:hyperlink w:anchor="page25">
              <w:r>
                <w:rPr>
                  <w:rFonts w:ascii="Arial" w:cs="Arial" w:eastAsia="Arial" w:hAnsi="Arial"/>
                  <w:sz w:val="18"/>
                  <w:szCs w:val="18"/>
                  <w:color w:val="0000EE"/>
                </w:rPr>
                <w:t>Controls and Procedures</w:t>
              </w:r>
            </w:hyperlink>
          </w:p>
        </w:tc>
        <w:tc>
          <w:tcPr>
            <w:tcW w:w="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00" w:type="dxa"/>
            <w:vAlign w:val="bottom"/>
            <w:gridSpan w:val="17"/>
            <w:shd w:val="clear" w:color="auto" w:fill="CCEEFF"/>
          </w:tcPr>
          <w:p>
            <w:pPr>
              <w:spacing w:after="0"/>
              <w:rPr>
                <w:sz w:val="20"/>
                <w:szCs w:val="20"/>
                <w:color w:val="auto"/>
              </w:rPr>
            </w:pPr>
            <w:r>
              <w:rPr>
                <w:rFonts w:ascii="Arial" w:cs="Arial" w:eastAsia="Arial" w:hAnsi="Arial"/>
                <w:sz w:val="18"/>
                <w:szCs w:val="18"/>
                <w:b w:val="1"/>
                <w:bCs w:val="1"/>
                <w:color w:val="auto"/>
              </w:rPr>
              <w:t>PART II. OTHER INFORMATION</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Item 1.</w:t>
            </w:r>
          </w:p>
        </w:tc>
        <w:tc>
          <w:tcPr>
            <w:tcW w:w="9760" w:type="dxa"/>
            <w:vAlign w:val="bottom"/>
            <w:gridSpan w:val="16"/>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Item</w:t>
            </w:r>
          </w:p>
        </w:tc>
        <w:tc>
          <w:tcPr>
            <w:tcW w:w="9760" w:type="dxa"/>
            <w:vAlign w:val="bottom"/>
            <w:gridSpan w:val="16"/>
            <w:vMerge w:val="restart"/>
            <w:shd w:val="clear" w:color="auto" w:fill="CCEEFF"/>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14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1A.</w:t>
            </w:r>
          </w:p>
        </w:tc>
        <w:tc>
          <w:tcPr>
            <w:tcW w:w="9760" w:type="dxa"/>
            <w:vAlign w:val="bottom"/>
            <w:gridSpan w:val="16"/>
            <w:vMerge w:val="continue"/>
            <w:shd w:val="clear" w:color="auto" w:fill="CCEEFF"/>
          </w:tcPr>
          <w:p>
            <w:pPr>
              <w:spacing w:after="0"/>
              <w:rPr>
                <w:sz w:val="7"/>
                <w:szCs w:val="7"/>
                <w:color w:val="auto"/>
              </w:rPr>
            </w:pPr>
          </w:p>
        </w:tc>
        <w:tc>
          <w:tcPr>
            <w:tcW w:w="500" w:type="dxa"/>
            <w:vAlign w:val="bottom"/>
            <w:gridSpan w:val="2"/>
            <w:vMerge w:val="continue"/>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top w:val="single" w:sz="8" w:color="CCEEFF"/>
            </w:tcBorders>
            <w:vMerge w:val="continue"/>
            <w:shd w:val="clear" w:color="auto" w:fill="CCEEFF"/>
          </w:tcPr>
          <w:p>
            <w:pPr>
              <w:spacing w:after="0"/>
              <w:rPr>
                <w:sz w:val="11"/>
                <w:szCs w:val="11"/>
                <w:color w:val="auto"/>
              </w:rPr>
            </w:pPr>
          </w:p>
        </w:tc>
        <w:tc>
          <w:tcPr>
            <w:tcW w:w="20" w:type="dxa"/>
            <w:vAlign w:val="bottom"/>
            <w:tcBorders>
              <w:top w:val="single" w:sz="8" w:color="0000EE"/>
            </w:tcBorders>
            <w:shd w:val="clear" w:color="auto" w:fill="CCEEFF"/>
          </w:tcPr>
          <w:p>
            <w:pPr>
              <w:spacing w:after="0"/>
              <w:rPr>
                <w:sz w:val="11"/>
                <w:szCs w:val="11"/>
                <w:color w:val="auto"/>
              </w:rPr>
            </w:pPr>
          </w:p>
        </w:tc>
        <w:tc>
          <w:tcPr>
            <w:tcW w:w="580" w:type="dxa"/>
            <w:vAlign w:val="bottom"/>
            <w:tcBorders>
              <w:top w:val="single" w:sz="8" w:color="0000EE"/>
            </w:tcBorders>
            <w:shd w:val="clear" w:color="auto" w:fill="CCEEFF"/>
          </w:tcPr>
          <w:p>
            <w:pPr>
              <w:spacing w:after="0"/>
              <w:rPr>
                <w:sz w:val="11"/>
                <w:szCs w:val="11"/>
                <w:color w:val="auto"/>
              </w:rPr>
            </w:pPr>
          </w:p>
        </w:tc>
        <w:tc>
          <w:tcPr>
            <w:tcW w:w="300" w:type="dxa"/>
            <w:vAlign w:val="bottom"/>
            <w:tcBorders>
              <w:top w:val="single" w:sz="8" w:color="0000EE"/>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CCEEFF"/>
            </w:tcBorders>
            <w:shd w:val="clear" w:color="auto" w:fill="CCEEFF"/>
          </w:tcPr>
          <w:p>
            <w:pPr>
              <w:spacing w:after="0"/>
              <w:rPr>
                <w:sz w:val="11"/>
                <w:szCs w:val="11"/>
                <w:color w:val="auto"/>
              </w:rPr>
            </w:pPr>
          </w:p>
        </w:tc>
        <w:tc>
          <w:tcPr>
            <w:tcW w:w="17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900" w:type="dxa"/>
            <w:vAlign w:val="bottom"/>
            <w:gridSpan w:val="17"/>
            <w:shd w:val="clear" w:color="auto" w:fill="CCEEFF"/>
          </w:tcPr>
          <w:p>
            <w:pPr>
              <w:ind w:left="52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2. </w:t>
            </w:r>
            <w:hyperlink w:anchor="page26">
              <w:r>
                <w:rPr>
                  <w:rFonts w:ascii="Arial" w:cs="Arial" w:eastAsia="Arial" w:hAnsi="Arial"/>
                  <w:sz w:val="18"/>
                  <w:szCs w:val="18"/>
                  <w:color w:val="0000EE"/>
                </w:rPr>
                <w:t>Unregistered Sales of Equity Securities and Use of Proceeds</w:t>
              </w:r>
            </w:hyperlink>
          </w:p>
        </w:tc>
        <w:tc>
          <w:tcPr>
            <w:tcW w:w="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900" w:type="dxa"/>
            <w:vAlign w:val="bottom"/>
            <w:gridSpan w:val="17"/>
            <w:shd w:val="clear" w:color="auto" w:fill="CCEEFF"/>
          </w:tcPr>
          <w:p>
            <w:pPr>
              <w:ind w:left="52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3. </w:t>
            </w:r>
            <w:hyperlink w:anchor="page26">
              <w:r>
                <w:rPr>
                  <w:rFonts w:ascii="Arial" w:cs="Arial" w:eastAsia="Arial" w:hAnsi="Arial"/>
                  <w:sz w:val="18"/>
                  <w:szCs w:val="18"/>
                  <w:color w:val="0000EE"/>
                </w:rPr>
                <w:t>Defaults Upon Senior Securities</w:t>
              </w:r>
            </w:hyperlink>
          </w:p>
        </w:tc>
        <w:tc>
          <w:tcPr>
            <w:tcW w:w="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900" w:type="dxa"/>
            <w:vAlign w:val="bottom"/>
            <w:gridSpan w:val="17"/>
            <w:shd w:val="clear" w:color="auto" w:fill="CCEEFF"/>
          </w:tcPr>
          <w:p>
            <w:pPr>
              <w:ind w:left="52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4. </w:t>
            </w:r>
            <w:hyperlink w:anchor="page26">
              <w:r>
                <w:rPr>
                  <w:rFonts w:ascii="Arial" w:cs="Arial" w:eastAsia="Arial" w:hAnsi="Arial"/>
                  <w:sz w:val="18"/>
                  <w:szCs w:val="18"/>
                  <w:color w:val="0000EE"/>
                </w:rPr>
                <w:t>Mine Safety Disclosures</w:t>
              </w:r>
            </w:hyperlink>
          </w:p>
        </w:tc>
        <w:tc>
          <w:tcPr>
            <w:tcW w:w="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Item 5.</w:t>
            </w:r>
          </w:p>
        </w:tc>
        <w:tc>
          <w:tcPr>
            <w:tcW w:w="9760" w:type="dxa"/>
            <w:vAlign w:val="bottom"/>
            <w:gridSpan w:val="16"/>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ind w:left="520"/>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Exhibits</w:t>
              </w:r>
            </w:hyperlink>
          </w:p>
        </w:tc>
        <w:tc>
          <w:tcPr>
            <w:tcW w:w="9160" w:type="dxa"/>
            <w:vAlign w:val="bottom"/>
            <w:tcBorders>
              <w:bottom w:val="single" w:sz="8" w:color="CCEEFF"/>
            </w:tcBorders>
            <w:gridSpan w:val="14"/>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90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SIGNATURES</w:t>
              </w:r>
            </w:hyperlink>
          </w:p>
        </w:tc>
        <w:tc>
          <w:tcPr>
            <w:tcW w:w="5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50"/>
        </w:trPr>
        <w:tc>
          <w:tcPr>
            <w:tcW w:w="20" w:type="dxa"/>
            <w:vAlign w:val="bottom"/>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17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840" w:type="dxa"/>
            <w:vAlign w:val="bottom"/>
            <w:tcBorders>
              <w:top w:val="single" w:sz="8" w:color="CCEEFF"/>
            </w:tcBorders>
          </w:tcPr>
          <w:p>
            <w:pPr>
              <w:spacing w:after="0"/>
              <w:rPr>
                <w:sz w:val="24"/>
                <w:szCs w:val="24"/>
                <w:color w:val="auto"/>
              </w:rPr>
            </w:pPr>
          </w:p>
        </w:tc>
        <w:tc>
          <w:tcPr>
            <w:tcW w:w="17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84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10"/>
          </w:tcPr>
          <w:p>
            <w:pPr>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gridSpan w:val="10"/>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84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8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6"/>
              </w:rPr>
              <w:t>MARCH 31, 2015 AND DECEMBER 31, 2014</w:t>
            </w:r>
          </w:p>
        </w:tc>
        <w:tc>
          <w:tcPr>
            <w:tcW w:w="62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6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89"/>
              </w:rPr>
              <w:t>(In Thousands, Except Shares)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10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47,275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1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208,177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170,027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Note receivable affiliate</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160"/>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1,124,953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1,024,104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16,463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160"/>
              <w:spacing w:after="0"/>
              <w:rPr>
                <w:sz w:val="20"/>
                <w:szCs w:val="20"/>
                <w:color w:val="auto"/>
              </w:rPr>
            </w:pPr>
            <w:r>
              <w:rPr>
                <w:rFonts w:ascii="Arial" w:cs="Arial" w:eastAsia="Arial" w:hAnsi="Arial"/>
                <w:sz w:val="18"/>
                <w:szCs w:val="18"/>
                <w:color w:val="auto"/>
              </w:rPr>
              <w:t>Asset held for sale</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5,053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18,569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gridSpan w:val="9"/>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1,426,630</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1,445,514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976,303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923,080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Goodwill, net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274,304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54,581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0"/>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2,738,723</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2,694,262</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0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liabilities:</w:t>
            </w:r>
          </w:p>
        </w:tc>
        <w:tc>
          <w:tcPr>
            <w:tcW w:w="5400" w:type="dxa"/>
            <w:vAlign w:val="bottom"/>
            <w:tcBorders>
              <w:top w:val="single" w:sz="8" w:color="CCEEFF"/>
            </w:tcBorders>
            <w:gridSpan w:val="7"/>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Floor plan notes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912,600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16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138,364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149,065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10,823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160"/>
              <w:spacing w:after="0"/>
              <w:rPr>
                <w:sz w:val="20"/>
                <w:szCs w:val="20"/>
                <w:color w:val="auto"/>
              </w:rPr>
            </w:pPr>
            <w:r>
              <w:rPr>
                <w:rFonts w:ascii="Arial" w:cs="Arial" w:eastAsia="Arial" w:hAnsi="Arial"/>
                <w:sz w:val="18"/>
                <w:szCs w:val="18"/>
                <w:color w:val="auto"/>
              </w:rPr>
              <w:t>Liabilities directly associated with asset held for sale</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5,920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Trade accounts payable</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121,526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160"/>
              <w:spacing w:after="0"/>
              <w:rPr>
                <w:sz w:val="20"/>
                <w:szCs w:val="20"/>
                <w:color w:val="auto"/>
              </w:rPr>
            </w:pPr>
            <w:r>
              <w:rPr>
                <w:rFonts w:ascii="Arial" w:cs="Arial" w:eastAsia="Arial" w:hAnsi="Arial"/>
                <w:sz w:val="18"/>
                <w:szCs w:val="18"/>
                <w:color w:val="auto"/>
              </w:rPr>
              <w:t>Customer deposits</w:t>
            </w:r>
          </w:p>
        </w:tc>
        <w:tc>
          <w:tcPr>
            <w:tcW w:w="20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38,548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44,879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65,099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gridSpan w:val="9"/>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1,292,880</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1,274,610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tcPr>
          <w:p>
            <w:pPr>
              <w:spacing w:after="0"/>
              <w:rPr>
                <w:sz w:val="20"/>
                <w:szCs w:val="20"/>
                <w:color w:val="auto"/>
              </w:rPr>
            </w:pPr>
            <w:r>
              <w:rPr>
                <w:rFonts w:ascii="Arial" w:cs="Arial" w:eastAsia="Arial" w:hAnsi="Arial"/>
                <w:sz w:val="18"/>
                <w:szCs w:val="18"/>
                <w:color w:val="auto"/>
              </w:rPr>
              <w:t>Long-term debt, net of current maturities</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434,267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429,189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Capital lease obligations, net of current maturities</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48,554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4,192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174,234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9"/>
          </w:tcPr>
          <w:p>
            <w:pPr>
              <w:ind w:left="160"/>
              <w:spacing w:after="0" w:line="201" w:lineRule="exact"/>
              <w:rPr>
                <w:sz w:val="20"/>
                <w:szCs w:val="20"/>
                <w:color w:val="auto"/>
              </w:rPr>
            </w:pPr>
            <w:r>
              <w:rPr>
                <w:rFonts w:ascii="Arial" w:cs="Arial" w:eastAsia="Arial" w:hAnsi="Arial"/>
                <w:sz w:val="18"/>
                <w:szCs w:val="18"/>
                <w:color w:val="auto"/>
                <w:w w:val="94"/>
              </w:rPr>
              <w:t>Preferred stock, par value $.01 per share; 1,000,000 shares authorized; 0 shares outstanding in 2015 and</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gridSpan w:val="3"/>
          </w:tcPr>
          <w:p>
            <w:pPr>
              <w:ind w:left="340"/>
              <w:spacing w:after="0"/>
              <w:rPr>
                <w:sz w:val="20"/>
                <w:szCs w:val="20"/>
                <w:color w:val="auto"/>
              </w:rPr>
            </w:pPr>
            <w:r>
              <w:rPr>
                <w:rFonts w:ascii="Arial" w:cs="Arial" w:eastAsia="Arial" w:hAnsi="Arial"/>
                <w:sz w:val="18"/>
                <w:szCs w:val="18"/>
                <w:color w:val="auto"/>
              </w:rPr>
              <w:t>2014</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9"/>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Common stock, par value $.01 per share; 60,000,000 class A shares and 20,000,000 class B shares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320"/>
              <w:spacing w:after="0"/>
              <w:rPr>
                <w:sz w:val="20"/>
                <w:szCs w:val="20"/>
                <w:color w:val="auto"/>
              </w:rPr>
            </w:pPr>
            <w:r>
              <w:rPr>
                <w:rFonts w:ascii="Arial" w:cs="Arial" w:eastAsia="Arial" w:hAnsi="Arial"/>
                <w:sz w:val="18"/>
                <w:szCs w:val="18"/>
                <w:color w:val="auto"/>
                <w:w w:val="90"/>
              </w:rPr>
              <w:t>authorized; 30,157,533 class A shares and 10,092,981 class B shares outstanding in 2015; and 29,889,332</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gridSpan w:val="9"/>
            <w:shd w:val="clear" w:color="auto" w:fill="CCEEFF"/>
          </w:tcPr>
          <w:p>
            <w:pPr>
              <w:ind w:left="320"/>
              <w:spacing w:after="0"/>
              <w:rPr>
                <w:sz w:val="20"/>
                <w:szCs w:val="20"/>
                <w:color w:val="auto"/>
              </w:rPr>
            </w:pPr>
            <w:r>
              <w:rPr>
                <w:rFonts w:ascii="Arial" w:cs="Arial" w:eastAsia="Arial" w:hAnsi="Arial"/>
                <w:sz w:val="18"/>
                <w:szCs w:val="18"/>
                <w:color w:val="auto"/>
              </w:rPr>
              <w:t>class A shares and 9,999,122 class B shares outstanding in 2014</w:t>
            </w: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277,349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272,486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Treasury stock, at cost: 2,616,657 class B shares in 2015; and 2,560,580 class B shares in 2014</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(43,368)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1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550,574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533,793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 net of tax</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gridSpan w:val="9"/>
          </w:tcPr>
          <w:p>
            <w:pPr>
              <w:ind w:left="3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784,596</w:t>
            </w: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764,339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0"/>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2,738,723</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2,694,262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u w:val="single" w:color="auto"/>
          <w:color w:val="auto"/>
        </w:rPr>
        <w:t xml:space="preserve">RUSH ENTERPRISES, INC. AND SUBSIDIARIES CONSOLIDATED STATEMENTS OF INCOME AND COMPREHENSIVE INCOME </w:t>
      </w:r>
      <w:r>
        <w:rPr>
          <w:rFonts w:ascii="Arial" w:cs="Arial" w:eastAsia="Arial" w:hAnsi="Arial"/>
          <w:sz w:val="18"/>
          <w:szCs w:val="18"/>
          <w:b w:val="1"/>
          <w:bCs w:val="1"/>
          <w:color w:val="auto"/>
        </w:rPr>
        <w:t>(In Thousands, Except Per Share Amounts) (Unaudited)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4"/>
          </w:tcPr>
          <w:p>
            <w:pPr>
              <w:jc w:val="right"/>
              <w:ind w:right="65"/>
              <w:spacing w:after="0"/>
              <w:rPr>
                <w:sz w:val="20"/>
                <w:szCs w:val="20"/>
                <w:color w:val="auto"/>
              </w:rPr>
            </w:pPr>
            <w:r>
              <w:rPr>
                <w:rFonts w:ascii="Arial" w:cs="Arial" w:eastAsia="Arial" w:hAnsi="Arial"/>
                <w:sz w:val="18"/>
                <w:szCs w:val="18"/>
                <w:b w:val="1"/>
                <w:bCs w:val="1"/>
                <w:color w:val="auto"/>
              </w:rPr>
              <w:t>March 31,</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New and used commercial vehicle sales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800,194</w:t>
            </w:r>
          </w:p>
        </w:tc>
        <w:tc>
          <w:tcPr>
            <w:tcW w:w="140" w:type="dxa"/>
            <w:vAlign w:val="bottom"/>
          </w:tcPr>
          <w:p>
            <w:pPr>
              <w:spacing w:after="0"/>
              <w:rPr>
                <w:sz w:val="18"/>
                <w:szCs w:val="18"/>
                <w:color w:val="auto"/>
              </w:rPr>
            </w:pP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600,900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 sales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Lease and rental</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47,792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and insurance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1,193,535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Cost of products sold</w:t>
            </w: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and used commercial vehicle sales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744,260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Parts and service sales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214,697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198,703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Total cost of products sold</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999,913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792,742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152,627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134,445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Gain (loss) on sale of assets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7,601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spacing w:after="0" w:line="196" w:lineRule="exact"/>
              <w:rPr>
                <w:sz w:val="20"/>
                <w:szCs w:val="20"/>
                <w:color w:val="auto"/>
              </w:rPr>
            </w:pPr>
            <w:r>
              <w:rPr>
                <w:rFonts w:ascii="Arial" w:cs="Arial" w:eastAsia="Arial" w:hAnsi="Arial"/>
                <w:sz w:val="18"/>
                <w:szCs w:val="18"/>
                <w:b w:val="1"/>
                <w:bCs w:val="1"/>
                <w:color w:val="auto"/>
              </w:rPr>
              <w:t>Earnings per common share:</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Earnings per common share - 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0.41</w:t>
            </w:r>
          </w:p>
        </w:tc>
        <w:tc>
          <w:tcPr>
            <w:tcW w:w="140" w:type="dxa"/>
            <w:vAlign w:val="bottom"/>
          </w:tcPr>
          <w:p>
            <w:pPr>
              <w:spacing w:after="0"/>
              <w:rPr>
                <w:sz w:val="18"/>
                <w:szCs w:val="18"/>
                <w:color w:val="auto"/>
              </w:rPr>
            </w:pP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40,985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16,853</w:t>
            </w:r>
          </w:p>
        </w:tc>
        <w:tc>
          <w:tcPr>
            <w:tcW w:w="140" w:type="dxa"/>
            <w:vAlign w:val="bottom"/>
          </w:tcPr>
          <w:p>
            <w:pPr>
              <w:spacing w:after="0"/>
              <w:rPr>
                <w:sz w:val="18"/>
                <w:szCs w:val="18"/>
                <w:color w:val="auto"/>
              </w:rPr>
            </w:pP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16,781</w:t>
            </w:r>
          </w:p>
        </w:tc>
        <w:tc>
          <w:tcPr>
            <w:tcW w:w="5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33,959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(gain) on sale of property and equipment</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w w:val="93"/>
              </w:rPr>
              <w:t>Stock-based compensation expense related to employee stock options and employee stock purchases</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income tax (benefit)</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Excess tax expense (benefit) from stock-based compensation</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accounts receivable, net</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(34,816)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inventories, net</w:t>
            </w:r>
          </w:p>
        </w:tc>
        <w:tc>
          <w:tcPr>
            <w:tcW w:w="3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(84,894)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prepaid expenses and other, net</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trade accounts payable</w:t>
            </w:r>
          </w:p>
        </w:tc>
        <w:tc>
          <w:tcPr>
            <w:tcW w:w="3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(3,029)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(Payments) draws on floor plan notes payable – trade, net</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customer deposits</w:t>
            </w:r>
          </w:p>
        </w:tc>
        <w:tc>
          <w:tcPr>
            <w:tcW w:w="3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(6,331)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accrued expenses</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(28,280)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7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(96,573)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(7,089)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(82,455)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acquisitions</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(27,849)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Change in other assets</w:t>
            </w:r>
          </w:p>
        </w:tc>
        <w:tc>
          <w:tcPr>
            <w:tcW w:w="3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(1,743)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(109,926)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Draws on floor plan notes payable – non-trade, net</w:t>
            </w:r>
          </w:p>
        </w:tc>
        <w:tc>
          <w:tcPr>
            <w:tcW w:w="3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71,680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long-term debt</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39,222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Principal payments on long-term debt</w:t>
            </w:r>
          </w:p>
        </w:tc>
        <w:tc>
          <w:tcPr>
            <w:tcW w:w="3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(45,085)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Issuance of shares relating to employee stock options and employee stock purchases</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(expense) from stock-based compensation</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Common stock repurchased</w:t>
            </w:r>
          </w:p>
        </w:tc>
        <w:tc>
          <w:tcPr>
            <w:tcW w:w="3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(1,464)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62,311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78,379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(144,188)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191,463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217,305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94,369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period for:</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Interest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8,381</w:t>
            </w:r>
          </w:p>
        </w:tc>
        <w:tc>
          <w:tcPr>
            <w:tcW w:w="140" w:type="dxa"/>
            <w:vAlign w:val="bottom"/>
          </w:tcPr>
          <w:p>
            <w:pPr>
              <w:spacing w:after="0"/>
              <w:rPr>
                <w:sz w:val="18"/>
                <w:szCs w:val="18"/>
                <w:color w:val="auto"/>
              </w:rPr>
            </w:pPr>
          </w:p>
        </w:tc>
        <w:tc>
          <w:tcPr>
            <w:tcW w:w="5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Income taxes, net of refunds</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ind w:left="160"/>
              <w:spacing w:after="0" w:line="196" w:lineRule="exact"/>
              <w:rPr>
                <w:sz w:val="20"/>
                <w:szCs w:val="20"/>
                <w:color w:val="auto"/>
              </w:rPr>
            </w:pPr>
            <w:r>
              <w:rPr>
                <w:rFonts w:ascii="Arial" w:cs="Arial" w:eastAsia="Arial" w:hAnsi="Arial"/>
                <w:sz w:val="18"/>
                <w:szCs w:val="18"/>
                <w:color w:val="auto"/>
              </w:rPr>
              <w:t>Noncash investing and financing activities:</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 issued related to business acquisition</w:t>
            </w:r>
          </w:p>
        </w:tc>
        <w:tc>
          <w:tcPr>
            <w:tcW w:w="3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ind w:left="320"/>
              <w:spacing w:after="0" w:line="196" w:lineRule="exact"/>
              <w:rPr>
                <w:sz w:val="20"/>
                <w:szCs w:val="20"/>
                <w:color w:val="auto"/>
              </w:rPr>
            </w:pPr>
            <w:r>
              <w:rPr>
                <w:rFonts w:ascii="Arial" w:cs="Arial" w:eastAsia="Arial" w:hAnsi="Arial"/>
                <w:sz w:val="18"/>
                <w:szCs w:val="18"/>
                <w:color w:val="auto"/>
              </w:rPr>
              <w:t>Assets acquired under capital leases</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5,338</w:t>
            </w:r>
          </w:p>
        </w:tc>
        <w:tc>
          <w:tcPr>
            <w:tcW w:w="140" w:type="dxa"/>
            <w:vAlign w:val="bottom"/>
          </w:tcPr>
          <w:p>
            <w:pPr>
              <w:spacing w:after="0"/>
              <w:rPr>
                <w:sz w:val="17"/>
                <w:szCs w:val="17"/>
                <w:color w:val="auto"/>
              </w:rPr>
            </w:pPr>
          </w:p>
        </w:tc>
        <w:tc>
          <w:tcPr>
            <w:tcW w:w="540" w:type="dxa"/>
            <w:vAlign w:val="bottom"/>
            <w:gridSpan w:val="2"/>
          </w:tcPr>
          <w:p>
            <w:pPr>
              <w:jc w:val="right"/>
              <w:ind w:right="305"/>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our management, are necessary for a fair presentation of our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our Annual Report on Form 10-K for the year ended December 31, 2014. Results of operations for interim periods are not necessarily indicative of results that may be expected for any other interim periods or the full fiscal year.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Other Assets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capitalized costs, including capitalized interest, of the SAP enterprise software and SAP dealership management system are recorded in Other Assets on the Consolidated Balance Sheets in the amount of $38.1 million at March 31, 2015 and $38.5 million at December 31, 2014. These capitalized costs are net of accumulated amortization of $11.1 million at March 31, 2015 and $10.3 million at December 31, 2014. The SAP software is being amortized over a period of 15 years. The Company completed the conversion of the remaining of its existing Rush Truck Centers and leasing operations to the SAP enterprise software and SAP dealership management system during the first quarter of 2015.</w:t>
      </w:r>
    </w:p>
    <w:p>
      <w:pPr>
        <w:spacing w:after="0" w:line="17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Amortization expense relating to the SAP software, which is recognized in depreciation and amortization expense in the Consolidated Statement of Income, was $0.8 million for the three months ended March 31, 2015, and $0.8 million for the three months ended March 31, 2014. The Company estimates that amortization expense relating to the SAP software will be approximately $3.3 million for each of the next five succeeding years.</w:t>
      </w:r>
    </w:p>
    <w:p>
      <w:pPr>
        <w:spacing w:after="0" w:line="1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only significant identifiable intangible assets, other than goodwill, are rights under franchise agreements with manufacturers. The fair value of franchise rights is determined at the acquisition date by discounting the projected cash flows specific to each acquisition. The carrying value of our manufacturer franchise rights was $7.0 million at March 31, 2015 and December 31, 2014, and is included in Other Assets on the accompanying consolidated balance sheets.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fact that manufacturer franchise rights are specific to geographic region, the Company has determined that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impairment write down was required in the fourth quarter of 2014. The Company cannot predict the occurrence of certain events that might adversely affect the reported value of manufacturer franchise rights in the future. However, no facts or circumstances were noted during the three months ended March 31, 2015 that would indicate impairment.</w:t>
      </w:r>
    </w:p>
    <w:p>
      <w:pPr>
        <w:spacing w:after="0" w:line="200" w:lineRule="exact"/>
        <w:rPr>
          <w:sz w:val="20"/>
          <w:szCs w:val="20"/>
          <w:color w:val="auto"/>
        </w:rPr>
      </w:pPr>
    </w:p>
    <w:p>
      <w:pPr>
        <w:spacing w:after="0" w:line="22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29"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amounts):</w:t>
      </w:r>
    </w:p>
    <w:p>
      <w:pPr>
        <w:spacing w:after="0" w:line="2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Three Months Ended</w:t>
      </w:r>
    </w:p>
    <w:p>
      <w:pPr>
        <w:spacing w:after="0" w:line="9"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65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5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60"/>
              <w:spacing w:after="0"/>
              <w:rPr>
                <w:sz w:val="20"/>
                <w:szCs w:val="20"/>
                <w:color w:val="auto"/>
              </w:rPr>
            </w:pPr>
            <w:r>
              <w:rPr>
                <w:rFonts w:ascii="Arial" w:cs="Arial" w:eastAsia="Arial" w:hAnsi="Arial"/>
                <w:sz w:val="18"/>
                <w:szCs w:val="18"/>
                <w:color w:val="auto"/>
              </w:rPr>
              <w:t>Numerator for basic and diluted earnings per share –</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available to common shareholders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16,781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12,014</w:t>
            </w:r>
          </w:p>
        </w:tc>
        <w:tc>
          <w:tcPr>
            <w:tcW w:w="0" w:type="dxa"/>
            <w:vAlign w:val="bottom"/>
          </w:tcPr>
          <w:p>
            <w:pPr>
              <w:spacing w:after="0"/>
              <w:rPr>
                <w:sz w:val="1"/>
                <w:szCs w:val="1"/>
                <w:color w:val="auto"/>
              </w:rPr>
            </w:pPr>
          </w:p>
        </w:tc>
      </w:tr>
      <w:tr>
        <w:trPr>
          <w:trHeight w:val="210"/>
        </w:trPr>
        <w:tc>
          <w:tcPr>
            <w:tcW w:w="65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60"/>
              <w:spacing w:after="0"/>
              <w:rPr>
                <w:sz w:val="20"/>
                <w:szCs w:val="20"/>
                <w:color w:val="auto"/>
              </w:rPr>
            </w:pPr>
            <w:r>
              <w:rPr>
                <w:rFonts w:ascii="Arial" w:cs="Arial" w:eastAsia="Arial" w:hAnsi="Arial"/>
                <w:sz w:val="18"/>
                <w:szCs w:val="18"/>
                <w:color w:val="auto"/>
                <w:w w:val="97"/>
              </w:rPr>
              <w:t>Denominator for basic earnings per share – weighted average shares outstanding</w:t>
            </w:r>
          </w:p>
        </w:tc>
        <w:tc>
          <w:tcPr>
            <w:tcW w:w="9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40,066</w:t>
            </w: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39,332</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dilutive securities–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320"/>
              <w:spacing w:after="0"/>
              <w:rPr>
                <w:sz w:val="20"/>
                <w:szCs w:val="20"/>
                <w:color w:val="auto"/>
              </w:rPr>
            </w:pPr>
            <w:r>
              <w:rPr>
                <w:rFonts w:ascii="Arial" w:cs="Arial" w:eastAsia="Arial" w:hAnsi="Arial"/>
                <w:sz w:val="18"/>
                <w:szCs w:val="18"/>
                <w:color w:val="auto"/>
              </w:rPr>
              <w:t>Employee and director stock options and restricted share awards</w:t>
            </w:r>
          </w:p>
        </w:tc>
        <w:tc>
          <w:tcPr>
            <w:tcW w:w="9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919</w:t>
            </w: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50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color w:val="auto"/>
                <w:w w:val="99"/>
              </w:rPr>
              <w:t>Denominator for diluted earnings per share – adjusted weighted average shares</w:t>
            </w:r>
          </w:p>
        </w:tc>
        <w:tc>
          <w:tcPr>
            <w:tcW w:w="94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4"/>
              </w:rPr>
              <w:t>40,985</w:t>
            </w:r>
          </w:p>
        </w:tc>
        <w:tc>
          <w:tcPr>
            <w:tcW w:w="320" w:type="dxa"/>
            <w:vAlign w:val="bottom"/>
            <w:shd w:val="clear" w:color="auto" w:fill="CCEEFF"/>
          </w:tcPr>
          <w:p>
            <w:pPr>
              <w:spacing w:after="0"/>
              <w:rPr>
                <w:sz w:val="16"/>
                <w:szCs w:val="16"/>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40,511</w:t>
            </w: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outstanding and assumed conversions</w:t>
            </w:r>
          </w:p>
        </w:tc>
        <w:tc>
          <w:tcPr>
            <w:tcW w:w="94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5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7"/>
        </w:trPr>
        <w:tc>
          <w:tcPr>
            <w:tcW w:w="65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 and common share equivalents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Options to purchase shares of common stock that were outstanding for the three months ended March 31, 2015 and 2014 that were not included in the computation of diluted earnings per share because the effect would have been anti-dilutive are as follows (in thousands):</w:t>
      </w:r>
    </w:p>
    <w:tbl>
      <w:tblPr>
        <w:tblLayout w:type="fixed"/>
        <w:tblInd w:w="86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4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March 31, 2015</w:t>
            </w:r>
          </w:p>
        </w:tc>
        <w:tc>
          <w:tcPr>
            <w:tcW w:w="200" w:type="dxa"/>
            <w:vAlign w:val="bottom"/>
          </w:tcPr>
          <w:p>
            <w:pPr>
              <w:spacing w:after="0"/>
              <w:rPr>
                <w:sz w:val="18"/>
                <w:szCs w:val="18"/>
                <w:color w:val="auto"/>
              </w:rPr>
            </w:pPr>
          </w:p>
        </w:tc>
        <w:tc>
          <w:tcPr>
            <w:tcW w:w="1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March 31, 2014</w:t>
            </w:r>
          </w:p>
        </w:tc>
        <w:tc>
          <w:tcPr>
            <w:tcW w:w="100" w:type="dxa"/>
            <w:vAlign w:val="bottom"/>
          </w:tcPr>
          <w:p>
            <w:pPr>
              <w:spacing w:after="0"/>
              <w:rPr>
                <w:sz w:val="18"/>
                <w:szCs w:val="18"/>
                <w:color w:val="auto"/>
              </w:rPr>
            </w:pPr>
          </w:p>
        </w:tc>
      </w:tr>
      <w:tr>
        <w:trPr>
          <w:trHeight w:val="210"/>
        </w:trPr>
        <w:tc>
          <w:tcPr>
            <w:tcW w:w="650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1540" w:type="dxa"/>
            <w:vAlign w:val="bottom"/>
            <w:gridSpan w:val="2"/>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anti-dilutive options</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857</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r>
      <w:tr>
        <w:trPr>
          <w:trHeight w:val="20"/>
        </w:trPr>
        <w:tc>
          <w:tcPr>
            <w:tcW w:w="65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accounts for stock-based compensation in accordance with Accounting Standards Codification (“ASC”) 718-10, “Compensation</w:t>
      </w:r>
    </w:p>
    <w:p>
      <w:pPr>
        <w:spacing w:after="0" w:line="46"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 Stock Compensation,” which requires the measurement and recognition of compensation expense for all share-based payment awards made to our employees and directors, including employee stock options, restricted share awards and employee stock purchases related to the Employee Stock Purchase Plan based on estimated fair values. Stock-based compensation expense, calculated using the Black-Scholes option-pricing model for employee stock options, and included in selling, general and administrative expense, was $3.7 million for the three months ended March 31, 2015, and $3.3 million for the three months ended March 31, 2014. As of March 31, 2015, there was $24.1 million of total unrecognized compensation cost related to non-vested share-based compensation arrangements to be recognized over a weighted-average period of 3.0 years.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Financial Instruments and Fair Value</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measures certain financial assets and liabilities at fair value on a recurring basis. Financial instruments consist primarily of cash, accounts receivable, accounts payable and floor plan notes payable. The carrying values of our financial instruments approximate fair value due either to their short-term nature or existence of variable interest rates, which approximate market rates. Certain methods and assumptions were used by the Company in estimating the fair value of financial instruments at March 31, 2015, and December 31, 2014. The carrying value of current assets and current liabilities approximates the fair value due to the short maturity of these items.</w:t>
      </w:r>
    </w:p>
    <w:p>
      <w:pPr>
        <w:spacing w:after="0" w:line="200" w:lineRule="exact"/>
        <w:rPr>
          <w:sz w:val="20"/>
          <w:szCs w:val="20"/>
          <w:color w:val="auto"/>
        </w:rPr>
      </w:pPr>
    </w:p>
    <w:p>
      <w:pPr>
        <w:spacing w:after="0" w:line="2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420" w:firstLine="648"/>
        <w:spacing w:after="0" w:line="257" w:lineRule="auto"/>
        <w:rPr>
          <w:sz w:val="20"/>
          <w:szCs w:val="20"/>
          <w:color w:val="auto"/>
        </w:rPr>
      </w:pPr>
      <w:r>
        <w:rPr>
          <w:rFonts w:ascii="Arial" w:cs="Arial" w:eastAsia="Arial" w:hAnsi="Arial"/>
          <w:sz w:val="18"/>
          <w:szCs w:val="18"/>
          <w:color w:val="auto"/>
        </w:rPr>
        <w:t>The fair value of our long-term debt is based on secondary market indicators. Because our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our current credit standing and has categorized such debt within Level 2 of the hierarchy framework. The carrying amount approximates fair value.</w:t>
      </w:r>
    </w:p>
    <w:p>
      <w:pPr>
        <w:spacing w:after="0" w:line="188"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Auction Rate Securities</w:t>
      </w:r>
    </w:p>
    <w:p>
      <w:pPr>
        <w:spacing w:after="0" w:line="225" w:lineRule="exact"/>
        <w:rPr>
          <w:sz w:val="20"/>
          <w:szCs w:val="20"/>
          <w:color w:val="auto"/>
        </w:rPr>
      </w:pPr>
    </w:p>
    <w:p>
      <w:pPr>
        <w:jc w:val="both"/>
        <w:ind w:right="440" w:firstLine="648"/>
        <w:spacing w:after="0" w:line="302" w:lineRule="auto"/>
        <w:rPr>
          <w:sz w:val="20"/>
          <w:szCs w:val="20"/>
          <w:color w:val="auto"/>
        </w:rPr>
      </w:pPr>
      <w:r>
        <w:rPr>
          <w:rFonts w:ascii="Arial" w:cs="Arial" w:eastAsia="Arial" w:hAnsi="Arial"/>
          <w:sz w:val="16"/>
          <w:szCs w:val="16"/>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54" w:lineRule="exact"/>
        <w:rPr>
          <w:sz w:val="20"/>
          <w:szCs w:val="20"/>
          <w:color w:val="auto"/>
        </w:rPr>
      </w:pPr>
    </w:p>
    <w:p>
      <w:pPr>
        <w:jc w:val="both"/>
        <w:ind w:right="440" w:firstLine="648"/>
        <w:spacing w:after="0" w:line="257" w:lineRule="auto"/>
        <w:rPr>
          <w:sz w:val="20"/>
          <w:szCs w:val="20"/>
          <w:color w:val="auto"/>
        </w:rPr>
      </w:pPr>
      <w:r>
        <w:rPr>
          <w:rFonts w:ascii="Arial" w:cs="Arial" w:eastAsia="Arial" w:hAnsi="Arial"/>
          <w:sz w:val="18"/>
          <w:szCs w:val="18"/>
          <w:color w:val="auto"/>
        </w:rPr>
        <w:t>Auctions for investment grade securities held by the Company have failed.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88"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As of March 31, 2015 and December 31, 2014, the Company held auction rate securities with underlying tax-exempt municipal bonds that mature in 2030 and have a fair value of $6.9 million and a cost basis of $7.4 million. These bonds have credit wrap insurance and a credit rating of A by a major credit rating agency.</w:t>
      </w:r>
    </w:p>
    <w:p>
      <w:pPr>
        <w:spacing w:after="0" w:line="181" w:lineRule="exact"/>
        <w:rPr>
          <w:sz w:val="20"/>
          <w:szCs w:val="20"/>
          <w:color w:val="auto"/>
        </w:rPr>
      </w:pPr>
    </w:p>
    <w:p>
      <w:pPr>
        <w:jc w:val="both"/>
        <w:ind w:right="420" w:firstLine="648"/>
        <w:spacing w:after="0" w:line="253" w:lineRule="auto"/>
        <w:rPr>
          <w:sz w:val="20"/>
          <w:szCs w:val="20"/>
          <w:color w:val="auto"/>
        </w:rPr>
      </w:pPr>
      <w:r>
        <w:rPr>
          <w:rFonts w:ascii="Arial" w:cs="Arial" w:eastAsia="Arial" w:hAnsi="Arial"/>
          <w:sz w:val="18"/>
          <w:szCs w:val="18"/>
          <w:color w:val="auto"/>
        </w:rPr>
        <w:t>The Company valued the auction rate securities at March 31, 2015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that the auction rate market will remain illiquid and auctions will continue to fail, causing the interest rate to be the maximum applicable rate. This assumption resulted in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pacing w:after="0" w:line="197"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The Company recorded a pre-tax impairment charge of $1.0 million on these auction rate securities in 2011 and a subsequent pre-tax increase in fair value of $427,000 during 2014. The Company believes that the impairment is temporary and has included the impairment in accumulated other comprehensive loss.</w:t>
      </w:r>
    </w:p>
    <w:p>
      <w:pPr>
        <w:spacing w:after="0" w:line="181" w:lineRule="exact"/>
        <w:rPr>
          <w:sz w:val="20"/>
          <w:szCs w:val="20"/>
          <w:color w:val="auto"/>
        </w:rPr>
      </w:pPr>
    </w:p>
    <w:p>
      <w:pPr>
        <w:jc w:val="both"/>
        <w:ind w:right="420" w:firstLine="648"/>
        <w:spacing w:after="0" w:line="277" w:lineRule="auto"/>
        <w:rPr>
          <w:sz w:val="20"/>
          <w:szCs w:val="20"/>
          <w:color w:val="auto"/>
        </w:rPr>
      </w:pPr>
      <w:r>
        <w:rPr>
          <w:rFonts w:ascii="Arial" w:cs="Arial" w:eastAsia="Arial" w:hAnsi="Arial"/>
          <w:sz w:val="18"/>
          <w:szCs w:val="18"/>
          <w:color w:val="auto"/>
        </w:rPr>
        <w:t>The table below presents disclosures about the auction rate securities measured at fair value on a recurring basis in our financial statements as follows (in thousands):</w:t>
      </w:r>
    </w:p>
    <w:p>
      <w:pPr>
        <w:sectPr>
          <w:pgSz w:w="11900" w:h="16838" w:orient="portrait"/>
          <w:cols w:equalWidth="0" w:num="1">
            <w:col w:w="11460"/>
          </w:cols>
          <w:pgMar w:left="240" w:top="118" w:right="199" w:bottom="1440" w:gutter="0" w:footer="0" w:header="0"/>
        </w:sectPr>
      </w:pPr>
    </w:p>
    <w:p>
      <w:pPr>
        <w:spacing w:after="0" w:line="166"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At March 31, 2015</w:t>
      </w:r>
    </w:p>
    <w:p>
      <w:pPr>
        <w:spacing w:after="0" w:line="27" w:lineRule="exact"/>
        <w:rPr>
          <w:sz w:val="20"/>
          <w:szCs w:val="20"/>
          <w:color w:val="auto"/>
        </w:rPr>
      </w:pPr>
    </w:p>
    <w:tbl>
      <w:tblPr>
        <w:tblLayout w:type="fixed"/>
        <w:tblInd w:w="3080" w:type="dxa"/>
        <w:tblCellMar>
          <w:top w:w="0" w:type="dxa"/>
          <w:left w:w="0" w:type="dxa"/>
          <w:bottom w:w="0" w:type="dxa"/>
          <w:right w:w="0" w:type="dxa"/>
        </w:tblCellMar>
      </w:tblPr>
      <w:tr>
        <w:trPr>
          <w:trHeight w:val="191"/>
        </w:trPr>
        <w:tc>
          <w:tcPr>
            <w:tcW w:w="130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Level 1</w:t>
            </w:r>
          </w:p>
        </w:tc>
        <w:tc>
          <w:tcPr>
            <w:tcW w:w="14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Level 2</w:t>
            </w:r>
          </w:p>
        </w:tc>
        <w:tc>
          <w:tcPr>
            <w:tcW w:w="1280" w:type="dxa"/>
            <w:vAlign w:val="bottom"/>
            <w:tcBorders>
              <w:top w:val="single" w:sz="8" w:color="auto"/>
            </w:tcBorders>
          </w:tcPr>
          <w:p>
            <w:pPr>
              <w:jc w:val="center"/>
              <w:ind w:left="30"/>
              <w:spacing w:after="0" w:line="191" w:lineRule="exact"/>
              <w:rPr>
                <w:sz w:val="20"/>
                <w:szCs w:val="20"/>
                <w:color w:val="auto"/>
              </w:rPr>
            </w:pPr>
            <w:r>
              <w:rPr>
                <w:rFonts w:ascii="Arial" w:cs="Arial" w:eastAsia="Arial" w:hAnsi="Arial"/>
                <w:sz w:val="18"/>
                <w:szCs w:val="18"/>
                <w:b w:val="1"/>
                <w:bCs w:val="1"/>
                <w:color w:val="auto"/>
                <w:w w:val="91"/>
              </w:rPr>
              <w:t>Level 3</w:t>
            </w:r>
          </w:p>
        </w:tc>
      </w:tr>
      <w:tr>
        <w:trPr>
          <w:trHeight w:val="234"/>
        </w:trPr>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28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Inputs</w:t>
            </w: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At December 31, 2014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30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Level 1</w:t>
            </w:r>
          </w:p>
        </w:tc>
        <w:tc>
          <w:tcPr>
            <w:tcW w:w="14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Level 2</w:t>
            </w:r>
          </w:p>
        </w:tc>
        <w:tc>
          <w:tcPr>
            <w:tcW w:w="1300" w:type="dxa"/>
            <w:vAlign w:val="bottom"/>
            <w:tcBorders>
              <w:top w:val="single" w:sz="8" w:color="auto"/>
            </w:tcBorders>
          </w:tcPr>
          <w:p>
            <w:pPr>
              <w:jc w:val="center"/>
              <w:ind w:left="30"/>
              <w:spacing w:after="0" w:line="191" w:lineRule="exact"/>
              <w:rPr>
                <w:sz w:val="20"/>
                <w:szCs w:val="20"/>
                <w:color w:val="auto"/>
              </w:rPr>
            </w:pPr>
            <w:r>
              <w:rPr>
                <w:rFonts w:ascii="Arial" w:cs="Arial" w:eastAsia="Arial" w:hAnsi="Arial"/>
                <w:sz w:val="18"/>
                <w:szCs w:val="18"/>
                <w:b w:val="1"/>
                <w:bCs w:val="1"/>
                <w:color w:val="auto"/>
                <w:w w:val="88"/>
              </w:rPr>
              <w:t>Level 3</w:t>
            </w:r>
          </w:p>
        </w:tc>
      </w:tr>
      <w:tr>
        <w:trPr>
          <w:trHeight w:val="234"/>
        </w:trPr>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Inputs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130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Inputs</w:t>
            </w:r>
          </w:p>
        </w:tc>
      </w:tr>
    </w:tbl>
    <w:p>
      <w:pPr>
        <w:spacing w:after="0" w:line="1" w:lineRule="exact"/>
        <w:rPr>
          <w:sz w:val="20"/>
          <w:szCs w:val="20"/>
          <w:color w:val="auto"/>
        </w:rPr>
      </w:pPr>
    </w:p>
    <w:p>
      <w:pPr>
        <w:sectPr>
          <w:pgSz w:w="11900" w:h="16838" w:orient="portrait"/>
          <w:cols w:equalWidth="0" w:num="2">
            <w:col w:w="7080" w:space="220"/>
            <w:col w:w="4160"/>
          </w:cols>
          <w:pgMar w:left="240" w:top="118" w:right="19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580" w:type="dxa"/>
            <w:vAlign w:val="bottom"/>
          </w:tcPr>
          <w:p>
            <w:pPr>
              <w:spacing w:after="0"/>
              <w:rPr>
                <w:sz w:val="16"/>
                <w:szCs w:val="16"/>
                <w:color w:val="auto"/>
              </w:rPr>
            </w:pPr>
          </w:p>
        </w:tc>
        <w:tc>
          <w:tcPr>
            <w:tcW w:w="25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Investment in auction rate</w:t>
            </w:r>
          </w:p>
        </w:tc>
        <w:tc>
          <w:tcPr>
            <w:tcW w:w="56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2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13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6,905</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13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6,905</w:t>
            </w:r>
          </w:p>
        </w:tc>
        <w:tc>
          <w:tcPr>
            <w:tcW w:w="60" w:type="dxa"/>
            <w:vAlign w:val="bottom"/>
          </w:tcPr>
          <w:p>
            <w:pPr>
              <w:spacing w:after="0"/>
              <w:rPr>
                <w:sz w:val="20"/>
                <w:szCs w:val="20"/>
                <w:color w:val="auto"/>
              </w:rPr>
            </w:pPr>
          </w:p>
        </w:tc>
      </w:tr>
      <w:tr>
        <w:trPr>
          <w:trHeight w:val="675"/>
        </w:trPr>
        <w:tc>
          <w:tcPr>
            <w:tcW w:w="5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8</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5"/>
        </w:trPr>
        <w:tc>
          <w:tcPr>
            <w:tcW w:w="5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580" w:type="dxa"/>
            <w:vAlign w:val="bottom"/>
            <w:shd w:val="clear" w:color="auto" w:fill="808080"/>
          </w:tcPr>
          <w:p>
            <w:pPr>
              <w:spacing w:after="0"/>
              <w:rPr>
                <w:sz w:val="5"/>
                <w:szCs w:val="5"/>
                <w:color w:val="auto"/>
              </w:rPr>
            </w:pPr>
          </w:p>
        </w:tc>
        <w:tc>
          <w:tcPr>
            <w:tcW w:w="25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type w:val="continuous"/>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Gross Unrealized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Loss In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Cost Basis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OCI</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2015</w:t>
            </w: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Investment in auction rate securities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7,425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520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6,905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December 31, 2014</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auction rate securities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225" w:lineRule="exact"/>
        <w:rPr>
          <w:sz w:val="20"/>
          <w:szCs w:val="20"/>
          <w:color w:val="auto"/>
        </w:rPr>
      </w:pPr>
    </w:p>
    <w:p>
      <w:pPr>
        <w:jc w:val="both"/>
        <w:ind w:right="420" w:firstLine="648"/>
        <w:spacing w:after="0" w:line="255" w:lineRule="auto"/>
        <w:rPr>
          <w:sz w:val="20"/>
          <w:szCs w:val="20"/>
          <w:color w:val="auto"/>
        </w:rPr>
      </w:pPr>
      <w:r>
        <w:rPr>
          <w:rFonts w:ascii="Arial" w:cs="Arial" w:eastAsia="Arial" w:hAnsi="Arial"/>
          <w:sz w:val="18"/>
          <w:szCs w:val="18"/>
          <w:color w:val="auto"/>
        </w:rPr>
        <w:t>The Company has entered into swap agreements to hedge against the potential impact of increases in interest rates on its floating-rate debt instruments. Swap agreements that hedge exposures to changes in interest rates expose us to credit risk and market risk. Credit risk is the potential failure of the counterparty to perform under the terms of the swap agreement. The Company attempts to minimize this risk by entering into transactions with high-quality counterparties. Market risk is the potential adverse effect on the value of the swap agreement that results from a decline in interest rates. The market risk associated with interest-rate contracts is managed by establishing and monitoring parameters that limit the types and degree of market risk that may be undertaken.</w:t>
      </w:r>
    </w:p>
    <w:p>
      <w:pPr>
        <w:spacing w:after="0" w:line="193" w:lineRule="exact"/>
        <w:rPr>
          <w:sz w:val="20"/>
          <w:szCs w:val="20"/>
          <w:color w:val="auto"/>
        </w:rPr>
      </w:pPr>
    </w:p>
    <w:p>
      <w:pPr>
        <w:jc w:val="both"/>
        <w:ind w:right="420" w:firstLine="648"/>
        <w:spacing w:after="0" w:line="293" w:lineRule="auto"/>
        <w:rPr>
          <w:sz w:val="20"/>
          <w:szCs w:val="20"/>
          <w:color w:val="auto"/>
        </w:rPr>
      </w:pPr>
      <w:r>
        <w:rPr>
          <w:rFonts w:ascii="Arial" w:cs="Arial" w:eastAsia="Arial" w:hAnsi="Arial"/>
          <w:sz w:val="16"/>
          <w:szCs w:val="16"/>
          <w:color w:val="auto"/>
        </w:rPr>
        <w:t>At March 31, 2015, the Company had an aggregate $20.4 million notional amount of interest rate swap contracts, which have been designated as cash flow hedges, to pay fixed rates of interest and receive a floating interest rate based on LIBOR. The fixed interest rates specified in the interest rate swap contracts became effective on or about January 1, 2012. Our interest rate swaps qualify for cash flow hedge accounting treatment. Unrealized gains or losses are recorded in Accumulated Other Comprehensive Income (Loss) on the Consolidated Balance Sheets. Realized gains and losses will be recognized in interest expense, if they occur. Amounts to be received or paid under the contracts will be recognized as interest expense over the life of the contracts. These swaps were effective during the three months ended March 31, 2015 and 2014.</w:t>
      </w:r>
    </w:p>
    <w:p>
      <w:pPr>
        <w:spacing w:after="0" w:line="165" w:lineRule="exact"/>
        <w:rPr>
          <w:sz w:val="20"/>
          <w:szCs w:val="20"/>
          <w:color w:val="auto"/>
        </w:rPr>
      </w:pPr>
    </w:p>
    <w:p>
      <w:pPr>
        <w:jc w:val="both"/>
        <w:ind w:right="420" w:firstLine="648"/>
        <w:spacing w:after="0" w:line="259" w:lineRule="auto"/>
        <w:rPr>
          <w:sz w:val="20"/>
          <w:szCs w:val="20"/>
          <w:color w:val="auto"/>
        </w:rPr>
      </w:pPr>
      <w:r>
        <w:rPr>
          <w:rFonts w:ascii="Arial" w:cs="Arial" w:eastAsia="Arial" w:hAnsi="Arial"/>
          <w:sz w:val="18"/>
          <w:szCs w:val="18"/>
          <w:color w:val="auto"/>
        </w:rPr>
        <w:t>The fair value of cash flow hedges is calculated as the present value of expected future cash flows, determined on the basis of forward interest rates and present value factors. As such, the carrying amounts for these swaps are designated to be Level 2 fair values and totaled $117,000 as of March 31, 2015. The carrying value of these swaps is included in Other Long-Term Liabilities on the accompanying Consolidated Balance Sheets as of March 31, 2015.</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of March 31, 2015 the Company was a party to certain derivative financial instruments, as described in the following table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7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Agreement</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Notional Amount</w:t>
            </w:r>
          </w:p>
        </w:tc>
        <w:tc>
          <w:tcPr>
            <w:tcW w:w="180" w:type="dxa"/>
            <w:vAlign w:val="bottom"/>
          </w:tcPr>
          <w:p>
            <w:pPr>
              <w:spacing w:after="0"/>
              <w:rPr>
                <w:sz w:val="20"/>
                <w:szCs w:val="20"/>
                <w:color w:val="auto"/>
              </w:rPr>
            </w:pPr>
          </w:p>
        </w:tc>
        <w:tc>
          <w:tcPr>
            <w:tcW w:w="1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Fixed Interest Rate</w:t>
            </w:r>
          </w:p>
        </w:tc>
        <w:tc>
          <w:tcPr>
            <w:tcW w:w="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Expiration Date</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 month LIBOR</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1, 2015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Interest Rate Swap</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3,444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5.075%</w:t>
            </w:r>
          </w:p>
        </w:tc>
        <w:tc>
          <w:tcPr>
            <w:tcW w:w="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3 month LIBOR</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July 1, 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29, 2015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Interest Rate Swap</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656</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30, 2015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Interest Rate Swap</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6,341</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30, 2015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Interest Rate Swap</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2,197</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bl>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values of derivative instruments are on the accompanying Consolidated Balance Sheets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4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 Liabilities Designated as Hedging</w:t>
            </w: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Fair Value at</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4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Instruments</w:t>
            </w:r>
          </w:p>
        </w:tc>
        <w:tc>
          <w:tcPr>
            <w:tcW w:w="2420" w:type="dxa"/>
            <w:vAlign w:val="bottom"/>
            <w:gridSpan w:val="2"/>
          </w:tcPr>
          <w:p>
            <w:pPr>
              <w:ind w:left="120"/>
              <w:spacing w:after="0"/>
              <w:rPr>
                <w:sz w:val="20"/>
                <w:szCs w:val="20"/>
                <w:color w:val="auto"/>
              </w:rPr>
            </w:pPr>
            <w:r>
              <w:rPr>
                <w:rFonts w:ascii="Arial" w:cs="Arial" w:eastAsia="Arial" w:hAnsi="Arial"/>
                <w:sz w:val="18"/>
                <w:szCs w:val="18"/>
                <w:b w:val="1"/>
                <w:bCs w:val="1"/>
                <w:color w:val="auto"/>
              </w:rPr>
              <w:t>Balance Sheet Location</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March 31, 2015</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December 31, 2014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92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420" w:type="dxa"/>
            <w:vAlign w:val="bottom"/>
            <w:gridSpan w:val="2"/>
          </w:tcPr>
          <w:p>
            <w:pPr>
              <w:jc w:val="right"/>
              <w:ind w:right="193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2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3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6"/>
              </w:rPr>
              <w:t>Loss Reclassified</w:t>
            </w:r>
          </w:p>
        </w:tc>
      </w:tr>
      <w:tr>
        <w:trPr>
          <w:trHeight w:val="216"/>
        </w:trPr>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Gain (Loss) Recognized in</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from Accumulated</w:t>
            </w:r>
          </w:p>
        </w:tc>
      </w:tr>
      <w:tr>
        <w:trPr>
          <w:trHeight w:val="216"/>
        </w:trPr>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3"/>
              </w:rPr>
              <w:t>OCI on Derivatives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4"/>
              </w:rPr>
              <w:t>OCI into Income</w:t>
            </w:r>
          </w:p>
        </w:tc>
      </w:tr>
      <w:tr>
        <w:trPr>
          <w:trHeight w:val="216"/>
        </w:trPr>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1"/>
              </w:rPr>
              <w:t>(Effective Portion)</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(Effective Portion)</w:t>
            </w:r>
          </w:p>
        </w:tc>
      </w:tr>
      <w:tr>
        <w:trPr>
          <w:trHeight w:val="216"/>
        </w:trPr>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3"/>
              </w:rPr>
              <w:t>during the</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during the</w:t>
            </w:r>
          </w:p>
        </w:tc>
      </w:tr>
      <w:tr>
        <w:trPr>
          <w:trHeight w:val="234"/>
        </w:trPr>
        <w:tc>
          <w:tcPr>
            <w:tcW w:w="2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2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Location of Loss</w:t>
            </w:r>
          </w:p>
        </w:tc>
        <w:tc>
          <w:tcPr>
            <w:tcW w:w="140" w:type="dxa"/>
            <w:vAlign w:val="bottom"/>
          </w:tcPr>
          <w:p>
            <w:pPr>
              <w:spacing w:after="0"/>
              <w:rPr>
                <w:sz w:val="20"/>
                <w:szCs w:val="20"/>
                <w:color w:val="auto"/>
              </w:rPr>
            </w:pPr>
          </w:p>
        </w:tc>
        <w:tc>
          <w:tcPr>
            <w:tcW w:w="25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r>
      <w:tr>
        <w:trPr>
          <w:trHeight w:val="191"/>
        </w:trPr>
        <w:tc>
          <w:tcPr>
            <w:tcW w:w="27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3"/>
              </w:rPr>
              <w:t>March 31,</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6"/>
                <w:szCs w:val="16"/>
                <w:color w:val="auto"/>
              </w:rPr>
            </w:pPr>
          </w:p>
        </w:tc>
        <w:tc>
          <w:tcPr>
            <w:tcW w:w="264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Reclassified into</w:t>
            </w: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6"/>
              </w:rPr>
              <w:t>March 31,</w:t>
            </w: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6"/>
                <w:szCs w:val="16"/>
                <w:color w:val="auto"/>
              </w:rPr>
            </w:pPr>
          </w:p>
        </w:tc>
      </w:tr>
      <w:tr>
        <w:trPr>
          <w:trHeight w:val="234"/>
        </w:trPr>
        <w:tc>
          <w:tcPr>
            <w:tcW w:w="2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Income</w:t>
            </w:r>
          </w:p>
        </w:tc>
        <w:tc>
          <w:tcPr>
            <w:tcW w:w="14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Interest Expense</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pacing w:after="0" w:line="229" w:lineRule="exact"/>
        <w:rPr>
          <w:sz w:val="20"/>
          <w:szCs w:val="20"/>
          <w:color w:val="auto"/>
        </w:rPr>
      </w:pPr>
    </w:p>
    <w:p>
      <w:pPr>
        <w:jc w:val="both"/>
        <w:ind w:right="380" w:firstLine="648"/>
        <w:spacing w:after="0" w:line="293" w:lineRule="auto"/>
        <w:rPr>
          <w:sz w:val="20"/>
          <w:szCs w:val="20"/>
          <w:color w:val="auto"/>
        </w:rPr>
      </w:pPr>
      <w:r>
        <w:rPr>
          <w:rFonts w:ascii="Arial" w:cs="Arial" w:eastAsia="Arial" w:hAnsi="Arial"/>
          <w:sz w:val="16"/>
          <w:szCs w:val="16"/>
          <w:color w:val="auto"/>
        </w:rPr>
        <w:t>The Company currently has one reportable business segment - the Truck Segment. The Truck Segment includes the Company’s operation of a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Our chief operating decision maker considers the entire Truck Segment, not individual dealerships, when making decisions about resources to be allocated to the segment and assessing its performance.</w:t>
      </w:r>
    </w:p>
    <w:p>
      <w:pPr>
        <w:spacing w:after="0" w:line="165"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81" w:lineRule="exact"/>
        <w:rPr>
          <w:sz w:val="20"/>
          <w:szCs w:val="20"/>
          <w:color w:val="auto"/>
        </w:rPr>
      </w:pPr>
    </w:p>
    <w:p>
      <w:pPr>
        <w:jc w:val="both"/>
        <w:ind w:right="380"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224" w:lineRule="exact"/>
        <w:rPr>
          <w:sz w:val="20"/>
          <w:szCs w:val="20"/>
          <w:color w:val="auto"/>
        </w:rPr>
      </w:pPr>
    </w:p>
    <w:p>
      <w:pPr>
        <w:jc w:val="both"/>
        <w:ind w:right="380" w:firstLine="701"/>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 segment income or loss from continuing operations and segment assets for the periods ended March 31, 2015 and 2014 (in thousands):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w w:val="93"/>
              </w:rPr>
              <w:t>Truck Segment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All Other</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color w:val="auto"/>
              </w:rPr>
              <w:t>Totals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three months ended March 31, 2015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1,189,987</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3,548</w:t>
            </w:r>
          </w:p>
        </w:tc>
        <w:tc>
          <w:tcPr>
            <w:tcW w:w="10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1,193,535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Segment assets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2,708,600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30,123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2,738,723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As of and for the three months ended March 31, 2014</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954,407</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19,759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2,233,510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Income Taxes</w:t>
      </w:r>
    </w:p>
    <w:p>
      <w:pPr>
        <w:spacing w:after="0" w:line="229" w:lineRule="exact"/>
        <w:rPr>
          <w:sz w:val="20"/>
          <w:szCs w:val="20"/>
          <w:color w:val="auto"/>
        </w:rPr>
      </w:pPr>
    </w:p>
    <w:p>
      <w:pPr>
        <w:jc w:val="both"/>
        <w:ind w:right="380" w:firstLine="648"/>
        <w:spacing w:after="0" w:line="257" w:lineRule="auto"/>
        <w:rPr>
          <w:sz w:val="20"/>
          <w:szCs w:val="20"/>
          <w:color w:val="auto"/>
        </w:rPr>
      </w:pPr>
      <w:r>
        <w:rPr>
          <w:rFonts w:ascii="Arial" w:cs="Arial" w:eastAsia="Arial" w:hAnsi="Arial"/>
          <w:sz w:val="18"/>
          <w:szCs w:val="18"/>
          <w:color w:val="auto"/>
        </w:rPr>
        <w:t>The Company had unrecognized income tax benefits totaling $1.5 million as a component of accrued liabilities at March 31, 2015 and December 31, 2014, the total of which, if recognized, would impact its effective tax rate. An unfavorable settlement may require a charge to income tax expense and a favorable resolution would be recognized as a reduction to income tax expense. The Company recognizes interest accrued related to unrecognized tax benefits in income tax expense. No amounts were accrued for penalties. The Company had approximately $98,500 accrued for the payment of interest at March 31, 2015 and December 31, 2014.</w:t>
      </w:r>
    </w:p>
    <w:p>
      <w:pPr>
        <w:spacing w:after="0" w:line="188"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March 31, 2015, the tax years ended December 31, 2011 through 2014 remained subject to audit by federal tax authorities and the tax years ended December 31, 2010 through 2014 remained subject to audit by state tax authorities.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Accumulated Other Comprehensive Income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components of accumulated other comprehensive loss, net of tax, (in thousands):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Three Months Ended March 31, 2015</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11"/>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Available for Sale</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Cash Flow Swaps</w:t>
            </w:r>
          </w:p>
        </w:tc>
        <w:tc>
          <w:tcPr>
            <w:tcW w:w="12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Securities</w:t>
            </w:r>
          </w:p>
        </w:tc>
        <w:tc>
          <w:tcPr>
            <w:tcW w:w="480" w:type="dxa"/>
            <w:vAlign w:val="bottom"/>
          </w:tcPr>
          <w:p>
            <w:pPr>
              <w:spacing w:after="0"/>
              <w:rPr>
                <w:sz w:val="20"/>
                <w:szCs w:val="20"/>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Total</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Change in fair value</w:t>
            </w:r>
          </w:p>
        </w:tc>
        <w:tc>
          <w:tcPr>
            <w:tcW w:w="12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 deferred</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r>
      <w:tr>
        <w:trPr>
          <w:trHeight w:val="20"/>
        </w:trPr>
        <w:tc>
          <w:tcPr>
            <w:tcW w:w="5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Balance at March 31, 2015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(317)</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(388)</w:t>
            </w:r>
          </w:p>
        </w:tc>
      </w:tr>
      <w:tr>
        <w:trPr>
          <w:trHeight w:val="20"/>
        </w:trPr>
        <w:tc>
          <w:tcPr>
            <w:tcW w:w="5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Three Months Ended March 31, 2014</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Available for Sale</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Cash Flow Swaps</w:t>
            </w:r>
          </w:p>
        </w:tc>
        <w:tc>
          <w:tcPr>
            <w:tcW w:w="12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Securities</w:t>
            </w:r>
          </w:p>
        </w:tc>
        <w:tc>
          <w:tcPr>
            <w:tcW w:w="480" w:type="dxa"/>
            <w:vAlign w:val="bottom"/>
          </w:tcPr>
          <w:p>
            <w:pPr>
              <w:spacing w:after="0"/>
              <w:rPr>
                <w:sz w:val="20"/>
                <w:szCs w:val="20"/>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Total</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Change in fair value</w:t>
            </w:r>
          </w:p>
        </w:tc>
        <w:tc>
          <w:tcPr>
            <w:tcW w:w="12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 deferred</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r>
      <w:tr>
        <w:trPr>
          <w:trHeight w:val="20"/>
        </w:trPr>
        <w:tc>
          <w:tcPr>
            <w:tcW w:w="5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Balance at March 31, 2014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(578)</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(1,088)</w:t>
            </w:r>
          </w:p>
        </w:tc>
      </w:tr>
      <w:tr>
        <w:trPr>
          <w:trHeight w:val="20"/>
        </w:trPr>
        <w:tc>
          <w:tcPr>
            <w:tcW w:w="5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amount of loss reclassified from accumulated other comprehensive loss into earnings (in thousands):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20" w:type="dxa"/>
            <w:vAlign w:val="bottom"/>
            <w:gridSpan w:val="6"/>
          </w:tcPr>
          <w:p>
            <w:pPr>
              <w:jc w:val="right"/>
              <w:ind w:right="960"/>
              <w:spacing w:after="0"/>
              <w:rPr>
                <w:sz w:val="20"/>
                <w:szCs w:val="20"/>
                <w:color w:val="auto"/>
              </w:rPr>
            </w:pPr>
            <w:r>
              <w:rPr>
                <w:rFonts w:ascii="Arial" w:cs="Arial" w:eastAsia="Arial" w:hAnsi="Arial"/>
                <w:sz w:val="18"/>
                <w:szCs w:val="18"/>
                <w:color w:val="auto"/>
              </w:rPr>
              <w:t>Three Months Ended</w:t>
            </w: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5"/>
              </w:rPr>
              <w:t>March 31, 2015</w:t>
            </w: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4"/>
              </w:rPr>
              <w:t>March 31, 2014</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Losses on cash flow swaps to:</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Total reclassifications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Acquisitions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of the following acquisitions, unless otherwise noted, were considered business combinations accounted for under ASC 805 “Business Combinations.” Pro forma information is not included in accordance with ASC 805 since no acquisitions were considered material individually or in the aggregate.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the value of certain assets and liabilities acquired in 2015 are preliminary in nature, they are subject to adjustment as additional information is obtained about the facts and circumstances that existed at the acquisition date. The property and equipment, inventory and valuation of intangibles is subject to change during the purchase price allocation period.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9, 2015, the Company acquired certain assets of Effingham Truck Sales, Inc. The acquisition included International commercial truck dealerships and an Idealease commercial vehicle rental and leasing business in Effingham and Mount Vernon, Illinois.</w:t>
      </w: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purchase price for the assets, membership interests, goodwill, and dealership properties was approximately $25.3 million, which was paid in cash. The operations of Effingham Truck Sales, Inc. are included in the accompanying consolidated financial statements from the date of the acquisition. The preliminary purchase price was allocated based on the fair values of the assets at the date of acquisition as follows (in thousands):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7,622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32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25,261</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goodwill acquired in the Effingham Truck Sales, Inc. acquisition will be amortized over 15 years for tax purposes.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13, 2014, the Company acquired certain assets of CIT, Inc., which did business as Chicago International Trucks, Mcgrenho L.L.C., which did business as Indy Truck Sales, and Indiana Mack Leasing, LLC; and the membership interests of Idealease of Chicago, LLC. The acquisition included International commercial truck dealerships and Idealease commercial vehicle rental and leasing businesses in Carol Stream, Chicago, Grayslake, Huntley, Joliet, Kankakee and Ottawa, Illinois, and Brazil, Gary and Indianapolis, Indiana.</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purchase price for the assets, membership interests, goodwill, franchise rights and dealership properties was approximately $146.6 million, which was paid in cash and 83,091 shares of the Company’s Class B Common Stock with a total value of $2.0 million on the date of acquisition. The operations of CIT, Inc. are included in the accompanying consolidated financial statements from the date of the acquisition. The purchase price was allocated based on the fair values of the assets at the date of acquisition as follows (in thousands):</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46,384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7,175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Franchise rights</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(1,325)</w:t>
            </w: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32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146,563</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goodwill acquired in the CIT, Inc. acquisition will be amortized over 15 years for tax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 Subsequent Event</w:t>
      </w:r>
    </w:p>
    <w:p>
      <w:pPr>
        <w:spacing w:after="0" w:line="229"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On May 4, 2015, we acquired certain assets of Yancey Truck Centers, LLC, which operated commercial vehicle dealerships in Albany, Blackshear, Tifton, Valdosta, Augusta, Columbus and Macon, Georgia. These locations are operating as Rush Truck Centers and offer commercial vehicle sales, parts and service for International trucks. The Albany location also includes an Idealease commercial vehicle rental and leasing business. The transaction was valued at approximately $30.0 million, including real estate of $7.8 million, with the purchase price paid in cash.</w:t>
      </w:r>
    </w:p>
    <w:p>
      <w:pPr>
        <w:spacing w:after="0" w:line="200" w:lineRule="exact"/>
        <w:rPr>
          <w:sz w:val="20"/>
          <w:szCs w:val="20"/>
          <w:color w:val="auto"/>
        </w:rPr>
      </w:pPr>
    </w:p>
    <w:p>
      <w:pPr>
        <w:spacing w:after="0" w:line="21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100" w:firstLine="648"/>
        <w:spacing w:after="0" w:line="267" w:lineRule="auto"/>
        <w:rPr>
          <w:sz w:val="20"/>
          <w:szCs w:val="20"/>
          <w:color w:val="auto"/>
        </w:rPr>
      </w:pPr>
      <w:r>
        <w:rPr>
          <w:rFonts w:ascii="Arial" w:cs="Arial" w:eastAsia="Arial" w:hAnsi="Arial"/>
          <w:sz w:val="17"/>
          <w:szCs w:val="17"/>
          <w:i w:val="1"/>
          <w:iCs w:val="1"/>
          <w:color w:val="auto"/>
        </w:rPr>
        <w:t>Certain statements contained in this Form 10-Q (or otherwise made by the Company or on the Company’s behalf from time to time in other reports, filings with the Securities and Exchange Commission (“SEC”), news releases, conferences, website postings or otherwise) that are not statements of historical fact constitute “forward-looking statements” within the meaning of the Private Securities Litigation Reform Act of 1995, Section 27A of the Securities Act of 1933, as amended (the “Securities Act”),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“Risk Factors” in the Company’s Annual Report on Form 10-K for the year ended December 31, 2014,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We do not intend to update or revise any forward-looking statements unless securities laws require us to do so, and we undertake no obligation to publicly release any revisions to forward-looking statements, whether because of new information, future events or otherwise.</w:t>
      </w:r>
    </w:p>
    <w:p>
      <w:pPr>
        <w:spacing w:after="0" w:line="193"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Company’s Filings</w:t>
      </w:r>
    </w:p>
    <w:p>
      <w:pPr>
        <w:spacing w:after="0" w:line="206"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16"/>
          <w:szCs w:val="16"/>
          <w:i w:val="1"/>
          <w:iCs w:val="1"/>
          <w:color w:val="auto"/>
        </w:rPr>
        <w:t>Peterbilt</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Peterbilt Motors Company. PACCAR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Inc. PacLease</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Leasing Corporation. Navistar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Navistar International Corporation. International</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Navistar International Transportation Corp. Idealease is a registered trademark of Idealease, Inc. aka Idealease of North America, Inc. Blue Bird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Blue Bird Investment Corporation. IC Bus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IC Bus, LLC. Fuso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Mitsubishi Fuso Truck and Bus Corporation. Hino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Hino Motors, Ltd. Isuzu</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Isuzu Motors Limited. Ford Motor Credit Company</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Ford Motor Company. Ford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Ford Motor Company. SAP</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SAP Aktiengesellschaft. This report contains additional trade names or trademarks of other companies. Our use of such trade names or trademarks should not imply any endorsement or relationship with such companies.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Rush Enterprises, Inc. was incorporated in Texas in 1965 and consists of one reportable segment, the Truck Segment and conducts business through its subsidiaries. References herein to “the Company,” “Rush Enterprises,” “Rush,” “we,” “our” or “us” mean Rush Enterprises, Inc. and its subsidiaries unless the context requires otherwise. Our principal offices are located at 555 IH 35 South, Suite 500, New Braunfels, Texas 78130.</w:t>
      </w:r>
    </w:p>
    <w:p>
      <w:pPr>
        <w:spacing w:after="0" w:line="147" w:lineRule="exact"/>
        <w:rPr>
          <w:sz w:val="20"/>
          <w:szCs w:val="20"/>
          <w:color w:val="auto"/>
        </w:rPr>
      </w:pPr>
    </w:p>
    <w:p>
      <w:pPr>
        <w:jc w:val="both"/>
        <w:ind w:right="60" w:firstLine="648"/>
        <w:spacing w:after="0" w:line="276" w:lineRule="auto"/>
        <w:rPr>
          <w:sz w:val="20"/>
          <w:szCs w:val="20"/>
          <w:color w:val="auto"/>
        </w:rPr>
      </w:pPr>
      <w:r>
        <w:rPr>
          <w:rFonts w:ascii="Arial" w:cs="Arial" w:eastAsia="Arial" w:hAnsi="Arial"/>
          <w:sz w:val="17"/>
          <w:szCs w:val="17"/>
          <w:color w:val="auto"/>
        </w:rPr>
        <w:t>We are a full-service, integrated retailer of commercial vehicles and related services. The Truck Segment includes our operation of a regional network of commercial vehicle dealerships under the name “Rush Truck Centers.” Rush Truck Centers primarily sell commercial vehicles manufactured by Peterbilt, International, Hino, Ford, Isuzu, Mitsubishi Fuso,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73" w:lineRule="exact"/>
        <w:rPr>
          <w:sz w:val="20"/>
          <w:szCs w:val="20"/>
          <w:color w:val="auto"/>
        </w:rPr>
      </w:pPr>
    </w:p>
    <w:p>
      <w:pPr>
        <w:jc w:val="both"/>
        <w:ind w:right="60" w:firstLine="405"/>
        <w:spacing w:after="0" w:line="277" w:lineRule="auto"/>
        <w:rPr>
          <w:sz w:val="20"/>
          <w:szCs w:val="20"/>
          <w:color w:val="auto"/>
        </w:rPr>
      </w:pPr>
      <w:r>
        <w:rPr>
          <w:rFonts w:ascii="Arial" w:cs="Arial" w:eastAsia="Arial" w:hAnsi="Arial"/>
          <w:sz w:val="18"/>
          <w:szCs w:val="18"/>
          <w:color w:val="auto"/>
        </w:rPr>
        <w:t>Our Rush Truck Centers are principally located in high traffic areas throughout the United States. Since commencing operations as a Peterbilt heavy-duty truck dealer in 1966, we have grown to operate 120 Rush Truck Centers in 20 states.</w:t>
      </w: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business strategy consists of providing solutions to the commercial vehicle industry through our network of commercial vehicle dealerships throughout the United States. We offer an integrated approach to meeting customer needs by providing service, parts and collision repair in addition to new and used commercial vehicle sales and leasing, plus financial services. We intend to continue to implement our business strategy, reinforce customer loyalty and remain a market leader by continuing to develop our Rush Truck Centers as we extend our geographic focus through strategic acquisitions of new locations and expansions of our existing facilities and product offerings.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which are also described in Note 2 of the Notes to the Consolidated Financial Statements, affect our more significant judgments and estimates used in the preparation of our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Inventories are stated at the lower of cost or market value. Cost is determined by specific identification of new and used commercial vehicles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which is the same as the segment, to the respective carrying value. We consider our Truck Segment to be a reporting unit for purposes of this analysis.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believe there is a reasonable likelihood that there will be a material change in the future estimates or assumptions we used to test for impairment losses on goodwill. However, if actual results are not consistent with our estimates or assumptions, or certain events occur that might adversely affect the reported value of goodwill in the future, we may be exposed to an impairment charge that could be material. Such events may include, but are not limited to, strategic decisions made in response to economic and competitive conditions or the impact of the current economic environment.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Goodwill was tested for impairment during the fourth quarter of 2014 and no impairment was required. The fair value of our reporting unit exceeded the carrying value of its net assets. As a result, we were not required to conduct the second step of the impairment test. We do not believe our reporting unit is at risk of failing step one of the impairment test.</w:t>
      </w: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Accruals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partially self-insured for a portion of the claims related to our property and casualty insurance programs, requiring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 A 10% change in our estimate would have changed our reserve for these losses at December 31, 2014 by $1.1 million.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generally would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it considers appropriate, as well as related interest.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utilize derivative financial instruments to manage our interest rate risk. The types of risks hedged are those relating to the variability of cash flows and changes in the fair value of our financial instruments caused by movements in interest rates. We assess hedge effectiveness at the inception and during the term of each hedge. Derivatives are reported at fair value on the accompanying Consolidated Balance Sheets.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effective portion of the gain or loss on our cash flow hedges are reported as a component of accumulated other comprehensive loss. Hedge effectiveness will be assessed quarterly by comparing the changes in cumulative gain or loss from the interest rate swap with the cumulative changes in the present value of the expected future cash flows of the interest rate swap that are attributable to changes in the LIBOR rate</w:t>
      </w:r>
      <w:r>
        <w:rPr>
          <w:rFonts w:ascii="Arial" w:cs="Arial" w:eastAsia="Arial" w:hAnsi="Arial"/>
          <w:sz w:val="18"/>
          <w:szCs w:val="18"/>
          <w:b w:val="1"/>
          <w:bCs w:val="1"/>
          <w:color w:val="auto"/>
        </w:rPr>
        <w:t>.</w:t>
      </w:r>
      <w:r>
        <w:rPr>
          <w:rFonts w:ascii="Arial" w:cs="Arial" w:eastAsia="Arial" w:hAnsi="Arial"/>
          <w:sz w:val="18"/>
          <w:szCs w:val="18"/>
          <w:color w:val="auto"/>
        </w:rPr>
        <w:t xml:space="preserve"> If the interest rate swaps become ineffective, portions of these interest rate swaps would be reported as a component of interest expense in the accompanying Consolidated Statements of Income.</w:t>
      </w: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discussion and analysis includes our historical results of operations for the three months ended March 31, 2015 and 2014.</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financial data as a percentage of total revenues:</w:t>
      </w:r>
    </w:p>
    <w:p>
      <w:pPr>
        <w:spacing w:after="0" w:line="221"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5680" w:type="dxa"/>
            <w:vAlign w:val="bottom"/>
            <w:gridSpan w:val="2"/>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gridSpan w:val="2"/>
          </w:tcPr>
          <w:p>
            <w:pPr>
              <w:spacing w:after="0"/>
              <w:rPr>
                <w:sz w:val="18"/>
                <w:szCs w:val="18"/>
                <w:color w:val="auto"/>
              </w:rPr>
            </w:pPr>
          </w:p>
        </w:tc>
        <w:tc>
          <w:tcPr>
            <w:tcW w:w="74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and used commercial vehicle sales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Parts and service sales</w:t>
            </w:r>
          </w:p>
        </w:tc>
        <w:tc>
          <w:tcPr>
            <w:tcW w:w="500" w:type="dxa"/>
            <w:vAlign w:val="bottom"/>
          </w:tcPr>
          <w:p>
            <w:pPr>
              <w:jc w:val="right"/>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and rental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Finance and insurance</w:t>
            </w: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500" w:type="dxa"/>
            <w:vAlign w:val="bottom"/>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Operating income</w:t>
            </w:r>
          </w:p>
        </w:tc>
        <w:tc>
          <w:tcPr>
            <w:tcW w:w="10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the percent of gross profit by revenue source:</w:t>
      </w:r>
    </w:p>
    <w:p>
      <w:pPr>
        <w:spacing w:after="0" w:line="221"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20" w:type="dxa"/>
            <w:vAlign w:val="bottom"/>
            <w:gridSpan w:val="2"/>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Parts and service sales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1180" w:type="dxa"/>
            <w:vAlign w:val="bottom"/>
          </w:tcPr>
          <w:p>
            <w:pPr>
              <w:spacing w:after="0"/>
              <w:rPr>
                <w:sz w:val="18"/>
                <w:szCs w:val="18"/>
                <w:color w:val="auto"/>
              </w:rPr>
            </w:pPr>
          </w:p>
        </w:tc>
      </w:tr>
      <w:tr>
        <w:trPr>
          <w:trHeight w:val="669"/>
        </w:trPr>
        <w:tc>
          <w:tcPr>
            <w:tcW w:w="1160" w:type="dxa"/>
            <w:vAlign w:val="bottom"/>
          </w:tcPr>
          <w:p>
            <w:pPr>
              <w:spacing w:after="0"/>
              <w:rPr>
                <w:sz w:val="24"/>
                <w:szCs w:val="24"/>
                <w:color w:val="auto"/>
              </w:rPr>
            </w:pPr>
          </w:p>
        </w:tc>
        <w:tc>
          <w:tcPr>
            <w:tcW w:w="5660" w:type="dxa"/>
            <w:vAlign w:val="bottom"/>
            <w:tcBorders>
              <w:top w:val="single" w:sz="8" w:color="CCEEFF"/>
            </w:tcBorders>
          </w:tcPr>
          <w:p>
            <w:pPr>
              <w:ind w:left="4460"/>
              <w:spacing w:after="0"/>
              <w:rPr>
                <w:sz w:val="20"/>
                <w:szCs w:val="20"/>
                <w:color w:val="auto"/>
              </w:rPr>
            </w:pPr>
            <w:r>
              <w:rPr>
                <w:rFonts w:ascii="Arial" w:cs="Arial" w:eastAsia="Arial" w:hAnsi="Arial"/>
                <w:sz w:val="18"/>
                <w:szCs w:val="18"/>
                <w:color w:val="auto"/>
              </w:rPr>
              <w:t>16</w:t>
            </w:r>
          </w:p>
        </w:tc>
        <w:tc>
          <w:tcPr>
            <w:tcW w:w="10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56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new light-duty and used commercial vehicles and the absorption ratio (revenue in millions):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40" w:type="dxa"/>
            <w:vAlign w:val="bottom"/>
            <w:gridSpan w:val="5"/>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ind w:left="36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8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New heavy-duty vehicles</w:t>
            </w: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4,074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2,688</w:t>
            </w: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New light-duty vehicles</w:t>
            </w: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486</w:t>
            </w: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unit sales</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Used vehicles</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New heavy-duty vehicles</w:t>
            </w:r>
          </w:p>
        </w:tc>
        <w:tc>
          <w:tcPr>
            <w:tcW w:w="1880" w:type="dxa"/>
            <w:vAlign w:val="bottom"/>
            <w:gridSpan w:val="2"/>
          </w:tcPr>
          <w:p>
            <w:pPr>
              <w:jc w:val="right"/>
              <w:ind w:right="87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512.9</w:t>
            </w:r>
          </w:p>
        </w:tc>
        <w:tc>
          <w:tcPr>
            <w:tcW w:w="200" w:type="dxa"/>
            <w:vAlign w:val="bottom"/>
          </w:tcPr>
          <w:p>
            <w:pPr>
              <w:spacing w:after="0"/>
              <w:rPr>
                <w:sz w:val="18"/>
                <w:szCs w:val="18"/>
                <w:color w:val="auto"/>
              </w:rPr>
            </w:pPr>
          </w:p>
        </w:tc>
        <w:tc>
          <w:tcPr>
            <w:tcW w:w="110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373.1</w:t>
            </w: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New light-duty vehicles</w:t>
            </w: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revenue</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7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88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Used vehicle revenue</w:t>
            </w:r>
          </w:p>
        </w:tc>
        <w:tc>
          <w:tcPr>
            <w:tcW w:w="1880" w:type="dxa"/>
            <w:vAlign w:val="bottom"/>
            <w:gridSpan w:val="2"/>
            <w:shd w:val="clear" w:color="auto" w:fill="CCEEFF"/>
          </w:tcPr>
          <w:p>
            <w:pPr>
              <w:jc w:val="right"/>
              <w:ind w:right="87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88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Other vehicle revenue:</w:t>
            </w:r>
            <w:r>
              <w:rPr>
                <w:rFonts w:ascii="Arial" w:cs="Arial" w:eastAsia="Arial" w:hAnsi="Arial"/>
                <w:sz w:val="25"/>
                <w:szCs w:val="25"/>
                <w:color w:val="auto"/>
                <w:vertAlign w:val="superscript"/>
              </w:rPr>
              <w:t>(1)</w:t>
            </w:r>
          </w:p>
        </w:tc>
        <w:tc>
          <w:tcPr>
            <w:tcW w:w="1880" w:type="dxa"/>
            <w:vAlign w:val="bottom"/>
            <w:gridSpan w:val="2"/>
            <w:shd w:val="clear" w:color="auto" w:fill="CCEEFF"/>
          </w:tcPr>
          <w:p>
            <w:pPr>
              <w:jc w:val="right"/>
              <w:ind w:right="87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Dealership absorption ratio:</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115.3%</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ind w:left="114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Ratio</w:t>
      </w:r>
    </w:p>
    <w:p>
      <w:pPr>
        <w:spacing w:after="0" w:line="225"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Management uses several performance metrics to evaluate the performance of its commercial vehicle dealerships and considers Rush Truck Centers’ “absorption ratio” to be of critical importance. Absorption ratio is calculated by dividing the gross profit from the parts, service and body shop (collectively, “Aftermarket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In 1999, our commercial vehicle dealerships’ absorption ratio was approximately 80%. Since 1999, we have made a concerted effort to increase our absorption ratio. Our truck dealerships achieved a 115.3% absorption ratio for the first quarter of 2015 and 111.2% absorption ratio for the first quarter of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2015 Compared to Three Months Ended March 31, 2014</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financial performance remained strong this quarter despite a significant impact to our Class 8 truck sales due to reduced activity in the energy sector. In the first quarter, we substantially completed the rollout of our SAP business operating system and continued to make progress on our initiatives to expand our portfolio of aftermarket solutions.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commitment to provide innovative solutions to service our customers’ business needs continues to drive our strong Aftermarket Services revenues, which increased 9.1% in the first quarter of 2015 compared to the first quarter of 2014. This contributed to an absorption ratio of 115.3% for the quarter ended March 31, 2015.</w:t>
      </w:r>
    </w:p>
    <w:p>
      <w:pPr>
        <w:spacing w:after="0" w:line="18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Although we saw a significant negative impact from reduced activity in the energy sector to our Class 8 truck sales this quarter, we were able to offset this decline with increased sales to over-the-road fleets and vocational customers. Our strong medium-duty truck sales performance this quarter resulted from deliveries to several large leasing companies and our continued ability to offer ready-to-roll equipment.</w:t>
      </w:r>
    </w:p>
    <w:p>
      <w:pPr>
        <w:spacing w:after="0" w:line="16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Our backlog remains stable through the second quarter of 2015, but, as is normally the case, order intake has softened from the peak order months at the end of 2014. We expect our Class 8 truck sales to remain flat through the second quarter of 2015 as we work to offset the decline in new truck sales to the energy sector with incremental business in other market segments and regions of the country benefiting from an improving economy.</w:t>
      </w:r>
    </w:p>
    <w:p>
      <w:pPr>
        <w:sectPr>
          <w:pgSz w:w="11900" w:h="16838" w:orient="portrait"/>
          <w:cols w:equalWidth="0" w:num="1">
            <w:col w:w="11060"/>
          </w:cols>
          <w:pgMar w:left="240" w:top="118" w:right="599" w:bottom="1440" w:gutter="0" w:footer="0" w:header="0"/>
        </w:sectPr>
      </w:pPr>
    </w:p>
    <w:p>
      <w:pPr>
        <w:spacing w:after="0" w:line="390"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type w:val="continuous"/>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increased $234.9 million, or 24.5%, in the first quarter of 2015 compared to the first quarter of 2014.</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Aftermarket Services revenues increased $28.0 million, or 9.1%, in the first quarter of 2015 compared to the first quarter of 2014. This increase was primarily the result of strong demand for repair and maintenance of vehicles. While we expect our Aftermarket Services revenues to increase slightly during 2015 compared to 2014, we believe Aftermarket Services will be negatively impacted by the decrease in activity in the energy sector.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Revenues from sales of new and used commercial vehicles increased $199.3 million, or 33.2%, in the first quarter of 2015 compared to the first quarter of 2014.</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sold 4,074 heavy-duty trucks in the first quarter of 2015, a 51.6% increase compared to 2,688 heavy-duty trucks in the first quarter of 2014. According to A.C.T. Research Co., LLC (“A.C.T. Research”), a truck industry data and forecasting service provider, the U.S. Class 8 truck market increased 25% in the first quarter of 2015 compared to the first quarter of 2014. A.C.T. Research currently predicts U.S. retail sales of Class 8 trucks of approximately 267,000 units in 2015, 246,000 units in 2016, and 212,000 units in 2017, compared to approximately 224,000 units in 2014. Our share of the U.S. Class 8 truck sales market was approximately 7.1% in 2014. We expect our market share to range between 6.0% and 6.5% of the U.S. Class 8 truck sales in 2015. This market share percentage would result in the sale of approximately 16,000 to 17,250 of Class 8 trucks in 2015 based on A.C.T. Research’s current U.S. retail sales estimate of 267,000 units.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sold 2,686 Class 4 through 7 commercial vehicles, including 269 buses, in the first quarter of 2015, a 36.6% increase compared to 1,966 medium-duty commercial vehicles, including 243 buses, in the first quarter of 2014. A.C.T. Research estimates that unit sales of Class 4 through 7 commercial vehicles in the U.S. increased approximately 12.0% in the first quarter of 2015, compared to the first quarter of 2014. A.C.T. Research currently predicts U.S. retail sales of Class 4 through 7 medium-duty commercial vehicles of approximately 208,800 units in 2015, 215,700 units in 2016, and 228,700 in 2017. In 2014, we achieved a 4.9% share of the Class 4 through 7 commercial vehicle sales market in the U.S. We expect our market share to range between 5.0% and 5.5% of the U.S. Class 4 through 7 commercial vehicle sales in 2015. This market share percentage would result in the sale of approximately 10,400 to 11,400 of Class 4 through 7 commercial vehicles in 2015 based on A.C.T. Research’s current U.S. retail sales estimates of 208,800 units.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sold 378 light-duty vehicles in the first quarter of 2015, a 22.2% decrease compared to 486 light-duty vehicles in the first quarter of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sell approximately 1,600 to 2,000 light-duty vehicles in 2015.</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sold 1,862 used commercial vehicles in the first quarter of 2015, a 9.3% increase compared to 1,703 used commercial vehicles in the first quarter of 2014. This increase was primarily the result of acquisitions that occurred since the third quarter of 2014. We expect to sell approximately 8,500 to 9,500 used commercial vehicles in 2015. The volume of used commercial vehicle sales will be largely dependent upon our ability to acquire quality used commercial vehicles and maintain an adequate used commercial vehicle inventory throughout 2015.</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Truck lease and rental revenues increased $6.8 million, or 16.6%, in the first quarter of 2015 compared to the first quarter of 2014. The increase in lease and rental revenue is primarily due to the increased number of units put into service in the lease and rental fleet during 2014 and the first quarter of 2015. We expect lease and rental revenue to increase 15% to 20% during 2015, compared to 2014 due to the increased number of units in the lease and rental fleet.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Finance and insurance revenues increased $0.5 million, or 11.1%, in the first quarter of 2015 compared to the first quarter of 2014. We expect finance and insurance revenue to fluctuate proportionately with our new and used commercial vehicle sales in 2015. Finance and insurance revenues have limited direct costs and, therefore, contribute a disproportionate share of our operating profits.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income increased $0.3 million, or 7.2% in the first quarter of 2015, compared to the first quarter of 2014. Other income consists primarily of the gain on sale realized on trucks from the lease and rental fleet, document fees related to commercial vehicle sales and income from Central California Truck and Trailer Sales, LLC (“CCTTS”), our joint venture.</w:t>
      </w: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40" w:firstLine="648"/>
        <w:spacing w:after="0" w:line="276" w:lineRule="auto"/>
        <w:rPr>
          <w:sz w:val="20"/>
          <w:szCs w:val="20"/>
          <w:color w:val="auto"/>
        </w:rPr>
      </w:pPr>
      <w:r>
        <w:rPr>
          <w:rFonts w:ascii="Arial" w:cs="Arial" w:eastAsia="Arial" w:hAnsi="Arial"/>
          <w:sz w:val="17"/>
          <w:szCs w:val="17"/>
          <w:color w:val="auto"/>
        </w:rPr>
        <w:t>Gross profit increased $27.7 million, or 16.7%, in the first quarter of 2015, compared to the first quarter of 2014. Gross profit as a percentage of sales decreased to 16.2% in the first quarter of 2015, from 17.3% in the first quarter of 2014. This decrease in gross profit as a percentage of sales is a result of a change in our product sales mix. Commercial vehicle sales, a lower margin revenue item, increased as a percentage of total revenues to 67.0% in the first quarter of 2015, from 62.7% in the first quarter of 2014. Aftermarket Services revenues, a higher margin revenue item, decreased as a percentage of total revenues to 28.3% in the first quarter of 2015, from 32.2% in the first quarter of 2014.</w:t>
      </w:r>
    </w:p>
    <w:p>
      <w:pPr>
        <w:spacing w:after="0" w:line="173" w:lineRule="exact"/>
        <w:rPr>
          <w:sz w:val="20"/>
          <w:szCs w:val="20"/>
          <w:color w:val="auto"/>
        </w:rPr>
      </w:pPr>
    </w:p>
    <w:p>
      <w:pPr>
        <w:jc w:val="both"/>
        <w:ind w:right="40" w:firstLine="648"/>
        <w:spacing w:after="0" w:line="293" w:lineRule="auto"/>
        <w:rPr>
          <w:sz w:val="20"/>
          <w:szCs w:val="20"/>
          <w:color w:val="auto"/>
        </w:rPr>
      </w:pPr>
      <w:r>
        <w:rPr>
          <w:rFonts w:ascii="Arial" w:cs="Arial" w:eastAsia="Arial" w:hAnsi="Arial"/>
          <w:sz w:val="16"/>
          <w:szCs w:val="16"/>
          <w:color w:val="auto"/>
        </w:rPr>
        <w:t>Gross margins from our Aftermarket Services operations increased to 36.3% in the first quarter of 2015, from 35.7% in the first quarter of 2014. Gross profit from our Aftermarket Services operations increased to $122.3 million in the first quarter of 2015 from $110.3 million in the first quarter of 2014. Historically, gross margins on parts sales range from 27% to 28% and service and body shop operations range from 67% to 68%. Gross profits from parts sales represented 56% of total gross profit for Aftermarket Services operations in the first quarter of 2015 and 55% in the first quarter of 2014. Service and body shop operations represented 44% of total gross profit for Aftermarket Services operations in the first quarter of 2015 and 45% in the first quarter of 2014. We expect blended gross margins on Aftermarket Services operations to range from 35.0% to 36.0% in 2015.</w:t>
      </w:r>
    </w:p>
    <w:p>
      <w:pPr>
        <w:spacing w:after="0" w:line="16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Gross margins on Class 8 truck sales decreased to 6.8% in the first quarter of 2015, from 7.5% in the first quarter of 2014. This decrease is attributable to the sales mix in the first quarter of 2015, which consisted of more sales to fleet customers, a lower margin revenue item. In 2015, we expect overall gross margins from Class 8 truck sales of approximately 6.0% to 7.0%.</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Gross margins on medium-duty commercial vehicle sales decreased to 5.2% in the first quarter of 2015, from 5.6% in the first quarter of 2014. For 2015, we expect overall gross margins from medium-duty commercial vehicle sales of approximately 5.0% to 5.5%, but this will largely depend upon the mix of purchasers and types of vehicles sold.</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Gross margins on used commercial vehicle sales increased to 13.1% in the first quarter of 2015, from 9.3% in the first quarter of 2014. We expect margins on used commercial vehicles to range between 8.0% and 12.0% during 2015 depending upon general economic conditions and the availability of quality used vehicles.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Gross margins from truck lease and rental sales increased to 14.3% in the first quarter of 2015, from 12.4% in the first quarter of 2014. We expect gross margins from lease and rental sales of approximately 13.5% to 16.5% during 2015, as we expect to continue to grow our lease and rental fleet. Our policy is to depreciate our lease and rental fleet using a straight line method over each customer’s contractual lease term. The lease unit is depreciated to a residual value that approximates fair value at the expiration of the lease term. This policy results in reasonable gross margins while the unit is in service and a corresponding gain or loss on sale when the unit is sold at the end of the lease term.</w:t>
      </w:r>
    </w:p>
    <w:p>
      <w:pPr>
        <w:spacing w:after="0" w:line="17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Selling, General and Administrative (“SG&amp;A”) expenses increased $18.2 million, or 13.5%, in the first quarter of 2015, compared to the first quarter of 2014. SG&amp;A expenses as a percentage of total revenue decreased to 12.8% in the first quarter of 2015, from 14.0% in the first quarter of 2014. SG&amp;A expenses as a percentage of total revenues have historically ranged from 10.0% to 15.0%. In general, when new and used commercial vehicle revenues decrease as a percentage of total revenues, SG&amp;A expenses as a percentage of total revenues will be at, or exceed, the higher end of this range. For 2015, we expect SG&amp;A expenses as a percentage of total revenues to range from 12.0% to 14.0% and the selling portion of SG&amp;A expenses to be approximately 25% to 30% of new and used commercial vehicle gross profit. In 2015, we expect the general and administrative portion of SG&amp;A expenses to increase by approximately 8.0% to 12.0%.</w:t>
      </w:r>
    </w:p>
    <w:p>
      <w:pPr>
        <w:spacing w:after="0" w:line="200" w:lineRule="exact"/>
        <w:rPr>
          <w:sz w:val="20"/>
          <w:szCs w:val="20"/>
          <w:color w:val="auto"/>
        </w:rPr>
      </w:pPr>
    </w:p>
    <w:p>
      <w:pPr>
        <w:spacing w:after="0" w:line="22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expense increased $1.2 million, or 13.3%, in the first quarter of 2015 compared to the first quarter of 2014. This increase is primarily due to the construction of new dealerships and dealership expansions.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interest expense decreased $0.2 million, or 6.1%, in the first quarter of 2015 compared to the first quarter of 2014. Net interest expense in 2015 will depend on inventory levels and the amount of cash available to make prepayments on our floor plan financing agreement with General Electric Capital Commercial, Inc. (the “GE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 factors described above, income from continuing operations before income taxes increased $7.8 million, or 39.6%, in the first quarter of 2015 compared to the first quarter of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taxes increased $3.0 million, or 39.5%, in the first quarter of 2015, compared to the first quarter of 2014. We provided for taxes at a 38.75% effective rate in the first quarter of 2015 and the first quarter of 2014. We expect our effective tax rate to be approximately 38% to 39% of pretax income in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March 31, 2015, we had working capital of approximately $133.8 million, including $47.3 million in cash available to fund our operations. We believe that these funds are sufficient to meet our operating requirements for at least the next twelve months. From time to time, we utilize our excess cash on hand to pay down our outstanding borrowings under the GE Credit Agreement and the resulting interest earned is recognized as an offset to our gross interest expense under the credit agreement.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 secured line of credit that provides for a maximum borrowing of $17.5 million. There were no advances outstanding under this secured line of credit at March 31, 2015, however, $15.3 million was pledged to secure various letters of credit related to self-insurance products, leaving $2.2 million available for future borrowings as of March 31, 2015.</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long-term real estate debt and floor plan financing agreements require us to satisfy various financial ratios such as the debt-to-worth ratio, leverage ratio and the fixed charge coverage ratio and certain requirements for tangible net worth and GAAP net worth. As of March 31, 2015, we were in compliance with all debt covenants related to debt secured by real estate and lease and rental units and our floor plan credit agreements. We do not anticipate any breach of the covenants in the foreseeable future.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to purchase or lease trucks worth approximately $200.0 million for our leasing operations during 2015, depending on customer demand, all of which will be financed. We also expect to make capital expenditures for recurring items such as computers, shop tools and equipment and vehicles of approximately $18.0 million to $20.0 million during 2015.</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currently under contracts to construct dealership facilities or remodel existing dealership facilities in San Antonio, Texas, at an estimated cost of $12.0 million, Odessa, Texas at an estimated cost of $10.9 million, Denver, Colorado at an estimated cost of $17.3 million, Cincinnati, Ohio at an estimated cost of $12.7 million, Columbus, Ohio at an estimated cost of $16.7 million and various other dealership facilities. These construction projects are estimated to continue through 2015. We are also under contract to purchase the dealership facility at our Rush Truck Center, Atlanta location for $6.0 million.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anticipate funding our capital expenditures relating to the improvement and expansion of existing facilities and recurring expenses through our operating cash flows. We expect to fund the construction or purchase of new facilities through either our operating cash flows or by financing 70% to 80% of the appraised value of such facility.</w:t>
      </w: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January 29, 2015, we announced that our Board of Directors authorized the repurchase, from time to time, of up to an aggregate of $40.0 million shares of Class A Common Stock and/or Class B Common Stock. The stock repurchase program extends the previous $40 million stock repurchase program that was announced on February 4, 2014 which was set to expire on February 3, 2015. During the first quarter of 2015, we purchased approximately $1.5 million of our Class B Common Stock under the repurchase program. Repurchases will be made at times and in amounts as we deem appropriate and will be made through open market transactions, privately negotiated transactions and other lawful means. The manner, timing and amount of any repurchases will be determined by us based on an evaluation of market conditions, stock price and other factors. The current stock repurchase program expires on February 3, 2016 and may be suspended or discontinued at any time. While the stock repurchase program does not obligate us to acquire any particular amount or class of common stock, we anticipate that it will be repurchasing primarily shares of our Class B Common Stock.</w:t>
      </w:r>
    </w:p>
    <w:p>
      <w:pPr>
        <w:spacing w:after="0" w:line="197"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On May 4, 2015, we acquired certain assets of Yancey Truck Centers, LLC, which operated commercial vehicle dealerships in Albany, Blackshear, Tifton, Valdosta, Augusta, Columbus and Macon, Georgia. These locations are operating as Rush Truck Centers and offer commercial vehicle sales, parts and service for International trucks. The Albany location also includes an Idealease commercial vehicle rental and leasing business. The transaction was valued at approximately $30.0 million, including real estate of $7.8 million, with the purchase price paid in cash.</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 other material commitments for capital expenditures as of March 31, 2015, except that we will continue to purchase vehicles for our lease and rental division and authorize capital expenditures for improvement and expansion of our existing dealership facilities and construction or purchase of new facilities based on market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Cash and cash equivalents decreased by $144.2 million during the three months ended March 31, 2015, and decreased by $122.9 million during the three months ended March 31, 2014.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Cash flows from operating activities include net income adjusted for non-cash items and the effects of changes in working capital. During the first quarter of 2015, operating activities resulted in net cash used in operations of $96.6 million. Net cash provided by operating activities primarily consisted of $16.8 million in net income, as well as non-cash adjustments related to depreciation and amortization of $34.0 million, deferred income taxes of $1.6 million, and stock-based compensation including tax benefit of $4.1 million. Cash used in operating activities included an aggregate of $150.5 million net change in operating assets and liabilities. Included in the net change in operating assets and liabilities were cash inflows of $11.9 from the decrease in prepaid expenses and other assets, net which were offset by cash outflows of $5.1 million from the net decrease in floor plan, trade, $84.9 million from increases in inventory, net of acquisitions, $34.8 million from an increase in accounts receivable, $31.3 million from decreases in accounts payable and accrued liabilities, and $6.3 million from a decrease in customer deposits. The majority of commercial vehicle inventory is financed through our floor plan credit agreements.</w:t>
      </w:r>
    </w:p>
    <w:p>
      <w:pPr>
        <w:spacing w:after="0" w:line="18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During the first quarter of 2014, operating activities resulted in net cash used by operations of $7.1 million. Cash used by operating activities was primarily impacted by the increase in inventories and receivables and the decrease in customer deposits and accrued liabilities, which was offset by the increase in trade payables and floor plan financing trade, net.</w:t>
      </w:r>
    </w:p>
    <w:p>
      <w:pPr>
        <w:spacing w:after="0" w:line="181"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In June 2012, we entered into a wholesale financing agreement with Ford Motor Credit Company that provides for the financing of, and is collateralized by, our Ford new vehicle inventory. This wholesale financing agreement bears interest at a rate of Prime plus 150 basis points minus certain incentives and rebates; however, the prime rate is defined to be a minimum of 3.75%. As of March 31, 2015, the interest rate on the wholesale financing agreement was 5.25% before considering the applicable incentives. As of March 31, 2015, we had an outstanding balance of $74.3 million under the Ford Motor Credit Company wholesale financing agreement.</w:t>
      </w: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During the first quarter of 2015, cash used in investing activities was $109.9 million. Cash flows used in investing activities consist primarily of cash used for capital expenditures and business acquisitions. Capital expenditures of $82.5 million consisted primarily of purchases of property and equipment and improvements to our existing dealership facilities. Property and equipment purchases during the first quarter of 2015 consisted of $53.0 million for additional units for the rental and leasing operations, which was directly offset by borrowings of long-term debt. Cash used for business acquisitions was $27.8 million during the quarter ended March 31, 2015. See Note 10 of the Notes to Consolidated Financial Statements for a detailed discussion of the business acquisitions. We expect to purchase or lease trucks worth approximately $200.0 million for our leasing operations in 2015, depending on customer demand, all of which will be financed. During 2015, we expect to make capital expenditures for recurring items such as computers, shop equipment and vehicles of $18.0 million to $20.0 million.</w:t>
      </w:r>
    </w:p>
    <w:p>
      <w:pPr>
        <w:spacing w:after="0" w:line="17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During the first quarter of 2014, cash used in investing activities was $194.2 million. Capital expenditures consisted of purchases of property and equipment and improvements to our existing dealership facilities of $53.2 million. Property and equipment purchases during the first quarter of 2014 consisted of $38.1 million for additional units for rental and leasing operations, which was directly offset by borrowings of long-term debt. Cash used for business acquisitions was $143.1 million during the quarter ended March 31,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Cash flows from financing activities include borrowings and repayments of long-term debt and net proceeds of floor plan notes payable, non-trade. During the first quarter of 2015, we generated $62.3 million in net cash flow from financing activities, primarily related to borrowings of $39.2 million of long-term debt, $71.7 million from net draws on floor plan notes payable, non-trade and $1.6 million from the issuance of shares related to equity compensation plans. These cash inflows were partially offset by cash outflows of $48.3 million used for principal repayments of long-term debt and capital lease obligations and $1.5 million used to purchase 56,077 shares of Rush Class B common stock during the first quarter of 2015. The borrowings of long-term debt were primarily related to purchasing units for the rental and leasing operations.</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the first quarter of 2014, we generated $78.4 million in net cash flow from financing activities, primarily related to borrowings of $61.9 million of long-term debt, $45.2 million from net draws on floor plan notes payable, non-trade and $1.9 million from the issuance of shares related to equity compensation plans. These cash inflows were partially offset by cash outflows of $27.9 million used for principal repayments of long-term debt and capital lease obligations and $3.8 million used to purchase 158,624 shares of Rush Class B common stock during the first quarter of 2014. The borrowings of long-term debt were primarily related to purchasing units for the rental and leasing operations.</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Most of our commercial vehicle purchases are made on terms requiring payment to the manufacturer within 15 days or less from the date the commercial vehicles are invoiced from the factory. During the first quarter of 2015, we financed the majority of all new commercial vehicle inventory and the loan value of our used commercial vehicle inventory under the GE Credit Agreement. On July 11, 2013, we entered into the third amendment to the GE Credit Agreement. The amendment increased the aggregate loan commitment to $750.0 million. Borrowings under the GE Credit Agreement bear interest at an annual rate equal to the three month LIBOR rate, determined on the last day of the prior month, plus 2.03% and are payable monthly. In addition, we are required to pay a monthly working capital fee equal to 0.35% per annum multiplied by the amount of voluntary prepayments of new and used inventory loans. Loans under the GE Credit Agreement for the purchase of used inventory are limited to $150.0 million. Pursuant to the third amendment, the GE Credit Agreement expires July 11, 2016, although GE Capital has the right to terminate the GE Credit Agreement at any time upon 120 days’ written notice. We may terminate the GE Credit Agreement at any time, although if we do so we must pay a prepayment processing fee of (i) $7,500,000 if it terminates on or prior to July 11, 2015 or (ii) $300,000 if it terminates thereafter, subject in each case to specified limited exceptions. On March 31, 2015, we had approximately $713.5 million outstanding under the GE Credit Agreement. The average daily outstanding borrowings under the GE Credit Agreement were $673.0 million during the quarter ended March 31, 2015. Periodically, we utilize our excess cash on hand to pay down our outstanding borrowings under the GE Credit Agreement, and the resulting interest earned is recognized as an offset to our gross interest expense under the GE Credit Agreement.</w:t>
      </w:r>
    </w:p>
    <w:p>
      <w:pPr>
        <w:spacing w:after="0" w:line="18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Navistar Financial Corporation and Peterbilt offer trade terms that provide an interest-free inventory stocking period for certain new commercial vehicles. If the commercial vehicle is not sold within the interest-free period, we then finance the commercial vehicle under the GE Credit Agreement.</w:t>
      </w:r>
    </w:p>
    <w:p>
      <w:pPr>
        <w:spacing w:after="0" w:line="36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March 31, 2015, our backlog of commercial vehicle orders was approximately $1,467.3 million as compared to a backlog of commercial vehicle orders of approximately $1,219.3 million on March 31, 2014.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March 31, 2015 and we expect to fill the majority of our backlog orders during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Our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trucks have ranged from a low of approximately 97,000 in 2009, to a high of approximately 291,000 in 2006. Through geographic expansion, concentration on higher margin Aftermarket Services and diversification of our customer base, we have taken steps to reduce the negative impact of adverse general economic conditions or cyclical trends affecting the heavy-duty truck industry on our earnings.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Other than operating leases, we do not have any obligation under any transaction, agreement or other contractual arrangement to which an entity unconsolidated with the Company is a party, that has or is reasonably likely to have a material effect on our financial condition, changes in financial condition, revenues or expenses, results of operations, liquidity, capital expenditures or capital resources and that is material to investors.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aftermarket services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ectPr>
          <w:pgSz w:w="11900" w:h="16838" w:orient="portrait"/>
          <w:cols w:equalWidth="0" w:num="1">
            <w:col w:w="11060"/>
          </w:cols>
          <w:pgMar w:left="240" w:top="118" w:right="59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type w:val="continuous"/>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federal Clean Water Act and comparable state statutes prohibit discharges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we do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impacts are known to exist at some of our current properties.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2010, the Environmental Protection Agency (“EPA”) and the U.S. Department of Transportation (“DOT”) announced the first national standards to reduce greenhouse gas (“GHG”) emissions and improve fuel efficiency of heavy-duty trucks and buses beginning in model year 2014. The final rules, which were issued on September 15, 2011, began to apply in 2014, and will be fully implemented in model year 2017. The EPA and DOT have announced plans to extend these standards beyond model year 2018, but have not yet proposed regulations. We do not believe that the foregoing standards will negatively impact our business, however, future legislation or other new regulations that may be adopted to address GHG emissions may negatively impact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We are exposed to some market risk through interest rates related to our floor plan financing agreements, variable rate real estate debt and discount rates related to finance sales. The majority of floor plan debt and variable rate real estate debt is based on LIBOR. As of March 31, 2015, we had floor plan borrowings and variable interest rate real estate debt of approximately $977.4 million. Assuming an increase or decrease in LIBOR of 100 basis points, annual interest expense could correspondingly increase or decrease by approximately $9.8 million.</w:t>
      </w:r>
    </w:p>
    <w:p>
      <w:pPr>
        <w:spacing w:after="0" w:line="171"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We offer all customer financing opportunities to various finance providers. We receive all finance charges in excess of a negotiated discount rate from the finance providers in the month following the date of the financing. The negotiated discount rate is variable, thus subject to interest rate fluctuations. This interest rate risk is mitigated by our ability to pass discount rate increases to customers through higher financing rates.</w:t>
      </w:r>
    </w:p>
    <w:p>
      <w:pPr>
        <w:spacing w:after="0" w:line="147"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We are exposed to some market risk through interest rate swaps on some of our variable interest rate real estate debt. As of March 31, 2015, we had interest rate swaps with a total notional amount of $20.4 million. The swaps were designed to provide a hedge against changes in interest rates on some of our variable interest rate real estate debt. The swaps are collateralized by the underlying real estate. These interest rate swaps qualify for cash flow hedge accounting treatment and are considered effective. For additional information about the effect of our derivative instruments on the accompanying consolidated financial statements, see Note 6 – Financial Instruments and Fair Value of the Notes to Consolidated Financial Statements.</w:t>
      </w:r>
    </w:p>
    <w:p>
      <w:pPr>
        <w:spacing w:after="0" w:line="158"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We are also exposed to some market risk through interest rates related to the investment of our current cash and cash equivalents which totaled $47.3 million on March 31, 2015. These funds are generally invested in variable interest rate instruments in accordance with our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our annual interest income could correspondingly increase or decrease by approximately $0.5 million.</w:t>
      </w:r>
    </w:p>
    <w:p>
      <w:pPr>
        <w:spacing w:after="0" w:line="200" w:lineRule="exact"/>
        <w:rPr>
          <w:sz w:val="20"/>
          <w:szCs w:val="20"/>
          <w:color w:val="auto"/>
        </w:rPr>
      </w:pPr>
    </w:p>
    <w:p>
      <w:pPr>
        <w:spacing w:after="0" w:line="23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8" w:right="59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past, we invested in interest-bearing short-term investments consisting of investment-grade auction rate securities classified as available-for-sale. Auctions for investment grade securities held by us have failed. The auction rate securities continue to pay interest in accordance with the terms of the underlying security; however, liquidity will be limited until there is a successful auction or until such time as other markets for these investments develop. As of March 31, 2015, we hold auction rate securities, with underlying tax-exempt municipal bonds that mature in 2030, that have a fair value of $6.9 million. Given the current market conditions in the auction rate securities market, if we determine that the fair value of these securities temporarily decreases by an additional 10%, our equity could correspondingly decrease by approximately $700,000. If it is determined that the fair value of these securities is other-than-temporarily impaired by 10%, we could record a loss on our Consolidated Statements of Income of approximately $700,000. For further discussion of the risks related to our auction rate securities, see Note 6 – Financial Instruments and Fair Value of the 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March 31, 2015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three months ended March 31, 2015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2014 Annual Report on Form 10-K (the “2014 Annual Report”) describes some of the risks and uncertainties associated with our business that have the potential to materially affect our business, financial condition or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material change in our risk factors disclosed in our 2014 Annual Report.</w:t>
      </w:r>
    </w:p>
    <w:p>
      <w:pPr>
        <w:spacing w:after="0" w:line="200" w:lineRule="exact"/>
        <w:rPr>
          <w:sz w:val="20"/>
          <w:szCs w:val="20"/>
          <w:color w:val="auto"/>
        </w:rPr>
      </w:pPr>
    </w:p>
    <w:p>
      <w:pPr>
        <w:spacing w:after="0" w:line="26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118" w:right="61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make any unregistered sales of equity securities during the first quarter of 2015.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repurchase activity for the Company’s first quarter of 2015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Purchased as</w:t>
            </w: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Part of</w:t>
            </w: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Total Number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Publicly</w:t>
            </w: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of Shares</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Average Price</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Purchased</w:t>
            </w: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Paid Per</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Plans or</w:t>
            </w: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Plans or</w:t>
            </w:r>
          </w:p>
        </w:tc>
        <w:tc>
          <w:tcPr>
            <w:tcW w:w="0" w:type="dxa"/>
            <w:vAlign w:val="bottom"/>
          </w:tcPr>
          <w:p>
            <w:pPr>
              <w:spacing w:after="0"/>
              <w:rPr>
                <w:sz w:val="1"/>
                <w:szCs w:val="1"/>
                <w:color w:val="auto"/>
              </w:rPr>
            </w:pPr>
          </w:p>
        </w:tc>
      </w:t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3"/>
              </w:rPr>
              <w:t>(1)(2)(3)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Share (1)</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Programs (2)</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Programs (3)</w:t>
            </w: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 January 31, 2015</w:t>
            </w: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25,367</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27,712,361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February 1 – February 28, 2015</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30,710</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26.29</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30,710</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39,192,546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March 1 – March 31, 2015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39,192,546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56,077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56,077</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39,192,546</w:t>
            </w:r>
          </w:p>
        </w:tc>
        <w:tc>
          <w:tcPr>
            <w:tcW w:w="0" w:type="dxa"/>
            <w:vAlign w:val="bottom"/>
          </w:tcPr>
          <w:p>
            <w:pPr>
              <w:spacing w:after="0"/>
              <w:rPr>
                <w:sz w:val="1"/>
                <w:szCs w:val="1"/>
                <w:color w:val="auto"/>
              </w:rPr>
            </w:pPr>
          </w:p>
        </w:tc>
      </w:tr>
      <w:tr>
        <w:trPr>
          <w:trHeight w:val="210"/>
        </w:trPr>
        <w:tc>
          <w:tcPr>
            <w:tcW w:w="5960" w:type="dxa"/>
            <w:vAlign w:val="bottom"/>
            <w:gridSpan w:val="2"/>
          </w:tcPr>
          <w:p>
            <w:pPr>
              <w:jc w:val="right"/>
              <w:ind w:right="4550"/>
              <w:spacing w:after="0"/>
              <w:rPr>
                <w:sz w:val="20"/>
                <w:szCs w:val="20"/>
                <w:color w:val="auto"/>
              </w:rPr>
            </w:pPr>
            <w:r>
              <w:rPr>
                <w:rFonts w:ascii="Arial" w:cs="Arial" w:eastAsia="Arial" w:hAnsi="Arial"/>
                <w:sz w:val="18"/>
                <w:szCs w:val="18"/>
                <w:color w:val="auto"/>
                <w:w w:val="92"/>
              </w:rPr>
              <w:t>______________</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right="380" w:hanging="652"/>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shares represent Class B Common Stock repurchased by the Company.</w:t>
      </w:r>
    </w:p>
    <w:p>
      <w:pPr>
        <w:spacing w:after="0" w:line="9" w:lineRule="exact"/>
        <w:rPr>
          <w:rFonts w:ascii="Arial" w:cs="Arial" w:eastAsia="Arial" w:hAnsi="Arial"/>
          <w:sz w:val="18"/>
          <w:szCs w:val="18"/>
          <w:color w:val="auto"/>
        </w:rPr>
      </w:pPr>
    </w:p>
    <w:p>
      <w:pPr>
        <w:jc w:val="both"/>
        <w:ind w:left="660" w:hanging="652"/>
        <w:spacing w:after="0" w:line="271"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repurchased shares under a stock repurchase program announced on February 4, 2014, which authorized the repurchase of up to $40.0 million of its shares of Class A Common Stock and/or Class B Common Stock. The stock repurchase program was set to expire on February 3, 2015. The Company announced an extension of the $40 million stock program on January 29, 2015, which terminates on February 3, 2016. During the first quarter of 2015, the Company purchased 25,367 shares of Class B Common Stock under the program announced February 4, 2014 and 30,710 shares of Class B Common Stock under the program announced January 29, 2015.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98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9800" w:type="dxa"/>
            <w:vAlign w:val="bottom"/>
            <w:gridSpan w:val="2"/>
          </w:tcPr>
          <w:p>
            <w:pPr>
              <w:ind w:left="10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9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340" w:type="dxa"/>
            <w:vAlign w:val="bottom"/>
          </w:tcPr>
          <w:p>
            <w:pPr>
              <w:jc w:val="center"/>
              <w:spacing w:after="0" w:line="195" w:lineRule="exact"/>
              <w:rPr>
                <w:sz w:val="20"/>
                <w:szCs w:val="20"/>
                <w:color w:val="auto"/>
              </w:rPr>
            </w:pPr>
            <w:r>
              <w:rPr>
                <w:rFonts w:ascii="Arial" w:cs="Arial" w:eastAsia="Arial" w:hAnsi="Arial"/>
                <w:sz w:val="18"/>
                <w:szCs w:val="18"/>
                <w:color w:val="auto"/>
                <w:w w:val="87"/>
              </w:rPr>
              <w:t>3.1</w:t>
            </w:r>
          </w:p>
        </w:tc>
        <w:tc>
          <w:tcPr>
            <w:tcW w:w="100" w:type="dxa"/>
            <w:vAlign w:val="bottom"/>
            <w:vMerge w:val="continue"/>
          </w:tcPr>
          <w:p>
            <w:pPr>
              <w:spacing w:after="0"/>
              <w:rPr>
                <w:sz w:val="16"/>
                <w:szCs w:val="16"/>
                <w:color w:val="auto"/>
              </w:rPr>
            </w:pPr>
          </w:p>
        </w:tc>
        <w:tc>
          <w:tcPr>
            <w:tcW w:w="9700" w:type="dxa"/>
            <w:vAlign w:val="bottom"/>
          </w:tcPr>
          <w:p>
            <w:pPr>
              <w:spacing w:after="0" w:line="195" w:lineRule="exact"/>
              <w:rPr>
                <w:sz w:val="20"/>
                <w:szCs w:val="20"/>
                <w:color w:val="auto"/>
              </w:rPr>
            </w:pPr>
            <w:r>
              <w:rPr>
                <w:rFonts w:ascii="Arial" w:cs="Arial" w:eastAsia="Arial" w:hAnsi="Arial"/>
                <w:sz w:val="18"/>
                <w:szCs w:val="18"/>
                <w:color w:val="auto"/>
                <w:w w:val="97"/>
              </w:rPr>
              <w:t>Restated Articles of Incorporation of Rush Enterprises, Inc. (incorporated herein by reference to Exhibit 3.1 of the Company’s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Quarterly Report on Form 10-Q (File No. 000-20797) for the quarter ended June 30, 2008)</w:t>
            </w:r>
          </w:p>
        </w:tc>
        <w:tc>
          <w:tcPr>
            <w:tcW w:w="0" w:type="dxa"/>
            <w:vAlign w:val="bottom"/>
          </w:tcPr>
          <w:p>
            <w:pPr>
              <w:spacing w:after="0"/>
              <w:rPr>
                <w:sz w:val="1"/>
                <w:szCs w:val="1"/>
                <w:color w:val="auto"/>
              </w:rPr>
            </w:pPr>
          </w:p>
        </w:tc>
      </w:tr>
      <w:tr>
        <w:trPr>
          <w:trHeight w:val="418"/>
        </w:trPr>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4"/>
              </w:rPr>
              <w:t>Rush Enterprises, Inc. Amended and Restated Bylaws (incorporated herein by reference to Exhibit 3.1 of the Company’s Current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Report on Form 8-K (File No. 000-20797) filed May 21,2013)</w:t>
            </w:r>
          </w:p>
        </w:tc>
        <w:tc>
          <w:tcPr>
            <w:tcW w:w="0" w:type="dxa"/>
            <w:vAlign w:val="bottom"/>
          </w:tcPr>
          <w:p>
            <w:pPr>
              <w:spacing w:after="0"/>
              <w:rPr>
                <w:sz w:val="1"/>
                <w:szCs w:val="1"/>
                <w:color w:val="auto"/>
              </w:rPr>
            </w:pPr>
          </w:p>
        </w:tc>
      </w:tr>
      <w:tr>
        <w:trPr>
          <w:trHeight w:val="432"/>
        </w:trPr>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5"/>
              </w:rPr>
              <w:t>31.1*</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1"/>
              </w:rPr>
              <w:t>Certification of CEO pursuant to Rules 13a-14(a) and 15d-14(a) adopted pursuant to Section 302 of the Sarbanes-Oxley Act of 2002.</w:t>
            </w:r>
          </w:p>
        </w:tc>
        <w:tc>
          <w:tcPr>
            <w:tcW w:w="0" w:type="dxa"/>
            <w:vAlign w:val="bottom"/>
          </w:tcPr>
          <w:p>
            <w:pPr>
              <w:spacing w:after="0"/>
              <w:rPr>
                <w:sz w:val="1"/>
                <w:szCs w:val="1"/>
                <w:color w:val="auto"/>
              </w:rPr>
            </w:pPr>
          </w:p>
        </w:tc>
      </w:tr>
      <w:tr>
        <w:trPr>
          <w:trHeight w:val="432"/>
        </w:trPr>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5"/>
              </w:rPr>
              <w:t>31.2*</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1"/>
              </w:rPr>
              <w:t>Certification of CFO pursuant to Rules 13a-14(a) and 15d-14(a) adopted pursuant to Section 302 of the Sarbanes-Oxley Act of 2002.</w:t>
            </w:r>
          </w:p>
        </w:tc>
        <w:tc>
          <w:tcPr>
            <w:tcW w:w="0" w:type="dxa"/>
            <w:vAlign w:val="bottom"/>
          </w:tcPr>
          <w:p>
            <w:pPr>
              <w:spacing w:after="0"/>
              <w:rPr>
                <w:sz w:val="1"/>
                <w:szCs w:val="1"/>
                <w:color w:val="auto"/>
              </w:rPr>
            </w:pPr>
          </w:p>
        </w:tc>
      </w:tr>
      <w:tr>
        <w:trPr>
          <w:trHeight w:val="432"/>
        </w:trPr>
        <w:tc>
          <w:tcPr>
            <w:tcW w:w="1360" w:type="dxa"/>
            <w:vAlign w:val="bottom"/>
            <w:gridSpan w:val="2"/>
          </w:tcPr>
          <w:p>
            <w:pPr>
              <w:jc w:val="center"/>
              <w:spacing w:after="0"/>
              <w:rPr>
                <w:sz w:val="20"/>
                <w:szCs w:val="20"/>
                <w:color w:val="auto"/>
              </w:rPr>
            </w:pPr>
            <w:r>
              <w:rPr>
                <w:rFonts w:ascii="Arial" w:cs="Arial" w:eastAsia="Arial" w:hAnsi="Arial"/>
                <w:sz w:val="18"/>
                <w:szCs w:val="18"/>
                <w:color w:val="auto"/>
              </w:rPr>
              <w:t>32.1**</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4"/>
              </w:rPr>
              <w:t>Certification of CEO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32"/>
        </w:trPr>
        <w:tc>
          <w:tcPr>
            <w:tcW w:w="1360" w:type="dxa"/>
            <w:vAlign w:val="bottom"/>
            <w:gridSpan w:val="2"/>
          </w:tcPr>
          <w:p>
            <w:pPr>
              <w:jc w:val="center"/>
              <w:spacing w:after="0"/>
              <w:rPr>
                <w:sz w:val="20"/>
                <w:szCs w:val="20"/>
                <w:color w:val="auto"/>
              </w:rPr>
            </w:pPr>
            <w:r>
              <w:rPr>
                <w:rFonts w:ascii="Arial" w:cs="Arial" w:eastAsia="Arial" w:hAnsi="Arial"/>
                <w:sz w:val="18"/>
                <w:szCs w:val="18"/>
                <w:color w:val="auto"/>
              </w:rPr>
              <w:t>32.2**</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w w:val="94"/>
              </w:rPr>
              <w:t>Certification of CFO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18"/>
        </w:trPr>
        <w:tc>
          <w:tcPr>
            <w:tcW w:w="13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3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80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RUSH ENTERPRISES,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spacing w:after="0"/>
        <w:tabs>
          <w:tab w:leader="none" w:pos="640" w:val="left"/>
          <w:tab w:leader="none" w:pos="5700" w:val="left"/>
        </w:tabs>
        <w:rPr>
          <w:sz w:val="20"/>
          <w:szCs w:val="20"/>
          <w:color w:val="auto"/>
        </w:rPr>
      </w:pPr>
      <w:r>
        <w:rPr>
          <w:rFonts w:ascii="Arial" w:cs="Arial" w:eastAsia="Arial" w:hAnsi="Arial"/>
          <w:sz w:val="18"/>
          <w:szCs w:val="18"/>
          <w:color w:val="auto"/>
        </w:rPr>
        <w:t>Date:</w:t>
        <w:tab/>
        <w:t>May 11, 2015</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u w:val="single" w:color="auto"/>
          <w:color w:val="auto"/>
        </w:rPr>
        <w:t>/s/ W.M. “RUSTY” RUSH</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W.M. “Rusty” Rush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Chief Executive Officer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tabs>
          <w:tab w:leader="none" w:pos="640" w:val="left"/>
          <w:tab w:leader="none" w:pos="5700" w:val="left"/>
        </w:tabs>
        <w:rPr>
          <w:sz w:val="20"/>
          <w:szCs w:val="20"/>
          <w:color w:val="auto"/>
        </w:rPr>
      </w:pPr>
      <w:r>
        <w:rPr>
          <w:rFonts w:ascii="Arial" w:cs="Arial" w:eastAsia="Arial" w:hAnsi="Arial"/>
          <w:sz w:val="18"/>
          <w:szCs w:val="18"/>
          <w:color w:val="auto"/>
        </w:rPr>
        <w:t>Date:</w:t>
        <w:tab/>
        <w:t>May 11, 2015</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u w:val="single" w:color="auto"/>
          <w:color w:val="auto"/>
        </w:rPr>
        <w:t>/s/ STEVEN L. KELLER</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Steven L. Keller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Chief Financial Officer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0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20"/>
          </w:cols>
          <w:pgMar w:left="240" w:top="118" w:right="6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33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04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40" w:type="dxa"/>
            <w:vAlign w:val="bottom"/>
            <w:gridSpan w:val="2"/>
          </w:tcPr>
          <w:p>
            <w:pPr>
              <w:ind w:left="12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9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360" w:type="dxa"/>
            <w:vAlign w:val="bottom"/>
          </w:tcPr>
          <w:p>
            <w:pPr>
              <w:jc w:val="center"/>
              <w:spacing w:after="0" w:line="195" w:lineRule="exact"/>
              <w:rPr>
                <w:sz w:val="20"/>
                <w:szCs w:val="20"/>
                <w:color w:val="auto"/>
              </w:rPr>
            </w:pPr>
            <w:r>
              <w:rPr>
                <w:rFonts w:ascii="Arial" w:cs="Arial" w:eastAsia="Arial" w:hAnsi="Arial"/>
                <w:sz w:val="18"/>
                <w:szCs w:val="18"/>
                <w:color w:val="auto"/>
                <w:w w:val="87"/>
              </w:rPr>
              <w:t>3.1</w:t>
            </w:r>
          </w:p>
        </w:tc>
        <w:tc>
          <w:tcPr>
            <w:tcW w:w="120" w:type="dxa"/>
            <w:vAlign w:val="bottom"/>
            <w:vMerge w:val="continue"/>
          </w:tcPr>
          <w:p>
            <w:pPr>
              <w:spacing w:after="0"/>
              <w:rPr>
                <w:sz w:val="16"/>
                <w:szCs w:val="16"/>
                <w:color w:val="auto"/>
              </w:rPr>
            </w:pPr>
          </w:p>
        </w:tc>
        <w:tc>
          <w:tcPr>
            <w:tcW w:w="9920" w:type="dxa"/>
            <w:vAlign w:val="bottom"/>
          </w:tcPr>
          <w:p>
            <w:pPr>
              <w:spacing w:after="0" w:line="195" w:lineRule="exact"/>
              <w:rPr>
                <w:sz w:val="20"/>
                <w:szCs w:val="20"/>
                <w:color w:val="auto"/>
              </w:rPr>
            </w:pPr>
            <w:r>
              <w:rPr>
                <w:rFonts w:ascii="Arial" w:cs="Arial" w:eastAsia="Arial" w:hAnsi="Arial"/>
                <w:sz w:val="18"/>
                <w:szCs w:val="18"/>
                <w:color w:val="auto"/>
                <w:w w:val="92"/>
              </w:rPr>
              <w:t>Restated Articles of Incorporation of Rush Enterprises, Inc. (incorporated herein by reference to Exhibit 3.1 of the Company’s Quarterly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Report on Form 10-Q (File No. 000-20797) for the quarter ended June 30, 2008)</w:t>
            </w:r>
          </w:p>
        </w:tc>
        <w:tc>
          <w:tcPr>
            <w:tcW w:w="0" w:type="dxa"/>
            <w:vAlign w:val="bottom"/>
          </w:tcPr>
          <w:p>
            <w:pPr>
              <w:spacing w:after="0"/>
              <w:rPr>
                <w:sz w:val="1"/>
                <w:szCs w:val="1"/>
                <w:color w:val="auto"/>
              </w:rPr>
            </w:pPr>
          </w:p>
        </w:tc>
      </w:tr>
      <w:tr>
        <w:trPr>
          <w:trHeight w:val="418"/>
        </w:trPr>
        <w:tc>
          <w:tcPr>
            <w:tcW w:w="138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1"/>
              </w:rPr>
              <w:t>Rush Enterprises, Inc. Amended and Restated Bylaws (incorporated herein by reference to Exhibit 3.1 of the Company’s Current Report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on Form 8-K (File No. 000-20797) filed May 21,2013)</w:t>
            </w:r>
          </w:p>
        </w:tc>
        <w:tc>
          <w:tcPr>
            <w:tcW w:w="0" w:type="dxa"/>
            <w:vAlign w:val="bottom"/>
          </w:tcPr>
          <w:p>
            <w:pPr>
              <w:spacing w:after="0"/>
              <w:rPr>
                <w:sz w:val="1"/>
                <w:szCs w:val="1"/>
                <w:color w:val="auto"/>
              </w:rPr>
            </w:pPr>
          </w:p>
        </w:tc>
      </w:tr>
      <w:tr>
        <w:trPr>
          <w:trHeight w:val="432"/>
        </w:trPr>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5"/>
              </w:rPr>
              <w:t>31.1*</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3"/>
              </w:rPr>
              <w:t>Certification of CEO pursuant to Rules 13a-14(a) and 15d-14(a) adopted pursuant to Section 302 of the Sarbanes-Oxley Act of 2002.</w:t>
            </w:r>
          </w:p>
        </w:tc>
        <w:tc>
          <w:tcPr>
            <w:tcW w:w="0" w:type="dxa"/>
            <w:vAlign w:val="bottom"/>
          </w:tcPr>
          <w:p>
            <w:pPr>
              <w:spacing w:after="0"/>
              <w:rPr>
                <w:sz w:val="1"/>
                <w:szCs w:val="1"/>
                <w:color w:val="auto"/>
              </w:rPr>
            </w:pPr>
          </w:p>
        </w:tc>
      </w:tr>
      <w:tr>
        <w:trPr>
          <w:trHeight w:val="432"/>
        </w:trPr>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5"/>
              </w:rPr>
              <w:t>31.2*</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3"/>
              </w:rPr>
              <w:t>Certification of CFO pursuant to Rules 13a-14(a) and 15d-14(a) adopted pursuant to Section 302 of the Sarbanes-Oxley Act of 2002.</w:t>
            </w:r>
          </w:p>
        </w:tc>
        <w:tc>
          <w:tcPr>
            <w:tcW w:w="0" w:type="dxa"/>
            <w:vAlign w:val="bottom"/>
          </w:tcPr>
          <w:p>
            <w:pPr>
              <w:spacing w:after="0"/>
              <w:rPr>
                <w:sz w:val="1"/>
                <w:szCs w:val="1"/>
                <w:color w:val="auto"/>
              </w:rPr>
            </w:pPr>
          </w:p>
        </w:tc>
      </w:tr>
      <w:tr>
        <w:trPr>
          <w:trHeight w:val="432"/>
        </w:trPr>
        <w:tc>
          <w:tcPr>
            <w:tcW w:w="1380" w:type="dxa"/>
            <w:vAlign w:val="bottom"/>
            <w:gridSpan w:val="2"/>
          </w:tcPr>
          <w:p>
            <w:pPr>
              <w:jc w:val="center"/>
              <w:spacing w:after="0"/>
              <w:rPr>
                <w:sz w:val="20"/>
                <w:szCs w:val="20"/>
                <w:color w:val="auto"/>
              </w:rPr>
            </w:pPr>
            <w:r>
              <w:rPr>
                <w:rFonts w:ascii="Arial" w:cs="Arial" w:eastAsia="Arial" w:hAnsi="Arial"/>
                <w:sz w:val="18"/>
                <w:szCs w:val="18"/>
                <w:color w:val="auto"/>
              </w:rPr>
              <w:t>32.1**</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6"/>
              </w:rPr>
              <w:t>Certification of CEO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32"/>
        </w:trPr>
        <w:tc>
          <w:tcPr>
            <w:tcW w:w="1380" w:type="dxa"/>
            <w:vAlign w:val="bottom"/>
            <w:gridSpan w:val="2"/>
          </w:tcPr>
          <w:p>
            <w:pPr>
              <w:jc w:val="center"/>
              <w:spacing w:after="0"/>
              <w:rPr>
                <w:sz w:val="20"/>
                <w:szCs w:val="20"/>
                <w:color w:val="auto"/>
              </w:rPr>
            </w:pPr>
            <w:r>
              <w:rPr>
                <w:rFonts w:ascii="Arial" w:cs="Arial" w:eastAsia="Arial" w:hAnsi="Arial"/>
                <w:sz w:val="18"/>
                <w:szCs w:val="18"/>
                <w:color w:val="auto"/>
              </w:rPr>
              <w:t>32.2**</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7"/>
              </w:rPr>
              <w:t>Certification of CFO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18"/>
        </w:trPr>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100" w:hanging="652"/>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20" w:firstLine="8"/>
        <w:spacing w:after="0" w:line="342" w:lineRule="auto"/>
        <w:tabs>
          <w:tab w:leader="none" w:pos="391"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389"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44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263"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10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308" w:lineRule="auto"/>
        <w:tabs>
          <w:tab w:leader="none" w:pos="1172"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167"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308" w:lineRule="auto"/>
        <w:tabs>
          <w:tab w:leader="none" w:pos="37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1213"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146"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
        <w:spacing w:after="0"/>
        <w:tabs>
          <w:tab w:leader="none" w:pos="640" w:val="left"/>
          <w:tab w:leader="none" w:pos="5700" w:val="left"/>
        </w:tabs>
        <w:rPr>
          <w:sz w:val="20"/>
          <w:szCs w:val="20"/>
          <w:color w:val="auto"/>
        </w:rPr>
      </w:pPr>
      <w:r>
        <w:rPr>
          <w:rFonts w:ascii="Arial" w:cs="Arial" w:eastAsia="Arial" w:hAnsi="Arial"/>
          <w:sz w:val="18"/>
          <w:szCs w:val="18"/>
          <w:color w:val="auto"/>
        </w:rPr>
        <w:t>Date:</w:t>
        <w:tab/>
        <w:t>May 11, 2015</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u w:val="single" w:color="auto"/>
          <w:color w:val="auto"/>
        </w:rPr>
        <w:t>/s/ W.M. “RUSTY” RUSH</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W.M. “Rusty” Rush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Chief Executive Officer and Chairman of</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Board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40"/>
          </w:cols>
          <w:pgMar w:left="240" w:top="125" w:right="6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20" w:firstLine="8"/>
        <w:spacing w:after="0" w:line="342" w:lineRule="auto"/>
        <w:tabs>
          <w:tab w:leader="none" w:pos="391"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3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4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263"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1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308" w:lineRule="auto"/>
        <w:tabs>
          <w:tab w:leader="none" w:pos="1172"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1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308" w:lineRule="auto"/>
        <w:tabs>
          <w:tab w:leader="none" w:pos="374"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1213"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146"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
        <w:spacing w:after="0"/>
        <w:tabs>
          <w:tab w:leader="none" w:pos="640" w:val="left"/>
          <w:tab w:leader="none" w:pos="5700" w:val="left"/>
        </w:tabs>
        <w:rPr>
          <w:sz w:val="20"/>
          <w:szCs w:val="20"/>
          <w:color w:val="auto"/>
        </w:rPr>
      </w:pPr>
      <w:r>
        <w:rPr>
          <w:rFonts w:ascii="Arial" w:cs="Arial" w:eastAsia="Arial" w:hAnsi="Arial"/>
          <w:sz w:val="18"/>
          <w:szCs w:val="18"/>
          <w:color w:val="auto"/>
        </w:rPr>
        <w:t>Date:</w:t>
        <w:tab/>
        <w:t>May 11, 2015</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u w:val="single" w:color="auto"/>
          <w:color w:val="auto"/>
        </w:rPr>
        <w:t>/s/ STEVEN L. KELLER</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Steven L. Keller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Chief Financial Officer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40"/>
          </w:cols>
          <w:pgMar w:left="240" w:top="125" w:right="6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In connection with this quarterly report of Rush Enterprises, Inc.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period ended March 31, 2015,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W.M. “Rusty” Rush, President, Chief Executive Officer and Chairman of the Board of the Company, certify, pursuant to 18 U.S.C. Section 1350, as adopted pursuant to Section 906 of the Sarbanes-Oxley Act of 2002, that:</w:t>
      </w:r>
    </w:p>
    <w:p>
      <w:pPr>
        <w:spacing w:after="0" w:line="147"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6" w:lineRule="exact"/>
        <w:rPr>
          <w:sz w:val="20"/>
          <w:szCs w:val="20"/>
          <w:color w:val="auto"/>
        </w:rPr>
      </w:pPr>
    </w:p>
    <w:tbl>
      <w:tblPr>
        <w:tblLayout w:type="fixed"/>
        <w:tblInd w:w="572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560" w:type="dxa"/>
            <w:vAlign w:val="bottom"/>
            <w:gridSpan w:val="2"/>
          </w:tcPr>
          <w:p>
            <w:pPr>
              <w:spacing w:after="0"/>
              <w:rPr>
                <w:sz w:val="20"/>
                <w:szCs w:val="20"/>
                <w:color w:val="auto"/>
              </w:rPr>
            </w:pPr>
            <w:r>
              <w:rPr>
                <w:rFonts w:ascii="Arial" w:cs="Arial" w:eastAsia="Arial" w:hAnsi="Arial"/>
                <w:sz w:val="18"/>
                <w:szCs w:val="18"/>
                <w:color w:val="auto"/>
              </w:rPr>
              <w:t>/s/ W.M. “RUSTY” RUSH</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W.M. “Rusty” Rush</w:t>
            </w:r>
          </w:p>
        </w:tc>
        <w:tc>
          <w:tcPr>
            <w:tcW w:w="1620" w:type="dxa"/>
            <w:vAlign w:val="bottom"/>
          </w:tcPr>
          <w:p>
            <w:pPr>
              <w:spacing w:after="0"/>
              <w:rPr>
                <w:sz w:val="19"/>
                <w:szCs w:val="19"/>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gridSpan w:val="2"/>
          </w:tcPr>
          <w:p>
            <w:pPr>
              <w:spacing w:after="0"/>
              <w:rPr>
                <w:sz w:val="20"/>
                <w:szCs w:val="20"/>
                <w:color w:val="auto"/>
              </w:rPr>
            </w:pPr>
            <w:r>
              <w:rPr>
                <w:rFonts w:ascii="Arial" w:cs="Arial" w:eastAsia="Arial" w:hAnsi="Arial"/>
                <w:sz w:val="18"/>
                <w:szCs w:val="18"/>
                <w:color w:val="auto"/>
                <w:w w:val="91"/>
              </w:rPr>
              <w:t>President, Chief Executive Officer and Chairman</w:t>
            </w:r>
          </w:p>
        </w:tc>
      </w:tr>
      <w:tr>
        <w:trPr>
          <w:trHeight w:val="216"/>
        </w:trPr>
        <w:tc>
          <w:tcPr>
            <w:tcW w:w="68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of the Board</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3560" w:type="dxa"/>
            <w:vAlign w:val="bottom"/>
            <w:gridSpan w:val="2"/>
          </w:tcPr>
          <w:p>
            <w:pPr>
              <w:spacing w:after="0"/>
              <w:rPr>
                <w:sz w:val="20"/>
                <w:szCs w:val="20"/>
                <w:color w:val="auto"/>
              </w:rPr>
            </w:pPr>
            <w:r>
              <w:rPr>
                <w:rFonts w:ascii="Arial" w:cs="Arial" w:eastAsia="Arial" w:hAnsi="Arial"/>
                <w:sz w:val="18"/>
                <w:szCs w:val="18"/>
                <w:color w:val="auto"/>
              </w:rPr>
              <w:t>May 11, 2015</w:t>
            </w:r>
          </w:p>
        </w:tc>
      </w:tr>
    </w:tbl>
    <w:p>
      <w:pPr>
        <w:spacing w:after="0" w:line="200" w:lineRule="exact"/>
        <w:rPr>
          <w:sz w:val="20"/>
          <w:szCs w:val="20"/>
          <w:color w:val="auto"/>
        </w:rPr>
      </w:pPr>
    </w:p>
    <w:p>
      <w:pPr>
        <w:spacing w:after="0" w:line="27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this quarterly report of Rush Enterprises, Inc.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period ended March 31, 2015,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Steven L. Keller, Senior Vice President, Chief Financial Officer and Treasurer of the Company, certify, pursuant to 18 U.S.C. Section 1350, as adopted pursuant to Section 906 of the Sarbanes-Oxley Act of 2002, that:</w:t>
      </w:r>
    </w:p>
    <w:p>
      <w:pPr>
        <w:spacing w:after="0" w:line="147"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STEVEN L. KELLER</w:t>
      </w:r>
    </w:p>
    <w:p>
      <w:pPr>
        <w:spacing w:after="0" w:line="5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Name:Steven L. Keller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Senior Vice President, Chief Financial Officer and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 May 11, 2015</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40"/>
      </w:cols>
      <w:pgMar w:left="240" w:top="368"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endash "/>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2019-12-29T17:23:55Z</dcterms:created>
  <dcterms:modified xsi:type="dcterms:W3CDTF">2019-12-29T17:23:55Z</dcterms:modified>
</cp:coreProperties>
</file>