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11"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2023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2440" w:right="1900" w:hanging="2432"/>
        <w:spacing w:after="0" w:line="524" w:lineRule="auto"/>
        <w:tabs>
          <w:tab w:leader="none" w:pos="65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_____________________ to _______________________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0-20797</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RUSH ENTERPRISES,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p>
      <w:pPr>
        <w:ind w:left="2600"/>
        <w:spacing w:after="0"/>
        <w:tabs>
          <w:tab w:leader="none" w:pos="7980" w:val="left"/>
        </w:tabs>
        <w:rPr>
          <w:sz w:val="20"/>
          <w:szCs w:val="20"/>
          <w:color w:val="auto"/>
        </w:rPr>
      </w:pPr>
      <w:r>
        <w:rPr>
          <w:rFonts w:ascii="Arial" w:cs="Arial" w:eastAsia="Arial" w:hAnsi="Arial"/>
          <w:sz w:val="18"/>
          <w:szCs w:val="18"/>
          <w:color w:val="auto"/>
        </w:rPr>
        <w:t>Texas</w:t>
      </w:r>
      <w:r>
        <w:rPr>
          <w:sz w:val="20"/>
          <w:szCs w:val="20"/>
          <w:color w:val="auto"/>
        </w:rPr>
        <w:tab/>
      </w:r>
      <w:r>
        <w:rPr>
          <w:rFonts w:ascii="Arial" w:cs="Arial" w:eastAsia="Arial" w:hAnsi="Arial"/>
          <w:sz w:val="18"/>
          <w:szCs w:val="18"/>
          <w:color w:val="auto"/>
        </w:rPr>
        <w:t>74-1733016</w:t>
      </w:r>
    </w:p>
    <w:p>
      <w:pPr>
        <w:spacing w:after="0" w:line="23" w:lineRule="exact"/>
        <w:rPr>
          <w:sz w:val="24"/>
          <w:szCs w:val="24"/>
          <w:color w:val="auto"/>
        </w:rPr>
      </w:pPr>
    </w:p>
    <w:p>
      <w:pPr>
        <w:ind w:left="1780"/>
        <w:spacing w:after="0"/>
        <w:tabs>
          <w:tab w:leader="none" w:pos="710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7"/>
          <w:szCs w:val="17"/>
          <w:color w:val="auto"/>
        </w:rPr>
        <w:t>(I.R.S. Employer Identification No.)</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incorporation or organization)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Braunfels, Texas 78130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(830) 302-5200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ind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7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2" w:lineRule="exact"/>
        <w:rPr>
          <w:sz w:val="24"/>
          <w:szCs w:val="24"/>
          <w:color w:val="auto"/>
        </w:rPr>
      </w:pPr>
    </w:p>
    <w:p>
      <w:pPr>
        <w:ind w:left="47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p>
      <w:pPr>
        <w:ind w:left="340"/>
        <w:spacing w:after="0" w:line="207" w:lineRule="exact"/>
        <w:tabs>
          <w:tab w:leader="none" w:pos="5060" w:val="left"/>
          <w:tab w:leader="none" w:pos="7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5" w:lineRule="exact"/>
        <w:rPr>
          <w:sz w:val="24"/>
          <w:szCs w:val="24"/>
          <w:color w:val="auto"/>
        </w:rPr>
      </w:pPr>
    </w:p>
    <w:p>
      <w:pPr>
        <w:ind w:left="78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ind w:firstLine="648"/>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4780"/>
        <w:spacing w:after="0" w:line="207" w:lineRule="exact"/>
        <w:tabs>
          <w:tab w:leader="none" w:pos="60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Indicated below is the number of shares outstanding of each of the issuer’s classes of common stock, as of October 31, 2023.</w:t>
      </w:r>
    </w:p>
    <w:p>
      <w:pPr>
        <w:sectPr>
          <w:pgSz w:w="11900" w:h="16838" w:orient="portrait"/>
          <w:cols w:equalWidth="0" w:num="1">
            <w:col w:w="11240"/>
          </w:cols>
          <w:pgMar w:left="320" w:top="476" w:right="339" w:bottom="0" w:gutter="0" w:footer="0" w:header="0"/>
        </w:sectPr>
      </w:pPr>
    </w:p>
    <w:p>
      <w:pPr>
        <w:spacing w:after="0" w:line="200" w:lineRule="exact"/>
        <w:rPr>
          <w:sz w:val="24"/>
          <w:szCs w:val="24"/>
          <w:color w:val="auto"/>
        </w:rPr>
      </w:pPr>
    </w:p>
    <w:p>
      <w:pPr>
        <w:spacing w:after="0" w:line="241" w:lineRule="exact"/>
        <w:rPr>
          <w:sz w:val="24"/>
          <w:szCs w:val="24"/>
          <w:color w:val="auto"/>
        </w:rPr>
      </w:pPr>
    </w:p>
    <w:p>
      <w:pPr>
        <w:ind w:left="1220"/>
        <w:spacing w:after="0"/>
        <w:rPr>
          <w:sz w:val="20"/>
          <w:szCs w:val="20"/>
          <w:color w:val="auto"/>
        </w:rPr>
      </w:pPr>
      <w:r>
        <w:rPr>
          <w:rFonts w:ascii="Arial" w:cs="Arial" w:eastAsia="Arial" w:hAnsi="Arial"/>
          <w:sz w:val="18"/>
          <w:szCs w:val="18"/>
          <w:u w:val="single" w:color="auto"/>
          <w:color w:val="auto"/>
        </w:rPr>
        <w:t>Title of Class</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Class A Common Stock, $.01 Par</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Value</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Class A Common Stock, $.01 Par</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Value</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wp:posOffset>
            </wp:positionH>
            <wp:positionV relativeFrom="paragraph">
              <wp:posOffset>149860</wp:posOffset>
            </wp:positionV>
            <wp:extent cx="7057390" cy="4394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7390" cy="439420"/>
                    </a:xfrm>
                    <a:prstGeom prst="rect">
                      <a:avLst/>
                    </a:prstGeom>
                    <a:noFill/>
                  </pic:spPr>
                </pic:pic>
              </a:graphicData>
            </a:graphic>
          </wp:anchor>
        </w:drawing>
      </w:r>
    </w:p>
    <w:p>
      <w:pPr>
        <w:spacing w:after="0" w:line="196" w:lineRule="exact"/>
        <w:rPr>
          <w:sz w:val="24"/>
          <w:szCs w:val="24"/>
          <w:color w:val="auto"/>
        </w:rPr>
      </w:pPr>
    </w:p>
    <w:tbl>
      <w:tblPr>
        <w:tblLayout w:type="fixed"/>
        <w:tblInd w:w="90" w:type="dxa"/>
        <w:tblCellMar>
          <w:top w:w="0" w:type="dxa"/>
          <w:left w:w="0" w:type="dxa"/>
          <w:bottom w:w="0" w:type="dxa"/>
          <w:right w:w="0" w:type="dxa"/>
        </w:tblCellMar>
      </w:tblPr>
      <w:tr>
        <w:trPr>
          <w:trHeight w:val="251"/>
        </w:trPr>
        <w:tc>
          <w:tcPr>
            <w:tcW w:w="400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8"/>
                <w:szCs w:val="18"/>
                <w:color w:val="auto"/>
              </w:rPr>
              <w:t>Title of each class</w:t>
            </w:r>
          </w:p>
        </w:tc>
        <w:tc>
          <w:tcPr>
            <w:tcW w:w="3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r>
      <w:tr>
        <w:trPr>
          <w:trHeight w:val="177"/>
        </w:trPr>
        <w:tc>
          <w:tcPr>
            <w:tcW w:w="4000" w:type="dxa"/>
            <w:vAlign w:val="bottom"/>
            <w:tcBorders>
              <w:left w:val="single" w:sz="8" w:color="auto"/>
              <w:right w:val="single" w:sz="8" w:color="auto"/>
            </w:tcBorders>
          </w:tcPr>
          <w:p>
            <w:pPr>
              <w:ind w:left="560"/>
              <w:spacing w:after="0" w:line="176" w:lineRule="exact"/>
              <w:rPr>
                <w:sz w:val="20"/>
                <w:szCs w:val="20"/>
                <w:color w:val="auto"/>
              </w:rPr>
            </w:pPr>
            <w:r>
              <w:rPr>
                <w:rFonts w:ascii="Arial" w:cs="Arial" w:eastAsia="Arial" w:hAnsi="Arial"/>
                <w:sz w:val="18"/>
                <w:szCs w:val="18"/>
                <w:color w:val="auto"/>
              </w:rPr>
              <w:t>Class A Common Stock, $0.01 par value</w:t>
            </w:r>
          </w:p>
        </w:tc>
        <w:tc>
          <w:tcPr>
            <w:tcW w:w="32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5"/>
              </w:rPr>
              <w:t>RUSHA</w:t>
            </w:r>
          </w:p>
        </w:tc>
      </w:tr>
      <w:tr>
        <w:trPr>
          <w:trHeight w:val="244"/>
        </w:trPr>
        <w:tc>
          <w:tcPr>
            <w:tcW w:w="400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Class B Common Stock, $0.01 par value</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RUSHB</w:t>
            </w:r>
          </w:p>
        </w:tc>
      </w:tr>
    </w:tbl>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2040"/>
        <w:spacing w:after="0"/>
        <w:rPr>
          <w:sz w:val="20"/>
          <w:szCs w:val="20"/>
          <w:color w:val="auto"/>
        </w:rPr>
      </w:pPr>
      <w:r>
        <w:rPr>
          <w:rFonts w:ascii="Arial" w:cs="Arial" w:eastAsia="Arial" w:hAnsi="Arial"/>
          <w:sz w:val="18"/>
          <w:szCs w:val="18"/>
          <w:color w:val="auto"/>
        </w:rPr>
        <w:t>Number of Shares</w:t>
      </w:r>
    </w:p>
    <w:p>
      <w:pPr>
        <w:spacing w:after="0" w:line="23" w:lineRule="exact"/>
        <w:rPr>
          <w:sz w:val="24"/>
          <w:szCs w:val="24"/>
          <w:color w:val="auto"/>
        </w:rPr>
      </w:pPr>
    </w:p>
    <w:p>
      <w:pPr>
        <w:jc w:val="center"/>
        <w:ind w:right="2040"/>
        <w:spacing w:after="0"/>
        <w:rPr>
          <w:sz w:val="20"/>
          <w:szCs w:val="20"/>
          <w:color w:val="auto"/>
        </w:rPr>
      </w:pPr>
      <w:r>
        <w:rPr>
          <w:rFonts w:ascii="Arial" w:cs="Arial" w:eastAsia="Arial" w:hAnsi="Arial"/>
          <w:sz w:val="18"/>
          <w:szCs w:val="18"/>
          <w:u w:val="single" w:color="auto"/>
          <w:color w:val="auto"/>
        </w:rPr>
        <w:t>Outstanding</w:t>
      </w:r>
    </w:p>
    <w:p>
      <w:pPr>
        <w:spacing w:after="0" w:line="103" w:lineRule="exact"/>
        <w:rPr>
          <w:sz w:val="24"/>
          <w:szCs w:val="24"/>
          <w:color w:val="auto"/>
        </w:rPr>
      </w:pPr>
    </w:p>
    <w:p>
      <w:pPr>
        <w:ind w:left="360"/>
        <w:spacing w:after="0"/>
        <w:rPr>
          <w:sz w:val="20"/>
          <w:szCs w:val="20"/>
          <w:color w:val="auto"/>
        </w:rPr>
      </w:pPr>
      <w:r>
        <w:rPr>
          <w:rFonts w:ascii="Arial" w:cs="Arial" w:eastAsia="Arial" w:hAnsi="Arial"/>
          <w:sz w:val="18"/>
          <w:szCs w:val="18"/>
          <w:color w:val="auto"/>
        </w:rPr>
        <w:t>61,599,412</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17,890,941</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ind w:left="420"/>
        <w:spacing w:after="0"/>
        <w:rPr>
          <w:sz w:val="20"/>
          <w:szCs w:val="20"/>
          <w:color w:val="auto"/>
        </w:rPr>
      </w:pPr>
      <w:r>
        <w:rPr>
          <w:rFonts w:ascii="Arial" w:cs="Arial" w:eastAsia="Arial" w:hAnsi="Arial"/>
          <w:sz w:val="18"/>
          <w:szCs w:val="18"/>
          <w:color w:val="auto"/>
        </w:rPr>
        <w:t>NASDAQ Global Select Market</w:t>
      </w:r>
    </w:p>
    <w:p>
      <w:pPr>
        <w:spacing w:after="0" w:line="23" w:lineRule="exact"/>
        <w:rPr>
          <w:sz w:val="24"/>
          <w:szCs w:val="24"/>
          <w:color w:val="auto"/>
        </w:rPr>
      </w:pPr>
    </w:p>
    <w:p>
      <w:pPr>
        <w:ind w:left="420"/>
        <w:spacing w:after="0"/>
        <w:rPr>
          <w:sz w:val="20"/>
          <w:szCs w:val="20"/>
          <w:color w:val="auto"/>
        </w:rPr>
      </w:pPr>
      <w:r>
        <w:rPr>
          <w:rFonts w:ascii="Arial" w:cs="Arial" w:eastAsia="Arial" w:hAnsi="Arial"/>
          <w:sz w:val="18"/>
          <w:szCs w:val="18"/>
          <w:color w:val="auto"/>
        </w:rPr>
        <w:t>NASDAQ Global Select Market</w:t>
      </w:r>
    </w:p>
    <w:p>
      <w:pPr>
        <w:spacing w:after="0" w:line="222" w:lineRule="exact"/>
        <w:rPr>
          <w:sz w:val="24"/>
          <w:szCs w:val="24"/>
          <w:color w:val="auto"/>
        </w:rPr>
      </w:pPr>
    </w:p>
    <w:p>
      <w:pPr>
        <w:sectPr>
          <w:pgSz w:w="11900" w:h="16838" w:orient="portrait"/>
          <w:cols w:equalWidth="0" w:num="2">
            <w:col w:w="7340" w:space="320"/>
            <w:col w:w="3580"/>
          </w:cols>
          <w:pgMar w:left="320" w:top="476" w:right="339" w:bottom="0" w:gutter="0" w:footer="0" w:header="0"/>
          <w:type w:val="continuous"/>
        </w:sectPr>
      </w:pPr>
    </w:p>
    <w:p>
      <w:pPr>
        <w:spacing w:after="0" w:line="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25"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PART I. FINANCIAL INFORMATION</w:t>
      </w:r>
    </w:p>
    <w:p>
      <w:pPr>
        <w:spacing w:after="0" w:line="22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0000EE"/>
        </w:rPr>
        <w:t>Financial Statements</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8"/>
          <w:szCs w:val="18"/>
          <w:u w:val="single" w:color="auto"/>
          <w:color w:val="0000EE"/>
        </w:rPr>
        <w:t>Consolidated Balance Sheets - September 30, 2023 (unaudited) and December 31, 2022</w:t>
      </w:r>
    </w:p>
    <w:p>
      <w:pPr>
        <w:spacing w:after="0" w:line="225" w:lineRule="exact"/>
        <w:rPr>
          <w:sz w:val="20"/>
          <w:szCs w:val="20"/>
          <w:color w:val="auto"/>
        </w:rPr>
      </w:pPr>
    </w:p>
    <w:p>
      <w:pPr>
        <w:ind w:left="1380"/>
        <w:spacing w:after="0"/>
        <w:rPr>
          <w:sz w:val="20"/>
          <w:szCs w:val="20"/>
          <w:color w:val="auto"/>
        </w:rPr>
      </w:pPr>
      <w:r>
        <w:rPr>
          <w:rFonts w:ascii="Arial" w:cs="Arial" w:eastAsia="Arial" w:hAnsi="Arial"/>
          <w:sz w:val="16"/>
          <w:szCs w:val="16"/>
          <w:u w:val="single" w:color="auto"/>
          <w:color w:val="0000EE"/>
        </w:rPr>
        <w:t>Consolidated Statements of Income - For the Three and Nine Months Ended September 30, 2023 and 2022 (unaudited)</w:t>
      </w:r>
    </w:p>
    <w:p>
      <w:pPr>
        <w:spacing w:after="0" w:line="248" w:lineRule="exact"/>
        <w:rPr>
          <w:sz w:val="20"/>
          <w:szCs w:val="20"/>
          <w:color w:val="auto"/>
        </w:rPr>
      </w:pPr>
    </w:p>
    <w:p>
      <w:pPr>
        <w:ind w:left="1380"/>
        <w:spacing w:after="0" w:line="277" w:lineRule="auto"/>
        <w:rPr>
          <w:sz w:val="20"/>
          <w:szCs w:val="20"/>
          <w:color w:val="auto"/>
        </w:rPr>
      </w:pPr>
      <w:r>
        <w:rPr>
          <w:rFonts w:ascii="Arial" w:cs="Arial" w:eastAsia="Arial" w:hAnsi="Arial"/>
          <w:sz w:val="18"/>
          <w:szCs w:val="18"/>
          <w:u w:val="single" w:color="auto"/>
          <w:color w:val="0000EE"/>
        </w:rPr>
        <w:t>Consolidated Statements of Comprehensive Income - For the Three and Nine Months Ended September 30, 2023 and 2022 (unaudited)</w:t>
      </w:r>
    </w:p>
    <w:p>
      <w:pPr>
        <w:spacing w:after="0" w:line="170" w:lineRule="exact"/>
        <w:rPr>
          <w:sz w:val="20"/>
          <w:szCs w:val="20"/>
          <w:color w:val="auto"/>
        </w:rPr>
      </w:pPr>
    </w:p>
    <w:p>
      <w:pPr>
        <w:ind w:left="1380" w:right="160"/>
        <w:spacing w:after="0" w:line="277" w:lineRule="auto"/>
        <w:rPr>
          <w:sz w:val="20"/>
          <w:szCs w:val="20"/>
          <w:color w:val="auto"/>
        </w:rPr>
      </w:pPr>
      <w:r>
        <w:rPr>
          <w:rFonts w:ascii="Arial" w:cs="Arial" w:eastAsia="Arial" w:hAnsi="Arial"/>
          <w:sz w:val="18"/>
          <w:szCs w:val="18"/>
          <w:u w:val="single" w:color="auto"/>
          <w:color w:val="0000EE"/>
        </w:rPr>
        <w:t>Consolidated Statements of Shareholders’ Equity – For the Three and Nine Months Ended September 30, 2023 and 2022 (unaudited)</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17"/>
          <w:szCs w:val="17"/>
          <w:u w:val="single" w:color="auto"/>
          <w:color w:val="0000EE"/>
        </w:rPr>
        <w:t>Consolidated Statements of Cash Flows - For the Nine Months Ended September 30, 2023 and 2022 (unaudited)</w:t>
      </w:r>
    </w:p>
    <w:p>
      <w:pPr>
        <w:spacing w:after="0" w:line="237" w:lineRule="exact"/>
        <w:rPr>
          <w:sz w:val="20"/>
          <w:szCs w:val="20"/>
          <w:color w:val="auto"/>
        </w:rPr>
      </w:pPr>
    </w:p>
    <w:p>
      <w:pPr>
        <w:ind w:left="1380"/>
        <w:spacing w:after="0"/>
        <w:rPr>
          <w:sz w:val="20"/>
          <w:szCs w:val="20"/>
          <w:color w:val="auto"/>
        </w:rPr>
      </w:pPr>
      <w:r>
        <w:rPr>
          <w:rFonts w:ascii="Arial" w:cs="Arial" w:eastAsia="Arial" w:hAnsi="Arial"/>
          <w:sz w:val="18"/>
          <w:szCs w:val="18"/>
          <w:u w:val="single" w:color="auto"/>
          <w:color w:val="0000EE"/>
        </w:rPr>
        <w:t>Notes to Consolidated Financial Statements (unaudited)</w:t>
      </w:r>
    </w:p>
    <w:p>
      <w:pPr>
        <w:spacing w:after="0" w:line="225" w:lineRule="exact"/>
        <w:rPr>
          <w:sz w:val="20"/>
          <w:szCs w:val="20"/>
          <w:color w:val="auto"/>
        </w:rPr>
      </w:pPr>
    </w:p>
    <w:p>
      <w:pPr>
        <w:ind w:left="580" w:right="2420"/>
        <w:spacing w:after="0" w:line="499" w:lineRule="auto"/>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0000EE"/>
        </w:rPr>
        <w:t>Management’s Discussion and Analysis of Financial Condition and Results of Operations</w:t>
      </w:r>
      <w:r>
        <w:rPr>
          <w:rFonts w:ascii="Arial" w:cs="Arial" w:eastAsia="Arial" w:hAnsi="Arial"/>
          <w:sz w:val="18"/>
          <w:szCs w:val="18"/>
          <w:color w:val="auto"/>
        </w:rPr>
        <w:t xml:space="preserve"> Item 3. </w:t>
      </w:r>
      <w:r>
        <w:rPr>
          <w:rFonts w:ascii="Arial" w:cs="Arial" w:eastAsia="Arial" w:hAnsi="Arial"/>
          <w:sz w:val="18"/>
          <w:szCs w:val="18"/>
          <w:u w:val="single" w:color="auto"/>
          <w:color w:val="0000EE"/>
        </w:rPr>
        <w:t>Quantitative and Qualitative Disclosures About Market Risk</w:t>
      </w:r>
      <w:r>
        <w:rPr>
          <w:rFonts w:ascii="Arial" w:cs="Arial" w:eastAsia="Arial" w:hAnsi="Arial"/>
          <w:sz w:val="18"/>
          <w:szCs w:val="18"/>
          <w:color w:val="auto"/>
        </w:rPr>
        <w:t xml:space="preserve"> Item 4. </w:t>
      </w:r>
      <w:r>
        <w:rPr>
          <w:rFonts w:ascii="Arial" w:cs="Arial" w:eastAsia="Arial" w:hAnsi="Arial"/>
          <w:sz w:val="18"/>
          <w:szCs w:val="18"/>
          <w:u w:val="single" w:color="auto"/>
          <w:color w:val="0000EE"/>
        </w:rPr>
        <w:t>Controls and Procedures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PART II.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EE"/>
        </w:rPr>
        <w:t>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EE"/>
        </w:rPr>
        <w:t>4</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EE"/>
        </w:rPr>
        <w:t>5</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EE"/>
        </w:rPr>
        <w:t>6</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EE"/>
        </w:rPr>
        <w:t>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EE"/>
        </w:rPr>
        <w:t>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0000EE"/>
        </w:rPr>
        <w:t>15</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u w:val="single" w:color="auto"/>
          <w:color w:val="0000EE"/>
        </w:rPr>
        <w:t>27</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u w:val="single" w:color="auto"/>
          <w:color w:val="0000EE"/>
        </w:rPr>
        <w:t>27</w:t>
      </w:r>
    </w:p>
    <w:p>
      <w:pPr>
        <w:spacing w:after="0" w:line="650" w:lineRule="exact"/>
        <w:rPr>
          <w:sz w:val="20"/>
          <w:szCs w:val="20"/>
          <w:color w:val="auto"/>
        </w:rPr>
      </w:pPr>
    </w:p>
    <w:p>
      <w:pPr>
        <w:sectPr>
          <w:pgSz w:w="11900" w:h="16838" w:orient="portrait"/>
          <w:cols w:equalWidth="0" w:num="2">
            <w:col w:w="10240" w:space="560"/>
            <w:col w:w="440"/>
          </w:cols>
          <w:pgMar w:left="320" w:top="125" w:right="3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1.</w:t>
            </w:r>
          </w:p>
        </w:tc>
        <w:tc>
          <w:tcPr>
            <w:tcW w:w="7000" w:type="dxa"/>
            <w:vAlign w:val="bottom"/>
            <w:gridSpan w:val="8"/>
          </w:tcPr>
          <w:p>
            <w:pPr>
              <w:spacing w:after="0"/>
              <w:rPr>
                <w:sz w:val="20"/>
                <w:szCs w:val="20"/>
                <w:color w:val="auto"/>
              </w:rPr>
            </w:pPr>
            <w:r>
              <w:rPr>
                <w:rFonts w:ascii="Arial" w:cs="Arial" w:eastAsia="Arial" w:hAnsi="Arial"/>
                <w:sz w:val="18"/>
                <w:szCs w:val="18"/>
                <w:color w:val="0000EE"/>
              </w:rPr>
              <w:t>Legal Proceedings</w:t>
            </w:r>
          </w:p>
        </w:tc>
        <w:tc>
          <w:tcPr>
            <w:tcW w:w="2860" w:type="dxa"/>
            <w:vAlign w:val="bottom"/>
            <w:gridSpan w:val="2"/>
          </w:tcPr>
          <w:p>
            <w:pPr>
              <w:jc w:val="right"/>
              <w:spacing w:after="0"/>
              <w:rPr>
                <w:sz w:val="20"/>
                <w:szCs w:val="20"/>
                <w:color w:val="auto"/>
              </w:rPr>
            </w:pPr>
            <w:r>
              <w:rPr>
                <w:rFonts w:ascii="Arial" w:cs="Arial" w:eastAsia="Arial" w:hAnsi="Arial"/>
                <w:sz w:val="18"/>
                <w:szCs w:val="18"/>
                <w:color w:val="0000EE"/>
              </w:rPr>
              <w:t>28</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2"/>
          </w:tcPr>
          <w:p>
            <w:pPr>
              <w:spacing w:after="0"/>
              <w:rPr>
                <w:sz w:val="24"/>
                <w:szCs w:val="24"/>
                <w:color w:val="auto"/>
              </w:rPr>
            </w:pPr>
          </w:p>
        </w:tc>
        <w:tc>
          <w:tcPr>
            <w:tcW w:w="5680" w:type="dxa"/>
            <w:vAlign w:val="bottom"/>
            <w:gridSpan w:val="4"/>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79"/>
              </w:rPr>
              <w:t>28</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Unregistered Sales of Equity Securities and Use of Proceeds</w:t>
            </w:r>
          </w:p>
        </w:tc>
        <w:tc>
          <w:tcPr>
            <w:tcW w:w="2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28</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Defaults Upon Senior Securities</w:t>
            </w:r>
          </w:p>
        </w:tc>
        <w:tc>
          <w:tcPr>
            <w:tcW w:w="4680" w:type="dxa"/>
            <w:vAlign w:val="bottom"/>
            <w:gridSpan w:val="2"/>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28</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4.</w:t>
            </w:r>
          </w:p>
        </w:tc>
        <w:tc>
          <w:tcPr>
            <w:tcW w:w="7000" w:type="dxa"/>
            <w:vAlign w:val="bottom"/>
            <w:gridSpan w:val="8"/>
          </w:tcPr>
          <w:p>
            <w:pPr>
              <w:spacing w:after="0"/>
              <w:rPr>
                <w:sz w:val="20"/>
                <w:szCs w:val="20"/>
                <w:color w:val="auto"/>
              </w:rPr>
            </w:pPr>
            <w:r>
              <w:rPr>
                <w:rFonts w:ascii="Arial" w:cs="Arial" w:eastAsia="Arial" w:hAnsi="Arial"/>
                <w:sz w:val="18"/>
                <w:szCs w:val="18"/>
                <w:color w:val="0000EE"/>
              </w:rPr>
              <w:t>Mine Safety Disclosures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0000EE"/>
              </w:rPr>
              <w:t>28</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Other Information</w:t>
            </w:r>
          </w:p>
        </w:tc>
        <w:tc>
          <w:tcPr>
            <w:tcW w:w="5240" w:type="dxa"/>
            <w:vAlign w:val="bottom"/>
            <w:gridSpan w:val="3"/>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8"/>
                <w:szCs w:val="18"/>
                <w:color w:val="0000EE"/>
                <w:w w:val="79"/>
              </w:rPr>
              <w:t>29</w:t>
            </w:r>
          </w:p>
        </w:tc>
      </w:tr>
      <w:tr>
        <w:trPr>
          <w:trHeight w:val="412"/>
        </w:trPr>
        <w:tc>
          <w:tcPr>
            <w:tcW w:w="1380" w:type="dxa"/>
            <w:vAlign w:val="bottom"/>
            <w:gridSpan w:val="2"/>
          </w:tcPr>
          <w:p>
            <w:pPr>
              <w:ind w:left="58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2"/>
          </w:tcPr>
          <w:p>
            <w:pPr>
              <w:spacing w:after="0"/>
              <w:rPr>
                <w:sz w:val="24"/>
                <w:szCs w:val="24"/>
                <w:color w:val="auto"/>
              </w:rPr>
            </w:pPr>
          </w:p>
        </w:tc>
        <w:tc>
          <w:tcPr>
            <w:tcW w:w="5700" w:type="dxa"/>
            <w:vAlign w:val="bottom"/>
            <w:gridSpan w:val="5"/>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18"/>
                <w:szCs w:val="18"/>
                <w:color w:val="0000EE"/>
                <w:w w:val="79"/>
              </w:rPr>
              <w:t>29</w:t>
            </w:r>
          </w:p>
        </w:tc>
      </w:tr>
      <w:tr>
        <w:trPr>
          <w:trHeight w:val="412"/>
        </w:trPr>
        <w:tc>
          <w:tcPr>
            <w:tcW w:w="1380" w:type="dxa"/>
            <w:vAlign w:val="bottom"/>
            <w:gridSpan w:val="2"/>
          </w:tcPr>
          <w:p>
            <w:pPr>
              <w:spacing w:after="0"/>
              <w:rPr>
                <w:sz w:val="20"/>
                <w:szCs w:val="20"/>
                <w:color w:val="auto"/>
              </w:rPr>
            </w:pPr>
            <w:r>
              <w:rPr>
                <w:rFonts w:ascii="Arial" w:cs="Arial" w:eastAsia="Arial" w:hAnsi="Arial"/>
                <w:sz w:val="18"/>
                <w:szCs w:val="18"/>
                <w:b w:val="1"/>
                <w:bCs w:val="1"/>
                <w:color w:val="0000EE"/>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0000EE"/>
              </w:rPr>
              <w:t>30</w:t>
            </w:r>
          </w:p>
        </w:tc>
      </w:tr>
      <w:tr>
        <w:trPr>
          <w:trHeight w:val="453"/>
        </w:trPr>
        <w:tc>
          <w:tcPr>
            <w:tcW w:w="116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7"/>
          </w:tcPr>
          <w:p>
            <w:pPr>
              <w:ind w:left="4200"/>
              <w:spacing w:after="0"/>
              <w:rPr>
                <w:sz w:val="20"/>
                <w:szCs w:val="20"/>
                <w:color w:val="auto"/>
              </w:rPr>
            </w:pPr>
            <w:r>
              <w:rPr>
                <w:rFonts w:ascii="Arial" w:cs="Arial" w:eastAsia="Arial" w:hAnsi="Arial"/>
                <w:sz w:val="18"/>
                <w:szCs w:val="18"/>
                <w:color w:val="auto"/>
              </w:rPr>
              <w:t>2</w:t>
            </w:r>
          </w:p>
        </w:tc>
        <w:tc>
          <w:tcPr>
            <w:tcW w:w="2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2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201,044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263,480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220,651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1,671,623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1,429,429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16,619</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2,145,781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1,867,743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1,474,662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1,368,594</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102,685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Goodwill,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416,420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416,363</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4,218,053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3,821,066</w:t>
            </w:r>
          </w:p>
        </w:tc>
      </w:tr>
      <w:tr>
        <w:trPr>
          <w:trHeight w:val="20"/>
        </w:trPr>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Floor plan notes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1,121,490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933,203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finance lease obligations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36,128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29,209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lease obligations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177,142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171,717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116,240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163,302</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1,720,116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1,428,674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debt, net of current maturities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202,824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275,433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obligations, net of current maturities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93,483</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obligations, net of current maturities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93,193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89,029</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19,455</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155,468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151,970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Preferred stock, par value $.01 per share; 1,000,000 shares authorized; 0 shares outstanding in 2023 and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880" w:type="dxa"/>
            <w:vAlign w:val="bottom"/>
          </w:tcPr>
          <w:p>
            <w:pPr>
              <w:ind w:left="3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par value $.01 per share; 105,000,000 Class A shares and 35,000,000 Class B shares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authorized; 62,053,249 Class A shares and 17,989,388 Class B shares outstanding in 2023; and</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63,518,042 Class A shares and 18,124,627 Class B shares outstanding in 2022</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533,648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500,642</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Treasury stock, at cost: 266,519 Class A shares and 105,924 Class B shares in 2023; and 1,626,777 Class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 shares and 1,112,446 Class B shares in 2022</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(16,169)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(130,930)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1,385,646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1,378,337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(4,130)</w:t>
            </w:r>
          </w:p>
        </w:tc>
      </w:tr>
      <w:tr>
        <w:trPr>
          <w:trHeight w:val="209"/>
        </w:trPr>
        <w:tc>
          <w:tcPr>
            <w:tcW w:w="80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 Rush Enterprises, Inc. shareholders’ equity</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1,899,612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1,744,491</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1,919,083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1,763,022</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4,218,053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3,821,066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2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3940" w:type="dxa"/>
            <w:vAlign w:val="bottom"/>
            <w:gridSpan w:val="8"/>
          </w:tcPr>
          <w:p>
            <w:pPr>
              <w:jc w:val="center"/>
              <w:ind w:right="100"/>
              <w:spacing w:after="0"/>
              <w:rPr>
                <w:sz w:val="20"/>
                <w:szCs w:val="20"/>
                <w:color w:val="auto"/>
              </w:rPr>
            </w:pPr>
            <w:r>
              <w:rPr>
                <w:rFonts w:ascii="Arial" w:cs="Arial" w:eastAsia="Arial" w:hAnsi="Arial"/>
                <w:sz w:val="18"/>
                <w:szCs w:val="18"/>
                <w:color w:val="auto"/>
                <w:w w:val="95"/>
              </w:rPr>
              <w:t>RUSH ENTERPRISES, INC. AND SUBSIDIARIES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7"/>
          </w:tcPr>
          <w:p>
            <w:pPr>
              <w:jc w:val="center"/>
              <w:spacing w:after="0" w:line="196" w:lineRule="exact"/>
              <w:rPr>
                <w:sz w:val="20"/>
                <w:szCs w:val="20"/>
                <w:color w:val="auto"/>
              </w:rPr>
            </w:pPr>
            <w:r>
              <w:rPr>
                <w:rFonts w:ascii="Arial" w:cs="Arial" w:eastAsia="Arial" w:hAnsi="Arial"/>
                <w:sz w:val="18"/>
                <w:szCs w:val="18"/>
                <w:color w:val="auto"/>
                <w:w w:val="95"/>
              </w:rPr>
              <w:t>CONSOLIDATED STATEMENTS OF INCOME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4"/>
          </w:tcPr>
          <w:p>
            <w:pPr>
              <w:jc w:val="center"/>
              <w:ind w:right="140"/>
              <w:spacing w:after="0"/>
              <w:rPr>
                <w:sz w:val="20"/>
                <w:szCs w:val="20"/>
                <w:color w:val="auto"/>
              </w:rPr>
            </w:pPr>
            <w:r>
              <w:rPr>
                <w:rFonts w:ascii="Arial" w:cs="Arial" w:eastAsia="Arial" w:hAnsi="Arial"/>
                <w:sz w:val="18"/>
                <w:szCs w:val="18"/>
                <w:color w:val="auto"/>
                <w:w w:val="89"/>
              </w:rPr>
              <w:t>(In Thousands, Except Per Share Amounts)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(Unaudited)</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New and used commercial vehicle sales</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1,235,767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1,142,201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3,648,286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3,176,175</w:t>
            </w: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643,623</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622,130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1,942,979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1,763,691</w:t>
            </w: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Lease and rental sales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89,466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85,688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264,681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237,561</w:t>
            </w: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Finance and insurance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6,317</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22,919</w:t>
            </w: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Other</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5,567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6,628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20,536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18,383</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1,980,740</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1,864,286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5,895,559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5,218,729</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Cost of products sold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New and used commercial vehicle sales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1,113,294</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1,045,658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3,287,998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2,875,057</w:t>
            </w:r>
          </w:p>
        </w:tc>
      </w:tr>
      <w:tr>
        <w:trPr>
          <w:trHeight w:val="216"/>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Aftermarket products and services sales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410,935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378,748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1,216,441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1,080,240</w:t>
            </w:r>
          </w:p>
        </w:tc>
      </w:tr>
      <w:tr>
        <w:trPr>
          <w:trHeight w:val="216"/>
        </w:trPr>
        <w:tc>
          <w:tcPr>
            <w:tcW w:w="40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Lease and rental sales</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62,106</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162,378</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20" w:type="dxa"/>
            <w:vAlign w:val="bottom"/>
            <w:gridSpan w:val="4"/>
          </w:tcPr>
          <w:p>
            <w:pPr>
              <w:ind w:left="180"/>
              <w:spacing w:after="0"/>
              <w:rPr>
                <w:sz w:val="20"/>
                <w:szCs w:val="20"/>
                <w:color w:val="auto"/>
              </w:rPr>
            </w:pPr>
            <w:r>
              <w:rPr>
                <w:rFonts w:ascii="Arial" w:cs="Arial" w:eastAsia="Arial" w:hAnsi="Arial"/>
                <w:sz w:val="18"/>
                <w:szCs w:val="18"/>
                <w:color w:val="auto"/>
              </w:rPr>
              <w:t>Total cost of products sold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1,586,335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1,482,888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4,688,537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4,117,675</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394,405</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381,398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1,207,022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1,101,054</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257,132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242,609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770,631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692,383</w:t>
            </w: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15,872</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41,545</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Gain on sale of assets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121,621</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127,037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392,256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369,559</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Other income (expense)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2,384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22,182</w:t>
            </w: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14,194</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10,662</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Income before taxes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107,560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120,547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357,225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381,079</w:t>
            </w: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26,926</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87,290</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Net income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80,634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90,663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269,948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293,789</w:t>
            </w: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Less: Net income attributable to noncontrolling interest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r>
      <w:tr>
        <w:trPr>
          <w:trHeight w:val="20"/>
        </w:trPr>
        <w:tc>
          <w:tcPr>
            <w:tcW w:w="128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w w:val="95"/>
              </w:rPr>
              <w:t>Net income attributable to Rush Enterprises, Inc.</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80,278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90,376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269,008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293,056</w:t>
            </w:r>
          </w:p>
        </w:tc>
      </w:tr>
      <w:tr>
        <w:trPr>
          <w:trHeight w:val="20"/>
        </w:trPr>
        <w:tc>
          <w:tcPr>
            <w:tcW w:w="1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6220" w:type="dxa"/>
            <w:vAlign w:val="bottom"/>
            <w:gridSpan w:val="6"/>
          </w:tcPr>
          <w:p>
            <w:pPr>
              <w:spacing w:after="0" w:line="198" w:lineRule="exact"/>
              <w:rPr>
                <w:sz w:val="20"/>
                <w:szCs w:val="20"/>
                <w:color w:val="auto"/>
              </w:rPr>
            </w:pPr>
            <w:r>
              <w:rPr>
                <w:rFonts w:ascii="Arial" w:cs="Arial" w:eastAsia="Arial" w:hAnsi="Arial"/>
                <w:sz w:val="18"/>
                <w:szCs w:val="18"/>
                <w:b w:val="1"/>
                <w:bCs w:val="1"/>
                <w:color w:val="auto"/>
              </w:rPr>
              <w:t>Net income attributable to Rush Enterprises, Inc. per share of common</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stock:</w:t>
            </w:r>
          </w:p>
        </w:tc>
        <w:tc>
          <w:tcPr>
            <w:tcW w:w="1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w:t>
            </w:r>
          </w:p>
        </w:tc>
        <w:tc>
          <w:tcPr>
            <w:tcW w:w="2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0.99</w:t>
            </w:r>
          </w:p>
        </w:tc>
        <w:tc>
          <w:tcPr>
            <w:tcW w:w="180" w:type="dxa"/>
            <w:vAlign w:val="bottom"/>
            <w:tcBorders>
              <w:left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Diluted</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0.96</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81,229</w:t>
            </w: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83,401</w:t>
            </w:r>
          </w:p>
        </w:tc>
      </w:tr>
      <w:tr>
        <w:trPr>
          <w:trHeight w:val="216"/>
        </w:trPr>
        <w:tc>
          <w:tcPr>
            <w:tcW w:w="4020" w:type="dxa"/>
            <w:vAlign w:val="bottom"/>
            <w:gridSpan w:val="4"/>
          </w:tcPr>
          <w:p>
            <w:pPr>
              <w:spacing w:after="0"/>
              <w:rPr>
                <w:sz w:val="20"/>
                <w:szCs w:val="20"/>
                <w:color w:val="auto"/>
              </w:rPr>
            </w:pPr>
            <w:r>
              <w:rPr>
                <w:rFonts w:ascii="Arial" w:cs="Arial" w:eastAsia="Arial" w:hAnsi="Arial"/>
                <w:sz w:val="18"/>
                <w:szCs w:val="18"/>
                <w:color w:val="auto"/>
              </w:rPr>
              <w:t>Diluted</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83,987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85,313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84,251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86,045</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r>
      <w:tr>
        <w:trPr>
          <w:trHeight w:val="414"/>
        </w:trPr>
        <w:tc>
          <w:tcPr>
            <w:tcW w:w="1280" w:type="dxa"/>
            <w:vAlign w:val="bottom"/>
          </w:tcPr>
          <w:p>
            <w:pPr>
              <w:spacing w:after="0"/>
              <w:rPr>
                <w:sz w:val="24"/>
                <w:szCs w:val="24"/>
                <w:color w:val="auto"/>
              </w:rPr>
            </w:pPr>
          </w:p>
        </w:tc>
        <w:tc>
          <w:tcPr>
            <w:tcW w:w="7660" w:type="dxa"/>
            <w:vAlign w:val="bottom"/>
            <w:gridSpan w:val="12"/>
          </w:tcPr>
          <w:p>
            <w:pPr>
              <w:jc w:val="center"/>
              <w:ind w:left="93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tcPr>
          <w:p>
            <w:pPr>
              <w:jc w:val="center"/>
              <w:ind w:left="1150"/>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4"/>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60" w:type="dxa"/>
            <w:vAlign w:val="bottom"/>
            <w:gridSpan w:val="9"/>
          </w:tcPr>
          <w:p>
            <w:pPr>
              <w:jc w:val="center"/>
              <w:ind w:right="920"/>
              <w:spacing w:after="0"/>
              <w:rPr>
                <w:sz w:val="20"/>
                <w:szCs w:val="20"/>
                <w:color w:val="auto"/>
              </w:rPr>
            </w:pPr>
            <w:r>
              <w:rPr>
                <w:rFonts w:ascii="Arial" w:cs="Arial" w:eastAsia="Arial" w:hAnsi="Arial"/>
                <w:sz w:val="18"/>
                <w:szCs w:val="18"/>
                <w:color w:val="auto"/>
                <w:w w:val="95"/>
              </w:rPr>
              <w:t>RUSH ENTERPRISES, INC. AND SUBSIDIARIES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40" w:type="dxa"/>
            <w:vAlign w:val="bottom"/>
            <w:gridSpan w:val="7"/>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400" w:type="dxa"/>
            <w:vAlign w:val="bottom"/>
            <w:gridSpan w:val="10"/>
          </w:tcPr>
          <w:p>
            <w:pPr>
              <w:jc w:val="center"/>
              <w:ind w:right="260"/>
              <w:spacing w:after="0" w:line="196" w:lineRule="exact"/>
              <w:rPr>
                <w:sz w:val="20"/>
                <w:szCs w:val="20"/>
                <w:color w:val="auto"/>
              </w:rPr>
            </w:pPr>
            <w:r>
              <w:rPr>
                <w:rFonts w:ascii="Arial" w:cs="Arial" w:eastAsia="Arial" w:hAnsi="Arial"/>
                <w:sz w:val="18"/>
                <w:szCs w:val="18"/>
                <w:color w:val="auto"/>
                <w:w w:val="95"/>
              </w:rPr>
              <w:t>CONSOLIDATED STATEMENTS OF COMPREHENSIVE INCOME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20" w:type="dxa"/>
            <w:vAlign w:val="bottom"/>
            <w:tcBorders>
              <w:top w:val="single" w:sz="8" w:color="auto"/>
            </w:tcBorders>
            <w:gridSpan w:val="4"/>
          </w:tcPr>
          <w:p>
            <w:pPr>
              <w:jc w:val="center"/>
              <w:ind w:left="55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20" w:type="dxa"/>
            <w:vAlign w:val="bottom"/>
            <w:gridSpan w:val="4"/>
          </w:tcPr>
          <w:p>
            <w:pPr>
              <w:jc w:val="center"/>
              <w:ind w:left="53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gridSpan w:val="2"/>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7"/>
          </w:tcPr>
          <w:p>
            <w:pPr>
              <w:jc w:val="right"/>
              <w:ind w:right="740"/>
              <w:spacing w:after="0" w:line="191" w:lineRule="exact"/>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6"/>
                <w:szCs w:val="16"/>
                <w:color w:val="auto"/>
              </w:rPr>
            </w:pPr>
          </w:p>
        </w:tc>
        <w:tc>
          <w:tcPr>
            <w:tcW w:w="2420" w:type="dxa"/>
            <w:vAlign w:val="bottom"/>
            <w:gridSpan w:val="5"/>
          </w:tcPr>
          <w:p>
            <w:pPr>
              <w:jc w:val="right"/>
              <w:ind w:right="470"/>
              <w:spacing w:after="0" w:line="191" w:lineRule="exact"/>
              <w:rPr>
                <w:sz w:val="20"/>
                <w:szCs w:val="20"/>
                <w:color w:val="auto"/>
              </w:rPr>
            </w:pPr>
            <w:r>
              <w:rPr>
                <w:rFonts w:ascii="Arial" w:cs="Arial" w:eastAsia="Arial" w:hAnsi="Arial"/>
                <w:sz w:val="18"/>
                <w:szCs w:val="18"/>
                <w:b w:val="1"/>
                <w:bCs w:val="1"/>
                <w:color w:val="auto"/>
              </w:rPr>
              <w:t>Nine Months Ended</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80,634</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90,663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269,948</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293,789</w:t>
            </w:r>
          </w:p>
        </w:tc>
        <w:tc>
          <w:tcPr>
            <w:tcW w:w="0" w:type="dxa"/>
            <w:vAlign w:val="bottom"/>
          </w:tcPr>
          <w:p>
            <w:pPr>
              <w:spacing w:after="0"/>
              <w:rPr>
                <w:sz w:val="1"/>
                <w:szCs w:val="1"/>
                <w:color w:val="auto"/>
              </w:rPr>
            </w:pPr>
          </w:p>
        </w:tc>
      </w:tr>
      <w:tr>
        <w:trPr>
          <w:trHeight w:val="216"/>
        </w:trPr>
        <w:tc>
          <w:tcPr>
            <w:tcW w:w="5520" w:type="dxa"/>
            <w:vAlign w:val="bottom"/>
            <w:gridSpan w:val="4"/>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(5,701)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02"/>
        </w:trPr>
        <w:tc>
          <w:tcPr>
            <w:tcW w:w="5520" w:type="dxa"/>
            <w:vAlign w:val="bottom"/>
            <w:gridSpan w:val="4"/>
          </w:tcPr>
          <w:p>
            <w:pPr>
              <w:ind w:left="180"/>
              <w:spacing w:after="0" w:line="201" w:lineRule="exact"/>
              <w:rPr>
                <w:sz w:val="20"/>
                <w:szCs w:val="20"/>
                <w:color w:val="auto"/>
              </w:rPr>
            </w:pPr>
            <w:r>
              <w:rPr>
                <w:rFonts w:ascii="Arial" w:cs="Arial" w:eastAsia="Arial" w:hAnsi="Arial"/>
                <w:sz w:val="18"/>
                <w:szCs w:val="18"/>
                <w:color w:val="auto"/>
              </w:rPr>
              <w:t>Reclassification of currency translation related to equity method</w:t>
            </w:r>
          </w:p>
        </w:tc>
        <w:tc>
          <w:tcPr>
            <w:tcW w:w="28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7"/>
        </w:trPr>
        <w:tc>
          <w:tcPr>
            <w:tcW w:w="5520" w:type="dxa"/>
            <w:vAlign w:val="bottom"/>
            <w:gridSpan w:val="4"/>
          </w:tcPr>
          <w:p>
            <w:pPr>
              <w:ind w:left="340"/>
              <w:spacing w:after="0"/>
              <w:rPr>
                <w:sz w:val="20"/>
                <w:szCs w:val="20"/>
                <w:color w:val="auto"/>
              </w:rPr>
            </w:pPr>
            <w:r>
              <w:rPr>
                <w:rFonts w:ascii="Arial" w:cs="Arial" w:eastAsia="Arial" w:hAnsi="Arial"/>
                <w:sz w:val="18"/>
                <w:szCs w:val="18"/>
                <w:color w:val="auto"/>
              </w:rPr>
              <w:t>accounting</w:t>
            </w:r>
          </w:p>
        </w:tc>
        <w:tc>
          <w:tcPr>
            <w:tcW w:w="2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Other comprehensive income (loss) attributable to Rush Enterprises, Inc.</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(5,701)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Comprehensive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78,526</w:t>
            </w:r>
          </w:p>
        </w:tc>
        <w:tc>
          <w:tcPr>
            <w:tcW w:w="14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84,962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269,761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287,365</w:t>
            </w:r>
          </w:p>
        </w:tc>
        <w:tc>
          <w:tcPr>
            <w:tcW w:w="0" w:type="dxa"/>
            <w:vAlign w:val="bottom"/>
          </w:tcPr>
          <w:p>
            <w:pPr>
              <w:spacing w:after="0"/>
              <w:rPr>
                <w:sz w:val="1"/>
                <w:szCs w:val="1"/>
                <w:color w:val="auto"/>
              </w:rPr>
            </w:pPr>
          </w:p>
        </w:tc>
      </w:tr>
      <w:tr>
        <w:trPr>
          <w:trHeight w:val="216"/>
        </w:trPr>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Comprehensive income attributable to noncontrolling interest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4"/>
          </w:tcPr>
          <w:p>
            <w:pPr>
              <w:spacing w:after="0"/>
              <w:rPr>
                <w:sz w:val="20"/>
                <w:szCs w:val="20"/>
                <w:color w:val="auto"/>
              </w:rPr>
            </w:pPr>
            <w:r>
              <w:rPr>
                <w:rFonts w:ascii="Arial" w:cs="Arial" w:eastAsia="Arial" w:hAnsi="Arial"/>
                <w:sz w:val="18"/>
                <w:szCs w:val="18"/>
                <w:b w:val="1"/>
                <w:bCs w:val="1"/>
                <w:color w:val="auto"/>
              </w:rPr>
              <w:t>Comprehensive income attributable to Rush Enterprises,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78,170</w:t>
            </w:r>
          </w:p>
        </w:tc>
        <w:tc>
          <w:tcPr>
            <w:tcW w:w="14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84,675</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268,821</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286,632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color w:val="auto"/>
                <w:w w:val="96"/>
              </w:rPr>
              <w:t>Total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8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4"/>
              </w:rPr>
              <w:t>Common Stock</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Rush</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6"/>
              </w:rPr>
              <w:t>Accumulated</w:t>
            </w:r>
          </w:p>
        </w:tc>
        <w:tc>
          <w:tcPr>
            <w:tcW w:w="102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0"/>
              </w:rPr>
              <w:t>Enterprises,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980" w:type="dxa"/>
            <w:vAlign w:val="bottom"/>
          </w:tcPr>
          <w:p>
            <w:pPr>
              <w:jc w:val="center"/>
              <w:ind w:left="508"/>
              <w:spacing w:after="0" w:line="149" w:lineRule="exact"/>
              <w:rPr>
                <w:sz w:val="20"/>
                <w:szCs w:val="20"/>
                <w:color w:val="auto"/>
              </w:rPr>
            </w:pPr>
            <w:r>
              <w:rPr>
                <w:rFonts w:ascii="Arial" w:cs="Arial" w:eastAsia="Arial" w:hAnsi="Arial"/>
                <w:sz w:val="14"/>
                <w:szCs w:val="14"/>
                <w:color w:val="auto"/>
                <w:w w:val="90"/>
              </w:rPr>
              <w:t>Shares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$0.01</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6"/>
              </w:rPr>
              <w:t>Other</w:t>
            </w: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7"/>
              </w:rPr>
              <w:t>Inc.</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Outstanding</w:t>
            </w:r>
          </w:p>
        </w:tc>
        <w:tc>
          <w:tcPr>
            <w:tcW w:w="200" w:type="dxa"/>
            <w:vAlign w:val="bottom"/>
          </w:tcPr>
          <w:p>
            <w:pPr>
              <w:spacing w:after="0"/>
              <w:rPr>
                <w:sz w:val="14"/>
                <w:szCs w:val="14"/>
                <w:color w:val="auto"/>
              </w:rPr>
            </w:pPr>
          </w:p>
        </w:tc>
        <w:tc>
          <w:tcPr>
            <w:tcW w:w="660" w:type="dxa"/>
            <w:vAlign w:val="bottom"/>
          </w:tcPr>
          <w:p>
            <w:pPr>
              <w:jc w:val="right"/>
              <w:ind w:right="268"/>
              <w:spacing w:after="0"/>
              <w:rPr>
                <w:sz w:val="20"/>
                <w:szCs w:val="20"/>
                <w:color w:val="auto"/>
              </w:rPr>
            </w:pPr>
            <w:r>
              <w:rPr>
                <w:rFonts w:ascii="Arial" w:cs="Arial" w:eastAsia="Arial" w:hAnsi="Arial"/>
                <w:sz w:val="14"/>
                <w:szCs w:val="14"/>
                <w:color w:val="auto"/>
              </w:rPr>
              <w:t>Par</w:t>
            </w:r>
          </w:p>
        </w:tc>
        <w:tc>
          <w:tcPr>
            <w:tcW w:w="180" w:type="dxa"/>
            <w:vAlign w:val="bottom"/>
          </w:tcPr>
          <w:p>
            <w:pPr>
              <w:spacing w:after="0"/>
              <w:rPr>
                <w:sz w:val="14"/>
                <w:szCs w:val="14"/>
                <w:color w:val="auto"/>
              </w:rPr>
            </w:pPr>
          </w:p>
        </w:tc>
        <w:tc>
          <w:tcPr>
            <w:tcW w:w="720" w:type="dxa"/>
            <w:vAlign w:val="bottom"/>
          </w:tcPr>
          <w:p>
            <w:pPr>
              <w:jc w:val="center"/>
              <w:ind w:right="148"/>
              <w:spacing w:after="0"/>
              <w:rPr>
                <w:sz w:val="20"/>
                <w:szCs w:val="20"/>
                <w:color w:val="auto"/>
              </w:rPr>
            </w:pPr>
            <w:r>
              <w:rPr>
                <w:rFonts w:ascii="Arial" w:cs="Arial" w:eastAsia="Arial" w:hAnsi="Arial"/>
                <w:sz w:val="14"/>
                <w:szCs w:val="14"/>
                <w:color w:val="auto"/>
                <w:w w:val="95"/>
              </w:rPr>
              <w:t>Paid -In</w:t>
            </w:r>
          </w:p>
        </w:tc>
        <w:tc>
          <w:tcPr>
            <w:tcW w:w="1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86"/>
              </w:rPr>
              <w:t>Treasury</w:t>
            </w:r>
          </w:p>
        </w:tc>
        <w:tc>
          <w:tcPr>
            <w:tcW w:w="18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w w:val="92"/>
              </w:rPr>
              <w:t>Retained</w:t>
            </w:r>
          </w:p>
        </w:tc>
        <w:tc>
          <w:tcPr>
            <w:tcW w:w="1100" w:type="dxa"/>
            <w:vAlign w:val="bottom"/>
            <w:gridSpan w:val="2"/>
          </w:tcPr>
          <w:p>
            <w:pPr>
              <w:ind w:left="80"/>
              <w:spacing w:after="0"/>
              <w:rPr>
                <w:sz w:val="20"/>
                <w:szCs w:val="20"/>
                <w:color w:val="auto"/>
              </w:rPr>
            </w:pPr>
            <w:r>
              <w:rPr>
                <w:rFonts w:ascii="Arial" w:cs="Arial" w:eastAsia="Arial" w:hAnsi="Arial"/>
                <w:sz w:val="14"/>
                <w:szCs w:val="14"/>
                <w:color w:val="auto"/>
              </w:rPr>
              <w:t>Comprehensive</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2"/>
              </w:rPr>
              <w:t>Shareholders’</w:t>
            </w: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Noncontrolling</w:t>
            </w:r>
          </w:p>
        </w:tc>
        <w:tc>
          <w:tcPr>
            <w:tcW w:w="1020" w:type="dxa"/>
            <w:vAlign w:val="bottom"/>
            <w:gridSpan w:val="3"/>
          </w:tcPr>
          <w:p>
            <w:pPr>
              <w:ind w:left="12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98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Class A</w:t>
            </w: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Class B</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8"/>
              <w:spacing w:after="0" w:line="142" w:lineRule="exact"/>
              <w:rPr>
                <w:sz w:val="20"/>
                <w:szCs w:val="20"/>
                <w:color w:val="auto"/>
              </w:rPr>
            </w:pPr>
            <w:r>
              <w:rPr>
                <w:rFonts w:ascii="Arial" w:cs="Arial" w:eastAsia="Arial" w:hAnsi="Arial"/>
                <w:sz w:val="14"/>
                <w:szCs w:val="14"/>
                <w:color w:val="auto"/>
              </w:rPr>
              <w:t>Value</w:t>
            </w:r>
          </w:p>
        </w:tc>
        <w:tc>
          <w:tcPr>
            <w:tcW w:w="180" w:type="dxa"/>
            <w:vAlign w:val="bottom"/>
          </w:tcPr>
          <w:p>
            <w:pPr>
              <w:spacing w:after="0"/>
              <w:rPr>
                <w:sz w:val="12"/>
                <w:szCs w:val="12"/>
                <w:color w:val="auto"/>
              </w:rPr>
            </w:pPr>
          </w:p>
        </w:tc>
        <w:tc>
          <w:tcPr>
            <w:tcW w:w="720" w:type="dxa"/>
            <w:vAlign w:val="bottom"/>
          </w:tcPr>
          <w:p>
            <w:pPr>
              <w:jc w:val="center"/>
              <w:ind w:right="148"/>
              <w:spacing w:after="0" w:line="142"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2"/>
                <w:szCs w:val="12"/>
                <w:color w:val="auto"/>
              </w:rPr>
            </w:pPr>
          </w:p>
        </w:tc>
        <w:tc>
          <w:tcPr>
            <w:tcW w:w="72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Stock</w:t>
            </w:r>
          </w:p>
        </w:tc>
        <w:tc>
          <w:tcPr>
            <w:tcW w:w="180" w:type="dxa"/>
            <w:vAlign w:val="bottom"/>
          </w:tcPr>
          <w:p>
            <w:pPr>
              <w:spacing w:after="0"/>
              <w:rPr>
                <w:sz w:val="12"/>
                <w:szCs w:val="12"/>
                <w:color w:val="auto"/>
              </w:rPr>
            </w:pPr>
          </w:p>
        </w:tc>
        <w:tc>
          <w:tcPr>
            <w:tcW w:w="800" w:type="dxa"/>
            <w:vAlign w:val="bottom"/>
          </w:tcPr>
          <w:p>
            <w:pPr>
              <w:jc w:val="right"/>
              <w:ind w:right="188"/>
              <w:spacing w:after="0" w:line="142" w:lineRule="exact"/>
              <w:rPr>
                <w:sz w:val="20"/>
                <w:szCs w:val="20"/>
                <w:color w:val="auto"/>
              </w:rPr>
            </w:pPr>
            <w:r>
              <w:rPr>
                <w:rFonts w:ascii="Arial" w:cs="Arial" w:eastAsia="Arial" w:hAnsi="Arial"/>
                <w:sz w:val="14"/>
                <w:szCs w:val="14"/>
                <w:color w:val="auto"/>
                <w:w w:val="94"/>
              </w:rPr>
              <w:t>Earnings</w:t>
            </w: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2"/>
              </w:rPr>
              <w:t>Income (Loss)</w:t>
            </w:r>
          </w:p>
        </w:tc>
        <w:tc>
          <w:tcPr>
            <w:tcW w:w="220" w:type="dxa"/>
            <w:vAlign w:val="bottom"/>
          </w:tcPr>
          <w:p>
            <w:pPr>
              <w:spacing w:after="0"/>
              <w:rPr>
                <w:sz w:val="12"/>
                <w:szCs w:val="12"/>
                <w:color w:val="auto"/>
              </w:rPr>
            </w:pPr>
          </w:p>
        </w:tc>
        <w:tc>
          <w:tcPr>
            <w:tcW w:w="800" w:type="dxa"/>
            <w:vAlign w:val="bottom"/>
          </w:tcPr>
          <w:p>
            <w:pPr>
              <w:jc w:val="center"/>
              <w:ind w:right="188"/>
              <w:spacing w:after="0" w:line="142" w:lineRule="exact"/>
              <w:rPr>
                <w:sz w:val="20"/>
                <w:szCs w:val="20"/>
                <w:color w:val="auto"/>
              </w:rPr>
            </w:pPr>
            <w:r>
              <w:rPr>
                <w:rFonts w:ascii="Arial" w:cs="Arial" w:eastAsia="Arial" w:hAnsi="Arial"/>
                <w:sz w:val="14"/>
                <w:szCs w:val="14"/>
                <w:color w:val="auto"/>
                <w:w w:val="97"/>
              </w:rPr>
              <w:t>Equity</w:t>
            </w:r>
          </w:p>
        </w:tc>
        <w:tc>
          <w:tcPr>
            <w:tcW w:w="220" w:type="dxa"/>
            <w:vAlign w:val="bottom"/>
          </w:tcPr>
          <w:p>
            <w:pPr>
              <w:spacing w:after="0"/>
              <w:rPr>
                <w:sz w:val="12"/>
                <w:szCs w:val="12"/>
                <w:color w:val="auto"/>
              </w:rPr>
            </w:pPr>
          </w:p>
        </w:tc>
        <w:tc>
          <w:tcPr>
            <w:tcW w:w="840" w:type="dxa"/>
            <w:vAlign w:val="bottom"/>
          </w:tcPr>
          <w:p>
            <w:pPr>
              <w:jc w:val="right"/>
              <w:ind w:right="248"/>
              <w:spacing w:after="0" w:line="142" w:lineRule="exact"/>
              <w:rPr>
                <w:sz w:val="20"/>
                <w:szCs w:val="20"/>
                <w:color w:val="auto"/>
              </w:rPr>
            </w:pPr>
            <w:r>
              <w:rPr>
                <w:rFonts w:ascii="Arial" w:cs="Arial" w:eastAsia="Arial" w:hAnsi="Arial"/>
                <w:sz w:val="14"/>
                <w:szCs w:val="14"/>
                <w:color w:val="auto"/>
              </w:rPr>
              <w:t>Interest</w:t>
            </w:r>
          </w:p>
        </w:tc>
        <w:tc>
          <w:tcPr>
            <w:tcW w:w="26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9"/>
        </w:trPr>
        <w:tc>
          <w:tcPr>
            <w:tcW w:w="174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 December 31,</w:t>
            </w:r>
          </w:p>
        </w:tc>
        <w:tc>
          <w:tcPr>
            <w:tcW w:w="9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(130,930</w:t>
            </w:r>
            <w:r>
              <w:rPr>
                <w:rFonts w:ascii="Arial" w:cs="Arial" w:eastAsia="Arial" w:hAnsi="Arial"/>
                <w:sz w:val="14"/>
                <w:szCs w:val="14"/>
                <w:b w:val="1"/>
                <w:bCs w:val="1"/>
                <w:color w:val="auto"/>
              </w:rPr>
              <w:t>)</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(4,130</w:t>
            </w:r>
            <w:r>
              <w:rPr>
                <w:rFonts w:ascii="Arial" w:cs="Arial" w:eastAsia="Arial" w:hAnsi="Arial"/>
                <w:sz w:val="14"/>
                <w:szCs w:val="14"/>
                <w:b w:val="1"/>
                <w:bCs w:val="1"/>
                <w:color w:val="auto"/>
              </w:rPr>
              <w:t>)</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18,531</w:t>
            </w:r>
          </w:p>
        </w:tc>
        <w:tc>
          <w:tcPr>
            <w:tcW w:w="26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63,518</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18,125</w:t>
            </w:r>
          </w:p>
        </w:tc>
        <w:tc>
          <w:tcPr>
            <w:tcW w:w="20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w:t>
            </w:r>
          </w:p>
        </w:tc>
        <w:tc>
          <w:tcPr>
            <w:tcW w:w="180" w:type="dxa"/>
            <w:vAlign w:val="bottom"/>
            <w:vMerge w:val="continue"/>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500,642</w:t>
            </w:r>
          </w:p>
        </w:tc>
        <w:tc>
          <w:tcPr>
            <w:tcW w:w="1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1,378,337</w:t>
            </w:r>
          </w:p>
        </w:tc>
        <w:tc>
          <w:tcPr>
            <w:tcW w:w="26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1,744,491</w:t>
            </w:r>
          </w:p>
        </w:tc>
        <w:tc>
          <w:tcPr>
            <w:tcW w:w="22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1,763,022</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8"/>
              </w:rPr>
              <w:t>Stock options exercised and</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stock awards</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228</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3,412</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3,414</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3,414</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employee stock purchase</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13,080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13,080</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13,080</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Vesting of restricted share</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awards</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422</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(6,964)</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(6,961)</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(6,961)</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under employee stock</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2,828</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2,828</w:t>
            </w: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w w:val="98"/>
              </w:rPr>
              <w:t>Common stock repurchases</w:t>
            </w:r>
          </w:p>
        </w:tc>
        <w:tc>
          <w:tcPr>
            <w:tcW w:w="9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(623)</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w:t>
            </w:r>
          </w:p>
        </w:tc>
        <w:tc>
          <w:tcPr>
            <w:tcW w:w="20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(25,280)</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(25,280)</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(25,280)</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Cash dividends declared 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(8,897)</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(8,897)</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(8,897)</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9"/>
              </w:rPr>
              <w:t>Cash dividends declared 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Class B common stock</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(2,692)</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(2,692)</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(2,692)</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Foreign currency translation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90,455</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90,455</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335</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color w:val="auto"/>
              </w:rPr>
              <w:t>90,790</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March 31, 2023</w:t>
            </w:r>
          </w:p>
        </w:tc>
        <w:tc>
          <w:tcPr>
            <w:tcW w:w="980" w:type="dxa"/>
            <w:vAlign w:val="bottom"/>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63,225</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18,463</w:t>
            </w: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577</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512,998</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(156,210</w:t>
            </w: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1,457,203</w:t>
            </w:r>
          </w:p>
        </w:tc>
        <w:tc>
          <w:tcPr>
            <w:tcW w:w="2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(3,898</w:t>
            </w:r>
            <w:r>
              <w:rPr>
                <w:rFonts w:ascii="Arial" w:cs="Arial" w:eastAsia="Arial" w:hAnsi="Arial"/>
                <w:sz w:val="14"/>
                <w:szCs w:val="14"/>
                <w:b w:val="1"/>
                <w:bCs w:val="1"/>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1,810,670</w:t>
            </w:r>
          </w:p>
        </w:tc>
        <w:tc>
          <w:tcPr>
            <w:tcW w:w="22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18,866</w:t>
            </w:r>
          </w:p>
        </w:tc>
        <w:tc>
          <w:tcPr>
            <w:tcW w:w="2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1,829,536</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8"/>
              </w:rPr>
              <w:t>Stock options exercised and</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stock awards</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237</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3,479</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3,480</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employee stock purchase</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5,952</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5,952</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Vesting of restricted share</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awards</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Common stock repurchases</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(890)</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(40,305)</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(40,305)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(40,305)</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9"/>
              </w:rPr>
              <w:t>Cash dividends declared 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(8,812)</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(8,812)</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(8,812)</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Cash dividends declared 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common stock</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(2,725)</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(2,725)</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9"/>
              </w:rPr>
              <w:t>Foreign currency translation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1,689</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1,689</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98,275</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98,275</w:t>
            </w: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249</w:t>
            </w:r>
          </w:p>
        </w:tc>
        <w:tc>
          <w:tcPr>
            <w:tcW w:w="2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98,524</w:t>
            </w:r>
          </w:p>
        </w:tc>
        <w:tc>
          <w:tcPr>
            <w:tcW w:w="0" w:type="dxa"/>
            <w:vAlign w:val="bottom"/>
          </w:tcPr>
          <w:p>
            <w:pPr>
              <w:spacing w:after="0"/>
              <w:rPr>
                <w:sz w:val="1"/>
                <w:szCs w:val="1"/>
                <w:color w:val="auto"/>
              </w:rPr>
            </w:pPr>
          </w:p>
        </w:tc>
      </w:tr>
      <w:tr>
        <w:trPr>
          <w:trHeight w:val="142"/>
        </w:trPr>
        <w:tc>
          <w:tcPr>
            <w:tcW w:w="17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June 30, 2023</w:t>
            </w:r>
          </w:p>
        </w:tc>
        <w:tc>
          <w:tcPr>
            <w:tcW w:w="98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62,572</w:t>
            </w: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18,268</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578</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68"/>
              <w:spacing w:after="0" w:line="142" w:lineRule="exact"/>
              <w:rPr>
                <w:sz w:val="20"/>
                <w:szCs w:val="20"/>
                <w:color w:val="auto"/>
              </w:rPr>
            </w:pPr>
            <w:r>
              <w:rPr>
                <w:rFonts w:ascii="Arial" w:cs="Arial" w:eastAsia="Arial" w:hAnsi="Arial"/>
                <w:sz w:val="14"/>
                <w:szCs w:val="14"/>
                <w:color w:val="auto"/>
              </w:rPr>
              <w:t>522,375</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(196,515</w:t>
            </w:r>
            <w:r>
              <w:rPr>
                <w:rFonts w:ascii="Arial" w:cs="Arial" w:eastAsia="Arial" w:hAnsi="Arial"/>
                <w:sz w:val="14"/>
                <w:szCs w:val="14"/>
                <w:b w:val="1"/>
                <w:bCs w:val="1"/>
                <w:color w:val="auto"/>
              </w:rPr>
              <w:t>)</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68"/>
              <w:spacing w:after="0" w:line="142" w:lineRule="exact"/>
              <w:rPr>
                <w:sz w:val="20"/>
                <w:szCs w:val="20"/>
                <w:color w:val="auto"/>
              </w:rPr>
            </w:pPr>
            <w:r>
              <w:rPr>
                <w:rFonts w:ascii="Arial" w:cs="Arial" w:eastAsia="Arial" w:hAnsi="Arial"/>
                <w:sz w:val="14"/>
                <w:szCs w:val="14"/>
                <w:color w:val="auto"/>
              </w:rPr>
              <w:t>1,543,941</w:t>
            </w:r>
          </w:p>
        </w:tc>
        <w:tc>
          <w:tcPr>
            <w:tcW w:w="2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8"/>
              <w:spacing w:after="0" w:line="142" w:lineRule="exact"/>
              <w:rPr>
                <w:sz w:val="20"/>
                <w:szCs w:val="20"/>
                <w:color w:val="auto"/>
              </w:rPr>
            </w:pPr>
            <w:r>
              <w:rPr>
                <w:rFonts w:ascii="Arial" w:cs="Arial" w:eastAsia="Arial" w:hAnsi="Arial"/>
                <w:sz w:val="14"/>
                <w:szCs w:val="14"/>
                <w:color w:val="auto"/>
              </w:rPr>
              <w:t>(2,209</w:t>
            </w:r>
            <w:r>
              <w:rPr>
                <w:rFonts w:ascii="Arial" w:cs="Arial" w:eastAsia="Arial" w:hAnsi="Arial"/>
                <w:sz w:val="14"/>
                <w:szCs w:val="14"/>
                <w:b w:val="1"/>
                <w:bCs w:val="1"/>
                <w:color w:val="auto"/>
              </w:rPr>
              <w:t>)</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68"/>
              <w:spacing w:after="0" w:line="142" w:lineRule="exact"/>
              <w:rPr>
                <w:sz w:val="20"/>
                <w:szCs w:val="20"/>
                <w:color w:val="auto"/>
              </w:rPr>
            </w:pPr>
            <w:r>
              <w:rPr>
                <w:rFonts w:ascii="Arial" w:cs="Arial" w:eastAsia="Arial" w:hAnsi="Arial"/>
                <w:sz w:val="14"/>
                <w:szCs w:val="14"/>
                <w:color w:val="auto"/>
              </w:rPr>
              <w:t>1,868,170</w:t>
            </w:r>
          </w:p>
        </w:tc>
        <w:tc>
          <w:tcPr>
            <w:tcW w:w="2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19,115</w:t>
            </w:r>
          </w:p>
        </w:tc>
        <w:tc>
          <w:tcPr>
            <w:tcW w:w="2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1,887,285</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Stock options exercised and</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awards</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124</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1,888</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1,889</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Arial" w:cs="Arial" w:eastAsia="Arial" w:hAnsi="Arial"/>
                <w:sz w:val="14"/>
                <w:szCs w:val="14"/>
                <w:color w:val="auto"/>
                <w:w w:val="96"/>
              </w:rPr>
              <w:t>employee stock purchase</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plan</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6,265</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6,265</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6,265</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under employee stock</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107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3,124</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3,124</w:t>
            </w: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w w:val="98"/>
              </w:rPr>
              <w:t>Common stock repurchases</w:t>
            </w:r>
          </w:p>
        </w:tc>
        <w:tc>
          <w:tcPr>
            <w:tcW w:w="9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(750)</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(44,174)</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(44,174)</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(44,174)</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Retirement of treasury</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shares and par value</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224,520</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(224,744)</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9"/>
              </w:rPr>
              <w:t>Cash dividends declared 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Class A common stock</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(10,574)</w:t>
            </w:r>
          </w:p>
        </w:tc>
        <w:tc>
          <w:tcPr>
            <w:tcW w:w="26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(10,574)</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(10,574)</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Cash dividends declared 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 common stock</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(3,255)</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(3,255)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(3,255)</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9"/>
              </w:rPr>
              <w:t>Foreign currency translation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(2,108)</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(2,108)</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149"/>
        </w:trPr>
        <w:tc>
          <w:tcPr>
            <w:tcW w:w="17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80,278</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80,278</w:t>
            </w: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356</w:t>
            </w:r>
          </w:p>
        </w:tc>
        <w:tc>
          <w:tcPr>
            <w:tcW w:w="2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80,634</w:t>
            </w:r>
          </w:p>
        </w:tc>
        <w:tc>
          <w:tcPr>
            <w:tcW w:w="0" w:type="dxa"/>
            <w:vAlign w:val="bottom"/>
          </w:tcPr>
          <w:p>
            <w:pPr>
              <w:spacing w:after="0"/>
              <w:rPr>
                <w:sz w:val="1"/>
                <w:szCs w:val="1"/>
                <w:color w:val="auto"/>
              </w:rPr>
            </w:pPr>
          </w:p>
        </w:tc>
      </w:tr>
      <w:tr>
        <w:trPr>
          <w:trHeight w:val="119"/>
        </w:trPr>
        <w:tc>
          <w:tcPr>
            <w:tcW w:w="1740" w:type="dxa"/>
            <w:vAlign w:val="bottom"/>
          </w:tcPr>
          <w:p>
            <w:pPr>
              <w:spacing w:after="0" w:line="119" w:lineRule="exact"/>
              <w:rPr>
                <w:sz w:val="20"/>
                <w:szCs w:val="20"/>
                <w:color w:val="auto"/>
              </w:rPr>
            </w:pPr>
            <w:r>
              <w:rPr>
                <w:rFonts w:ascii="Arial" w:cs="Arial" w:eastAsia="Arial" w:hAnsi="Arial"/>
                <w:sz w:val="13"/>
                <w:szCs w:val="13"/>
                <w:b w:val="1"/>
                <w:bCs w:val="1"/>
                <w:color w:val="auto"/>
              </w:rPr>
              <w:t>Balance, September 30,</w:t>
            </w: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color w:val="auto"/>
              </w:rPr>
              <w:t>62,053</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17,989</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804</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color w:val="auto"/>
              </w:rPr>
              <w:t>533,648</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(16,169</w:t>
            </w:r>
            <w:r>
              <w:rPr>
                <w:rFonts w:ascii="Arial" w:cs="Arial" w:eastAsia="Arial" w:hAnsi="Arial"/>
                <w:sz w:val="14"/>
                <w:szCs w:val="14"/>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1,385,646</w:t>
            </w:r>
          </w:p>
        </w:tc>
        <w:tc>
          <w:tcPr>
            <w:tcW w:w="2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(4,317</w:t>
            </w:r>
            <w:r>
              <w:rPr>
                <w:rFonts w:ascii="Arial" w:cs="Arial" w:eastAsia="Arial" w:hAnsi="Arial"/>
                <w:sz w:val="14"/>
                <w:szCs w:val="14"/>
                <w:b w:val="1"/>
                <w:bCs w:val="1"/>
                <w:color w:val="auto"/>
              </w:rPr>
              <w:t>)</w:t>
            </w: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color w:val="auto"/>
              </w:rPr>
              <w:t>1,899,612</w:t>
            </w:r>
          </w:p>
        </w:tc>
        <w:tc>
          <w:tcPr>
            <w:tcW w:w="2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19,471</w:t>
            </w:r>
          </w:p>
        </w:tc>
        <w:tc>
          <w:tcPr>
            <w:tcW w:w="2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1,919,083</w:t>
            </w:r>
          </w:p>
        </w:tc>
        <w:tc>
          <w:tcPr>
            <w:tcW w:w="0" w:type="dxa"/>
            <w:vAlign w:val="bottom"/>
          </w:tcPr>
          <w:p>
            <w:pPr>
              <w:spacing w:after="0"/>
              <w:rPr>
                <w:sz w:val="1"/>
                <w:szCs w:val="1"/>
                <w:color w:val="auto"/>
              </w:rPr>
            </w:pPr>
          </w:p>
        </w:tc>
      </w:tr>
      <w:tr>
        <w:trPr>
          <w:trHeight w:val="136"/>
        </w:trPr>
        <w:tc>
          <w:tcPr>
            <w:tcW w:w="1740" w:type="dxa"/>
            <w:vAlign w:val="bottom"/>
          </w:tcPr>
          <w:p>
            <w:pPr>
              <w:spacing w:after="0" w:line="125" w:lineRule="exact"/>
              <w:rPr>
                <w:sz w:val="20"/>
                <w:szCs w:val="20"/>
                <w:color w:val="auto"/>
              </w:rPr>
            </w:pPr>
            <w:r>
              <w:rPr>
                <w:rFonts w:ascii="Arial" w:cs="Arial" w:eastAsia="Arial" w:hAnsi="Arial"/>
                <w:sz w:val="14"/>
                <w:szCs w:val="14"/>
                <w:b w:val="1"/>
                <w:bCs w:val="1"/>
                <w:color w:val="auto"/>
              </w:rPr>
              <w:t>2023</w:t>
            </w:r>
          </w:p>
        </w:tc>
        <w:tc>
          <w:tcPr>
            <w:tcW w:w="9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color w:val="auto"/>
                <w:w w:val="96"/>
              </w:rPr>
              <w:t>Total</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68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94"/>
              </w:rPr>
              <w:t>Common Stock</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1"/>
              </w:rPr>
              <w:t>Rush</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6"/>
              </w:rPr>
              <w:t>Accumulated</w:t>
            </w:r>
          </w:p>
        </w:tc>
        <w:tc>
          <w:tcPr>
            <w:tcW w:w="1020" w:type="dxa"/>
            <w:vAlign w:val="bottom"/>
            <w:gridSpan w:val="2"/>
          </w:tcPr>
          <w:p>
            <w:pPr>
              <w:jc w:val="center"/>
              <w:spacing w:after="0" w:line="141" w:lineRule="exact"/>
              <w:rPr>
                <w:sz w:val="20"/>
                <w:szCs w:val="20"/>
                <w:color w:val="auto"/>
              </w:rPr>
            </w:pPr>
            <w:r>
              <w:rPr>
                <w:rFonts w:ascii="Arial" w:cs="Arial" w:eastAsia="Arial" w:hAnsi="Arial"/>
                <w:sz w:val="14"/>
                <w:szCs w:val="14"/>
                <w:color w:val="auto"/>
                <w:w w:val="90"/>
              </w:rPr>
              <w:t>Enterprises,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980" w:type="dxa"/>
            <w:vAlign w:val="bottom"/>
          </w:tcPr>
          <w:p>
            <w:pPr>
              <w:jc w:val="center"/>
              <w:ind w:left="508"/>
              <w:spacing w:after="0" w:line="149" w:lineRule="exact"/>
              <w:rPr>
                <w:sz w:val="20"/>
                <w:szCs w:val="20"/>
                <w:color w:val="auto"/>
              </w:rPr>
            </w:pPr>
            <w:r>
              <w:rPr>
                <w:rFonts w:ascii="Arial" w:cs="Arial" w:eastAsia="Arial" w:hAnsi="Arial"/>
                <w:sz w:val="14"/>
                <w:szCs w:val="14"/>
                <w:color w:val="auto"/>
                <w:w w:val="90"/>
              </w:rPr>
              <w:t>Shares</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jc w:val="center"/>
              <w:ind w:right="268"/>
              <w:spacing w:after="0" w:line="149" w:lineRule="exact"/>
              <w:rPr>
                <w:sz w:val="20"/>
                <w:szCs w:val="20"/>
                <w:color w:val="auto"/>
              </w:rPr>
            </w:pPr>
            <w:r>
              <w:rPr>
                <w:rFonts w:ascii="Arial" w:cs="Arial" w:eastAsia="Arial" w:hAnsi="Arial"/>
                <w:sz w:val="14"/>
                <w:szCs w:val="14"/>
                <w:color w:val="auto"/>
                <w:w w:val="96"/>
              </w:rPr>
              <w:t>Other</w:t>
            </w:r>
          </w:p>
        </w:tc>
        <w:tc>
          <w:tcPr>
            <w:tcW w:w="220" w:type="dxa"/>
            <w:vAlign w:val="bottom"/>
          </w:tcPr>
          <w:p>
            <w:pPr>
              <w:spacing w:after="0"/>
              <w:rPr>
                <w:sz w:val="12"/>
                <w:szCs w:val="12"/>
                <w:color w:val="auto"/>
              </w:rPr>
            </w:pPr>
          </w:p>
        </w:tc>
        <w:tc>
          <w:tcPr>
            <w:tcW w:w="800" w:type="dxa"/>
            <w:vAlign w:val="bottom"/>
          </w:tcPr>
          <w:p>
            <w:pPr>
              <w:jc w:val="center"/>
              <w:ind w:right="188"/>
              <w:spacing w:after="0" w:line="149" w:lineRule="exact"/>
              <w:rPr>
                <w:sz w:val="20"/>
                <w:szCs w:val="20"/>
                <w:color w:val="auto"/>
              </w:rPr>
            </w:pPr>
            <w:r>
              <w:rPr>
                <w:rFonts w:ascii="Arial" w:cs="Arial" w:eastAsia="Arial" w:hAnsi="Arial"/>
                <w:sz w:val="14"/>
                <w:szCs w:val="14"/>
                <w:color w:val="auto"/>
                <w:w w:val="97"/>
              </w:rPr>
              <w:t>Inc.</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4"/>
                <w:szCs w:val="14"/>
                <w:color w:val="auto"/>
                <w:w w:val="95"/>
              </w:rPr>
              <w:t>Outstanding</w:t>
            </w:r>
          </w:p>
        </w:tc>
        <w:tc>
          <w:tcPr>
            <w:tcW w:w="860" w:type="dxa"/>
            <w:vAlign w:val="bottom"/>
            <w:gridSpan w:val="2"/>
          </w:tcPr>
          <w:p>
            <w:pPr>
              <w:jc w:val="right"/>
              <w:ind w:right="88"/>
              <w:spacing w:after="0"/>
              <w:rPr>
                <w:sz w:val="20"/>
                <w:szCs w:val="20"/>
                <w:color w:val="auto"/>
              </w:rPr>
            </w:pPr>
            <w:r>
              <w:rPr>
                <w:rFonts w:ascii="Arial" w:cs="Arial" w:eastAsia="Arial" w:hAnsi="Arial"/>
                <w:sz w:val="14"/>
                <w:szCs w:val="14"/>
                <w:color w:val="auto"/>
              </w:rPr>
              <w:t>$0.01 Par</w:t>
            </w:r>
          </w:p>
        </w:tc>
        <w:tc>
          <w:tcPr>
            <w:tcW w:w="180" w:type="dxa"/>
            <w:vAlign w:val="bottom"/>
          </w:tcPr>
          <w:p>
            <w:pPr>
              <w:spacing w:after="0"/>
              <w:rPr>
                <w:sz w:val="14"/>
                <w:szCs w:val="14"/>
                <w:color w:val="auto"/>
              </w:rPr>
            </w:pPr>
          </w:p>
        </w:tc>
        <w:tc>
          <w:tcPr>
            <w:tcW w:w="720" w:type="dxa"/>
            <w:vAlign w:val="bottom"/>
          </w:tcPr>
          <w:p>
            <w:pPr>
              <w:jc w:val="center"/>
              <w:ind w:right="148"/>
              <w:spacing w:after="0"/>
              <w:rPr>
                <w:sz w:val="20"/>
                <w:szCs w:val="20"/>
                <w:color w:val="auto"/>
              </w:rPr>
            </w:pPr>
            <w:r>
              <w:rPr>
                <w:rFonts w:ascii="Arial" w:cs="Arial" w:eastAsia="Arial" w:hAnsi="Arial"/>
                <w:sz w:val="14"/>
                <w:szCs w:val="14"/>
                <w:color w:val="auto"/>
                <w:w w:val="95"/>
              </w:rPr>
              <w:t>Paid -In</w:t>
            </w:r>
          </w:p>
        </w:tc>
        <w:tc>
          <w:tcPr>
            <w:tcW w:w="160" w:type="dxa"/>
            <w:vAlign w:val="bottom"/>
          </w:tcPr>
          <w:p>
            <w:pPr>
              <w:spacing w:after="0"/>
              <w:rPr>
                <w:sz w:val="14"/>
                <w:szCs w:val="14"/>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w w:val="86"/>
              </w:rPr>
              <w:t>Treasury</w:t>
            </w:r>
          </w:p>
        </w:tc>
        <w:tc>
          <w:tcPr>
            <w:tcW w:w="180" w:type="dxa"/>
            <w:vAlign w:val="bottom"/>
          </w:tcPr>
          <w:p>
            <w:pPr>
              <w:spacing w:after="0"/>
              <w:rPr>
                <w:sz w:val="14"/>
                <w:szCs w:val="14"/>
                <w:color w:val="auto"/>
              </w:rPr>
            </w:pPr>
          </w:p>
        </w:tc>
        <w:tc>
          <w:tcPr>
            <w:tcW w:w="800" w:type="dxa"/>
            <w:vAlign w:val="bottom"/>
          </w:tcPr>
          <w:p>
            <w:pPr>
              <w:jc w:val="right"/>
              <w:ind w:right="188"/>
              <w:spacing w:after="0"/>
              <w:rPr>
                <w:sz w:val="20"/>
                <w:szCs w:val="20"/>
                <w:color w:val="auto"/>
              </w:rPr>
            </w:pPr>
            <w:r>
              <w:rPr>
                <w:rFonts w:ascii="Arial" w:cs="Arial" w:eastAsia="Arial" w:hAnsi="Arial"/>
                <w:sz w:val="14"/>
                <w:szCs w:val="14"/>
                <w:color w:val="auto"/>
                <w:w w:val="92"/>
              </w:rPr>
              <w:t>Retained</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1"/>
              </w:rPr>
              <w:t>Comprehensive</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w w:val="92"/>
              </w:rPr>
              <w:t>Shareholders’</w:t>
            </w:r>
          </w:p>
        </w:tc>
        <w:tc>
          <w:tcPr>
            <w:tcW w:w="1060" w:type="dxa"/>
            <w:vAlign w:val="bottom"/>
            <w:gridSpan w:val="2"/>
          </w:tcPr>
          <w:p>
            <w:pPr>
              <w:ind w:left="80"/>
              <w:spacing w:after="0"/>
              <w:rPr>
                <w:sz w:val="20"/>
                <w:szCs w:val="20"/>
                <w:color w:val="auto"/>
              </w:rPr>
            </w:pPr>
            <w:r>
              <w:rPr>
                <w:rFonts w:ascii="Arial" w:cs="Arial" w:eastAsia="Arial" w:hAnsi="Arial"/>
                <w:sz w:val="14"/>
                <w:szCs w:val="14"/>
                <w:color w:val="auto"/>
              </w:rPr>
              <w:t>Noncontrolling</w:t>
            </w:r>
          </w:p>
        </w:tc>
        <w:tc>
          <w:tcPr>
            <w:tcW w:w="1020" w:type="dxa"/>
            <w:vAlign w:val="bottom"/>
            <w:gridSpan w:val="3"/>
          </w:tcPr>
          <w:p>
            <w:pPr>
              <w:ind w:left="12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98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Class A</w:t>
            </w: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Class B</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8"/>
              <w:spacing w:after="0" w:line="142" w:lineRule="exact"/>
              <w:rPr>
                <w:sz w:val="20"/>
                <w:szCs w:val="20"/>
                <w:color w:val="auto"/>
              </w:rPr>
            </w:pPr>
            <w:r>
              <w:rPr>
                <w:rFonts w:ascii="Arial" w:cs="Arial" w:eastAsia="Arial" w:hAnsi="Arial"/>
                <w:sz w:val="14"/>
                <w:szCs w:val="14"/>
                <w:color w:val="auto"/>
              </w:rPr>
              <w:t>Value</w:t>
            </w:r>
          </w:p>
        </w:tc>
        <w:tc>
          <w:tcPr>
            <w:tcW w:w="180" w:type="dxa"/>
            <w:vAlign w:val="bottom"/>
          </w:tcPr>
          <w:p>
            <w:pPr>
              <w:spacing w:after="0"/>
              <w:rPr>
                <w:sz w:val="12"/>
                <w:szCs w:val="12"/>
                <w:color w:val="auto"/>
              </w:rPr>
            </w:pPr>
          </w:p>
        </w:tc>
        <w:tc>
          <w:tcPr>
            <w:tcW w:w="720" w:type="dxa"/>
            <w:vAlign w:val="bottom"/>
          </w:tcPr>
          <w:p>
            <w:pPr>
              <w:jc w:val="center"/>
              <w:ind w:right="148"/>
              <w:spacing w:after="0" w:line="142" w:lineRule="exact"/>
              <w:rPr>
                <w:sz w:val="20"/>
                <w:szCs w:val="20"/>
                <w:color w:val="auto"/>
              </w:rPr>
            </w:pPr>
            <w:r>
              <w:rPr>
                <w:rFonts w:ascii="Arial" w:cs="Arial" w:eastAsia="Arial" w:hAnsi="Arial"/>
                <w:sz w:val="14"/>
                <w:szCs w:val="14"/>
                <w:color w:val="auto"/>
                <w:w w:val="96"/>
              </w:rPr>
              <w:t>Capital</w:t>
            </w:r>
          </w:p>
        </w:tc>
        <w:tc>
          <w:tcPr>
            <w:tcW w:w="160" w:type="dxa"/>
            <w:vAlign w:val="bottom"/>
          </w:tcPr>
          <w:p>
            <w:pPr>
              <w:spacing w:after="0"/>
              <w:rPr>
                <w:sz w:val="12"/>
                <w:szCs w:val="12"/>
                <w:color w:val="auto"/>
              </w:rPr>
            </w:pPr>
          </w:p>
        </w:tc>
        <w:tc>
          <w:tcPr>
            <w:tcW w:w="72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Stock</w:t>
            </w:r>
          </w:p>
        </w:tc>
        <w:tc>
          <w:tcPr>
            <w:tcW w:w="180" w:type="dxa"/>
            <w:vAlign w:val="bottom"/>
          </w:tcPr>
          <w:p>
            <w:pPr>
              <w:spacing w:after="0"/>
              <w:rPr>
                <w:sz w:val="12"/>
                <w:szCs w:val="12"/>
                <w:color w:val="auto"/>
              </w:rPr>
            </w:pPr>
          </w:p>
        </w:tc>
        <w:tc>
          <w:tcPr>
            <w:tcW w:w="800" w:type="dxa"/>
            <w:vAlign w:val="bottom"/>
          </w:tcPr>
          <w:p>
            <w:pPr>
              <w:jc w:val="right"/>
              <w:ind w:right="188"/>
              <w:spacing w:after="0" w:line="142" w:lineRule="exact"/>
              <w:rPr>
                <w:sz w:val="20"/>
                <w:szCs w:val="20"/>
                <w:color w:val="auto"/>
              </w:rPr>
            </w:pPr>
            <w:r>
              <w:rPr>
                <w:rFonts w:ascii="Arial" w:cs="Arial" w:eastAsia="Arial" w:hAnsi="Arial"/>
                <w:sz w:val="14"/>
                <w:szCs w:val="14"/>
                <w:color w:val="auto"/>
                <w:w w:val="94"/>
              </w:rPr>
              <w:t>Earnings</w:t>
            </w: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color w:val="auto"/>
                <w:w w:val="92"/>
              </w:rPr>
              <w:t>Income (Loss)</w:t>
            </w:r>
          </w:p>
        </w:tc>
        <w:tc>
          <w:tcPr>
            <w:tcW w:w="220" w:type="dxa"/>
            <w:vAlign w:val="bottom"/>
          </w:tcPr>
          <w:p>
            <w:pPr>
              <w:spacing w:after="0"/>
              <w:rPr>
                <w:sz w:val="12"/>
                <w:szCs w:val="12"/>
                <w:color w:val="auto"/>
              </w:rPr>
            </w:pPr>
          </w:p>
        </w:tc>
        <w:tc>
          <w:tcPr>
            <w:tcW w:w="800" w:type="dxa"/>
            <w:vAlign w:val="bottom"/>
          </w:tcPr>
          <w:p>
            <w:pPr>
              <w:jc w:val="center"/>
              <w:ind w:right="188"/>
              <w:spacing w:after="0" w:line="142" w:lineRule="exact"/>
              <w:rPr>
                <w:sz w:val="20"/>
                <w:szCs w:val="20"/>
                <w:color w:val="auto"/>
              </w:rPr>
            </w:pPr>
            <w:r>
              <w:rPr>
                <w:rFonts w:ascii="Arial" w:cs="Arial" w:eastAsia="Arial" w:hAnsi="Arial"/>
                <w:sz w:val="14"/>
                <w:szCs w:val="14"/>
                <w:color w:val="auto"/>
                <w:w w:val="97"/>
              </w:rPr>
              <w:t>Equity</w:t>
            </w:r>
          </w:p>
        </w:tc>
        <w:tc>
          <w:tcPr>
            <w:tcW w:w="220" w:type="dxa"/>
            <w:vAlign w:val="bottom"/>
          </w:tcPr>
          <w:p>
            <w:pPr>
              <w:spacing w:after="0"/>
              <w:rPr>
                <w:sz w:val="12"/>
                <w:szCs w:val="12"/>
                <w:color w:val="auto"/>
              </w:rPr>
            </w:pPr>
          </w:p>
        </w:tc>
        <w:tc>
          <w:tcPr>
            <w:tcW w:w="840" w:type="dxa"/>
            <w:vAlign w:val="bottom"/>
          </w:tcPr>
          <w:p>
            <w:pPr>
              <w:jc w:val="right"/>
              <w:ind w:right="248"/>
              <w:spacing w:after="0" w:line="142" w:lineRule="exact"/>
              <w:rPr>
                <w:sz w:val="20"/>
                <w:szCs w:val="20"/>
                <w:color w:val="auto"/>
              </w:rPr>
            </w:pPr>
            <w:r>
              <w:rPr>
                <w:rFonts w:ascii="Arial" w:cs="Arial" w:eastAsia="Arial" w:hAnsi="Arial"/>
                <w:sz w:val="14"/>
                <w:szCs w:val="14"/>
                <w:color w:val="auto"/>
              </w:rPr>
              <w:t>Interest</w:t>
            </w:r>
          </w:p>
        </w:tc>
        <w:tc>
          <w:tcPr>
            <w:tcW w:w="26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9"/>
        </w:trPr>
        <w:tc>
          <w:tcPr>
            <w:tcW w:w="174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 December 31,</w:t>
            </w:r>
          </w:p>
        </w:tc>
        <w:tc>
          <w:tcPr>
            <w:tcW w:w="9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(36,933</w:t>
            </w:r>
            <w:r>
              <w:rPr>
                <w:rFonts w:ascii="Arial" w:cs="Arial" w:eastAsia="Arial" w:hAnsi="Arial"/>
                <w:sz w:val="14"/>
                <w:szCs w:val="14"/>
                <w:b w:val="1"/>
                <w:bCs w:val="1"/>
                <w:color w:val="auto"/>
              </w:rPr>
              <w:t>)</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787</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2021</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64,662</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18,598</w:t>
            </w:r>
          </w:p>
        </w:tc>
        <w:tc>
          <w:tcPr>
            <w:tcW w:w="20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w:t>
            </w:r>
          </w:p>
        </w:tc>
        <w:tc>
          <w:tcPr>
            <w:tcW w:w="180" w:type="dxa"/>
            <w:vAlign w:val="bottom"/>
            <w:vMerge w:val="continue"/>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470,750</w:t>
            </w:r>
          </w:p>
        </w:tc>
        <w:tc>
          <w:tcPr>
            <w:tcW w:w="16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1,031,582</w:t>
            </w:r>
          </w:p>
        </w:tc>
        <w:tc>
          <w:tcPr>
            <w:tcW w:w="3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1,466,749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1,466,749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8"/>
              </w:rPr>
              <w:t>Stock options exercised and</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stock awards</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168</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2,384</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2,385</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2,385</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employee stock purchase</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13,793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13,793</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13,793</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Vesting of restricted share</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awards</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454</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(7,215)</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(7,212)</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(7,212)</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under employee stock</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 plan</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99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2,434</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2,435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2,435</w:t>
            </w: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w w:val="98"/>
              </w:rPr>
              <w:t>Common stock repurchases</w:t>
            </w:r>
          </w:p>
        </w:tc>
        <w:tc>
          <w:tcPr>
            <w:tcW w:w="9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(288)</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w:t>
            </w:r>
          </w:p>
        </w:tc>
        <w:tc>
          <w:tcPr>
            <w:tcW w:w="20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(15,315)</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(15,315)</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(15,315)</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 Class A common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(8,189)</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(8,189)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(8,189)</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Dividend Class B common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stock</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(2,505)</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(2,505)</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(2,505)</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Foreign currency translation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445</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92,453</w:t>
            </w:r>
          </w:p>
        </w:tc>
        <w:tc>
          <w:tcPr>
            <w:tcW w:w="3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92,453</w:t>
            </w:r>
          </w:p>
        </w:tc>
        <w:tc>
          <w:tcPr>
            <w:tcW w:w="22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92,453</w:t>
            </w:r>
          </w:p>
        </w:tc>
        <w:tc>
          <w:tcPr>
            <w:tcW w:w="0" w:type="dxa"/>
            <w:vAlign w:val="bottom"/>
          </w:tcPr>
          <w:p>
            <w:pPr>
              <w:spacing w:after="0"/>
              <w:rPr>
                <w:sz w:val="1"/>
                <w:szCs w:val="1"/>
                <w:color w:val="auto"/>
              </w:rPr>
            </w:pPr>
          </w:p>
        </w:tc>
      </w:tr>
      <w:tr>
        <w:trPr>
          <w:trHeight w:val="142"/>
        </w:trPr>
        <w:tc>
          <w:tcPr>
            <w:tcW w:w="1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March 31, 2022</w:t>
            </w:r>
          </w:p>
        </w:tc>
        <w:tc>
          <w:tcPr>
            <w:tcW w:w="980" w:type="dxa"/>
            <w:vAlign w:val="bottom"/>
            <w:tcBorders>
              <w:top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64,641</w:t>
            </w:r>
          </w:p>
        </w:tc>
        <w:tc>
          <w:tcPr>
            <w:tcW w:w="700" w:type="dxa"/>
            <w:vAlign w:val="bottom"/>
            <w:tcBorders>
              <w:top w:val="single" w:sz="8" w:color="auto"/>
            </w:tcBorders>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18,895</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568</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482,146</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(52,248</w:t>
            </w:r>
            <w:r>
              <w:rPr>
                <w:rFonts w:ascii="Arial" w:cs="Arial" w:eastAsia="Arial" w:hAnsi="Arial"/>
                <w:sz w:val="14"/>
                <w:szCs w:val="14"/>
                <w:b w:val="1"/>
                <w:bCs w:val="1"/>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1,113,341</w:t>
            </w:r>
          </w:p>
        </w:tc>
        <w:tc>
          <w:tcPr>
            <w:tcW w:w="300" w:type="dxa"/>
            <w:vAlign w:val="bottom"/>
            <w:tcBorders>
              <w:top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1,232</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1,545,039</w:t>
            </w: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1,545,039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8"/>
              </w:rPr>
              <w:t>Stock options exercised and</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stock awards</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244</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3,244</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3,246</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3,246</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6"/>
              </w:rPr>
              <w:t>employee stock purchase</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4,203</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4,203</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4,203</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Vesting of restricted share</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awards</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(1,423)</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(1,423)</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(1,423)</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Common stock repurchases</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(673)</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(496)</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(38,438)</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(38,438)</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(38,438)</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Dividend Class A common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stock</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(8,128)</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(8,128)</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(8,128)</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 Class B common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(2,521)</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(2,521)</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(2,521)</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9"/>
              </w:rPr>
              <w:t>Foreign currency translation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(567)</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(567)</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(567)</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of foreign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currency translation</w:t>
            </w: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equity method</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(601)</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(601)</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Noncontrolling interest</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equity</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17,828</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17,828</w:t>
            </w:r>
          </w:p>
        </w:tc>
        <w:tc>
          <w:tcPr>
            <w:tcW w:w="0" w:type="dxa"/>
            <w:vAlign w:val="bottom"/>
          </w:tcPr>
          <w:p>
            <w:pPr>
              <w:spacing w:after="0"/>
              <w:rPr>
                <w:sz w:val="1"/>
                <w:szCs w:val="1"/>
                <w:color w:val="auto"/>
              </w:rPr>
            </w:pPr>
          </w:p>
        </w:tc>
      </w:tr>
      <w:tr>
        <w:trPr>
          <w:trHeight w:val="148"/>
        </w:trPr>
        <w:tc>
          <w:tcPr>
            <w:tcW w:w="17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tcBorders>
              <w:bottom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110,227</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110,227</w:t>
            </w: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446</w:t>
            </w: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110,673</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line="142" w:lineRule="exact"/>
              <w:rPr>
                <w:sz w:val="20"/>
                <w:szCs w:val="20"/>
                <w:color w:val="auto"/>
              </w:rPr>
            </w:pPr>
            <w:r>
              <w:rPr>
                <w:rFonts w:ascii="Arial" w:cs="Arial" w:eastAsia="Arial" w:hAnsi="Arial"/>
                <w:sz w:val="14"/>
                <w:szCs w:val="14"/>
                <w:b w:val="1"/>
                <w:bCs w:val="1"/>
                <w:color w:val="auto"/>
              </w:rPr>
              <w:t>Balance, June 30, 2022</w:t>
            </w:r>
          </w:p>
        </w:tc>
        <w:tc>
          <w:tcPr>
            <w:tcW w:w="980" w:type="dxa"/>
            <w:vAlign w:val="bottom"/>
          </w:tcPr>
          <w:p>
            <w:pPr>
              <w:jc w:val="right"/>
              <w:ind w:right="228"/>
              <w:spacing w:after="0" w:line="142" w:lineRule="exact"/>
              <w:rPr>
                <w:sz w:val="20"/>
                <w:szCs w:val="20"/>
                <w:color w:val="auto"/>
              </w:rPr>
            </w:pPr>
            <w:r>
              <w:rPr>
                <w:rFonts w:ascii="Arial" w:cs="Arial" w:eastAsia="Arial" w:hAnsi="Arial"/>
                <w:sz w:val="14"/>
                <w:szCs w:val="14"/>
                <w:color w:val="auto"/>
              </w:rPr>
              <w:t>64,212</w:t>
            </w:r>
          </w:p>
        </w:tc>
        <w:tc>
          <w:tcPr>
            <w:tcW w:w="70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18,399</w:t>
            </w:r>
          </w:p>
        </w:tc>
        <w:tc>
          <w:tcPr>
            <w:tcW w:w="2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48"/>
              <w:spacing w:after="0" w:line="142" w:lineRule="exact"/>
              <w:rPr>
                <w:sz w:val="20"/>
                <w:szCs w:val="20"/>
                <w:color w:val="auto"/>
              </w:rPr>
            </w:pPr>
            <w:r>
              <w:rPr>
                <w:rFonts w:ascii="Arial" w:cs="Arial" w:eastAsia="Arial" w:hAnsi="Arial"/>
                <w:sz w:val="14"/>
                <w:szCs w:val="14"/>
                <w:color w:val="auto"/>
              </w:rPr>
              <w:t>570</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68"/>
              <w:spacing w:after="0" w:line="142" w:lineRule="exact"/>
              <w:rPr>
                <w:sz w:val="20"/>
                <w:szCs w:val="20"/>
                <w:color w:val="auto"/>
              </w:rPr>
            </w:pPr>
            <w:r>
              <w:rPr>
                <w:rFonts w:ascii="Arial" w:cs="Arial" w:eastAsia="Arial" w:hAnsi="Arial"/>
                <w:sz w:val="14"/>
                <w:szCs w:val="14"/>
                <w:color w:val="auto"/>
              </w:rPr>
              <w:t>488,170</w:t>
            </w: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8"/>
              <w:spacing w:after="0" w:line="142" w:lineRule="exact"/>
              <w:rPr>
                <w:sz w:val="20"/>
                <w:szCs w:val="20"/>
                <w:color w:val="auto"/>
              </w:rPr>
            </w:pPr>
            <w:r>
              <w:rPr>
                <w:rFonts w:ascii="Arial" w:cs="Arial" w:eastAsia="Arial" w:hAnsi="Arial"/>
                <w:sz w:val="14"/>
                <w:szCs w:val="14"/>
                <w:color w:val="auto"/>
              </w:rPr>
              <w:t>(90,686</w:t>
            </w:r>
            <w:r>
              <w:rPr>
                <w:rFonts w:ascii="Arial" w:cs="Arial" w:eastAsia="Arial" w:hAnsi="Arial"/>
                <w:sz w:val="14"/>
                <w:szCs w:val="14"/>
                <w:b w:val="1"/>
                <w:bCs w:val="1"/>
                <w:color w:val="auto"/>
              </w:rPr>
              <w:t>)</w:t>
            </w:r>
          </w:p>
        </w:tc>
        <w:tc>
          <w:tcPr>
            <w:tcW w:w="1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68"/>
              <w:spacing w:after="0" w:line="142" w:lineRule="exact"/>
              <w:rPr>
                <w:sz w:val="20"/>
                <w:szCs w:val="20"/>
                <w:color w:val="auto"/>
              </w:rPr>
            </w:pPr>
            <w:r>
              <w:rPr>
                <w:rFonts w:ascii="Arial" w:cs="Arial" w:eastAsia="Arial" w:hAnsi="Arial"/>
                <w:sz w:val="14"/>
                <w:szCs w:val="14"/>
                <w:color w:val="auto"/>
              </w:rPr>
              <w:t>1,212,919</w:t>
            </w:r>
          </w:p>
        </w:tc>
        <w:tc>
          <w:tcPr>
            <w:tcW w:w="30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line="142" w:lineRule="exact"/>
              <w:rPr>
                <w:sz w:val="20"/>
                <w:szCs w:val="20"/>
                <w:color w:val="auto"/>
              </w:rPr>
            </w:pPr>
            <w:r>
              <w:rPr>
                <w:rFonts w:ascii="Arial" w:cs="Arial" w:eastAsia="Arial" w:hAnsi="Arial"/>
                <w:sz w:val="14"/>
                <w:szCs w:val="14"/>
                <w:color w:val="auto"/>
              </w:rPr>
              <w:t>64</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68"/>
              <w:spacing w:after="0" w:line="142" w:lineRule="exact"/>
              <w:rPr>
                <w:sz w:val="20"/>
                <w:szCs w:val="20"/>
                <w:color w:val="auto"/>
              </w:rPr>
            </w:pPr>
            <w:r>
              <w:rPr>
                <w:rFonts w:ascii="Arial" w:cs="Arial" w:eastAsia="Arial" w:hAnsi="Arial"/>
                <w:sz w:val="14"/>
                <w:szCs w:val="14"/>
                <w:color w:val="auto"/>
              </w:rPr>
              <w:t>1,611,037</w:t>
            </w:r>
          </w:p>
        </w:tc>
        <w:tc>
          <w:tcPr>
            <w:tcW w:w="2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28"/>
              <w:spacing w:after="0" w:line="142" w:lineRule="exact"/>
              <w:rPr>
                <w:sz w:val="20"/>
                <w:szCs w:val="20"/>
                <w:color w:val="auto"/>
              </w:rPr>
            </w:pPr>
            <w:r>
              <w:rPr>
                <w:rFonts w:ascii="Arial" w:cs="Arial" w:eastAsia="Arial" w:hAnsi="Arial"/>
                <w:sz w:val="14"/>
                <w:szCs w:val="14"/>
                <w:color w:val="auto"/>
              </w:rPr>
              <w:t>18,274</w:t>
            </w:r>
          </w:p>
        </w:tc>
        <w:tc>
          <w:tcPr>
            <w:tcW w:w="26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1,629,311</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Stock options exercised and</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awards</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227</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Stock-based compensation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Arial" w:cs="Arial" w:eastAsia="Arial" w:hAnsi="Arial"/>
                <w:sz w:val="14"/>
                <w:szCs w:val="14"/>
                <w:color w:val="auto"/>
              </w:rPr>
              <w:t>related to stock options,</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180"/>
              <w:spacing w:after="0" w:line="149" w:lineRule="exact"/>
              <w:rPr>
                <w:sz w:val="20"/>
                <w:szCs w:val="20"/>
                <w:color w:val="auto"/>
              </w:rPr>
            </w:pPr>
            <w:r>
              <w:rPr>
                <w:rFonts w:ascii="Arial" w:cs="Arial" w:eastAsia="Arial" w:hAnsi="Arial"/>
                <w:sz w:val="14"/>
                <w:szCs w:val="14"/>
                <w:color w:val="auto"/>
              </w:rPr>
              <w:t>restricted shares and</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Arial" w:cs="Arial" w:eastAsia="Arial" w:hAnsi="Arial"/>
                <w:sz w:val="14"/>
                <w:szCs w:val="14"/>
                <w:color w:val="auto"/>
                <w:w w:val="96"/>
              </w:rPr>
              <w:t>employee stock purchase</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plan</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3,554</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3,554</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3,554</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share</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Issuance of common stock</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180"/>
              <w:spacing w:after="0" w:line="149" w:lineRule="exact"/>
              <w:rPr>
                <w:sz w:val="20"/>
                <w:szCs w:val="20"/>
                <w:color w:val="auto"/>
              </w:rPr>
            </w:pPr>
            <w:r>
              <w:rPr>
                <w:rFonts w:ascii="Arial" w:cs="Arial" w:eastAsia="Arial" w:hAnsi="Arial"/>
                <w:sz w:val="14"/>
                <w:szCs w:val="14"/>
                <w:color w:val="auto"/>
              </w:rPr>
              <w:t>under employee stock</w:t>
            </w:r>
          </w:p>
        </w:tc>
        <w:tc>
          <w:tcPr>
            <w:tcW w:w="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40" w:type="dxa"/>
            <w:vAlign w:val="bottom"/>
          </w:tcPr>
          <w:p>
            <w:pPr>
              <w:ind w:left="180"/>
              <w:spacing w:after="0"/>
              <w:rPr>
                <w:sz w:val="20"/>
                <w:szCs w:val="20"/>
                <w:color w:val="auto"/>
              </w:rPr>
            </w:pPr>
            <w:r>
              <w:rPr>
                <w:rFonts w:ascii="Arial" w:cs="Arial" w:eastAsia="Arial" w:hAnsi="Arial"/>
                <w:sz w:val="14"/>
                <w:szCs w:val="14"/>
                <w:color w:val="auto"/>
              </w:rPr>
              <w:t>purchase plan</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102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2,783</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2,784</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2,784</w:t>
            </w: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Common stock repurchases</w:t>
            </w:r>
          </w:p>
        </w:tc>
        <w:tc>
          <w:tcPr>
            <w:tcW w:w="9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rPr>
              <w:t>(769)</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(264)</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(33,095)</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(33,095)</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(33,095)</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rPr>
              <w:t>Dividend Class A common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20"/>
                <w:szCs w:val="20"/>
                <w:color w:val="auto"/>
              </w:rPr>
            </w:pPr>
            <w:r>
              <w:rPr>
                <w:rFonts w:ascii="Arial" w:cs="Arial" w:eastAsia="Arial" w:hAnsi="Arial"/>
                <w:sz w:val="14"/>
                <w:szCs w:val="14"/>
                <w:color w:val="auto"/>
              </w:rPr>
              <w:t>stock</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(8,995)</w:t>
            </w:r>
          </w:p>
        </w:tc>
        <w:tc>
          <w:tcPr>
            <w:tcW w:w="300" w:type="dxa"/>
            <w:vAlign w:val="bottom"/>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(8,995)</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(8,995)</w:t>
            </w:r>
          </w:p>
        </w:tc>
        <w:tc>
          <w:tcPr>
            <w:tcW w:w="0" w:type="dxa"/>
            <w:vAlign w:val="bottom"/>
          </w:tcPr>
          <w:p>
            <w:pPr>
              <w:spacing w:after="0"/>
              <w:rPr>
                <w:sz w:val="1"/>
                <w:szCs w:val="1"/>
                <w:color w:val="auto"/>
              </w:rPr>
            </w:pPr>
          </w:p>
        </w:tc>
      </w:tr>
      <w:tr>
        <w:trPr>
          <w:trHeight w:val="130"/>
        </w:trPr>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 Class B common</w:t>
            </w: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9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(2,698)</w:t>
            </w:r>
          </w:p>
        </w:tc>
        <w:tc>
          <w:tcPr>
            <w:tcW w:w="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(2,698)</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(2,698)</w:t>
            </w:r>
          </w:p>
        </w:tc>
        <w:tc>
          <w:tcPr>
            <w:tcW w:w="0" w:type="dxa"/>
            <w:vAlign w:val="bottom"/>
          </w:tcPr>
          <w:p>
            <w:pPr>
              <w:spacing w:after="0"/>
              <w:rPr>
                <w:sz w:val="1"/>
                <w:szCs w:val="1"/>
                <w:color w:val="auto"/>
              </w:rPr>
            </w:pPr>
          </w:p>
        </w:tc>
      </w:tr>
      <w:tr>
        <w:trPr>
          <w:trHeight w:val="130"/>
        </w:trPr>
        <w:tc>
          <w:tcPr>
            <w:tcW w:w="1740" w:type="dxa"/>
            <w:vAlign w:val="bottom"/>
          </w:tcPr>
          <w:p>
            <w:pPr>
              <w:spacing w:after="0" w:line="130" w:lineRule="exact"/>
              <w:rPr>
                <w:sz w:val="20"/>
                <w:szCs w:val="20"/>
                <w:color w:val="auto"/>
              </w:rPr>
            </w:pPr>
            <w:r>
              <w:rPr>
                <w:rFonts w:ascii="Arial" w:cs="Arial" w:eastAsia="Arial" w:hAnsi="Arial"/>
                <w:sz w:val="14"/>
                <w:szCs w:val="14"/>
                <w:color w:val="auto"/>
                <w:w w:val="99"/>
              </w:rPr>
              <w:t>Foreign currency translation</w:t>
            </w: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20"/>
                <w:szCs w:val="20"/>
                <w:color w:val="auto"/>
              </w:rPr>
            </w:pPr>
            <w:r>
              <w:rPr>
                <w:rFonts w:ascii="Arial" w:cs="Arial" w:eastAsia="Arial" w:hAnsi="Arial"/>
                <w:sz w:val="14"/>
                <w:szCs w:val="14"/>
                <w:color w:val="auto"/>
              </w:rPr>
              <w:t>adjustment</w:t>
            </w: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(5,701)</w:t>
            </w:r>
          </w:p>
        </w:tc>
        <w:tc>
          <w:tcPr>
            <w:tcW w:w="22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(5,701)</w:t>
            </w:r>
          </w:p>
        </w:tc>
        <w:tc>
          <w:tcPr>
            <w:tcW w:w="220" w:type="dxa"/>
            <w:vAlign w:val="bottom"/>
          </w:tcPr>
          <w:p>
            <w:pPr>
              <w:spacing w:after="0"/>
              <w:rPr>
                <w:sz w:val="14"/>
                <w:szCs w:val="1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(5,701)</w:t>
            </w: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90,376</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90,376</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287</w:t>
            </w:r>
          </w:p>
        </w:tc>
        <w:tc>
          <w:tcPr>
            <w:tcW w:w="2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90,663</w:t>
            </w:r>
          </w:p>
        </w:tc>
        <w:tc>
          <w:tcPr>
            <w:tcW w:w="0" w:type="dxa"/>
            <w:vAlign w:val="bottom"/>
          </w:tcPr>
          <w:p>
            <w:pPr>
              <w:spacing w:after="0"/>
              <w:rPr>
                <w:sz w:val="1"/>
                <w:szCs w:val="1"/>
                <w:color w:val="auto"/>
              </w:rPr>
            </w:pPr>
          </w:p>
        </w:tc>
      </w:tr>
      <w:tr>
        <w:trPr>
          <w:trHeight w:val="119"/>
        </w:trPr>
        <w:tc>
          <w:tcPr>
            <w:tcW w:w="1740" w:type="dxa"/>
            <w:vAlign w:val="bottom"/>
            <w:tcBorders>
              <w:top w:val="single" w:sz="8" w:color="CCEEFF"/>
            </w:tcBorders>
          </w:tcPr>
          <w:p>
            <w:pPr>
              <w:spacing w:after="0" w:line="119" w:lineRule="exact"/>
              <w:rPr>
                <w:sz w:val="20"/>
                <w:szCs w:val="20"/>
                <w:color w:val="auto"/>
              </w:rPr>
            </w:pPr>
            <w:r>
              <w:rPr>
                <w:rFonts w:ascii="Arial" w:cs="Arial" w:eastAsia="Arial" w:hAnsi="Arial"/>
                <w:sz w:val="13"/>
                <w:szCs w:val="13"/>
                <w:b w:val="1"/>
                <w:bCs w:val="1"/>
                <w:color w:val="auto"/>
              </w:rPr>
              <w:t>Balance, September 30,</w:t>
            </w:r>
          </w:p>
        </w:tc>
        <w:tc>
          <w:tcPr>
            <w:tcW w:w="980" w:type="dxa"/>
            <w:vAlign w:val="bottom"/>
            <w:tcBorders>
              <w:top w:val="single" w:sz="8" w:color="auto"/>
            </w:tcBorders>
            <w:vMerge w:val="restart"/>
          </w:tcPr>
          <w:p>
            <w:pPr>
              <w:jc w:val="right"/>
              <w:ind w:right="228"/>
              <w:spacing w:after="0"/>
              <w:rPr>
                <w:sz w:val="20"/>
                <w:szCs w:val="20"/>
                <w:color w:val="auto"/>
              </w:rPr>
            </w:pPr>
            <w:r>
              <w:rPr>
                <w:rFonts w:ascii="Arial" w:cs="Arial" w:eastAsia="Arial" w:hAnsi="Arial"/>
                <w:sz w:val="14"/>
                <w:szCs w:val="14"/>
                <w:color w:val="auto"/>
              </w:rPr>
              <w:t>63,561</w:t>
            </w:r>
          </w:p>
        </w:tc>
        <w:tc>
          <w:tcPr>
            <w:tcW w:w="700" w:type="dxa"/>
            <w:vAlign w:val="bottom"/>
            <w:tcBorders>
              <w:top w:val="single" w:sz="8" w:color="auto"/>
            </w:tcBorders>
            <w:gridSpan w:val="2"/>
            <w:vMerge w:val="restart"/>
          </w:tcPr>
          <w:p>
            <w:pPr>
              <w:jc w:val="right"/>
              <w:ind w:right="140"/>
              <w:spacing w:after="0"/>
              <w:rPr>
                <w:sz w:val="20"/>
                <w:szCs w:val="20"/>
                <w:color w:val="auto"/>
              </w:rPr>
            </w:pPr>
            <w:r>
              <w:rPr>
                <w:rFonts w:ascii="Arial" w:cs="Arial" w:eastAsia="Arial" w:hAnsi="Arial"/>
                <w:sz w:val="14"/>
                <w:szCs w:val="14"/>
                <w:color w:val="auto"/>
              </w:rPr>
              <w:t>18,138</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571</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494,703</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(123,781</w:t>
            </w:r>
            <w:r>
              <w:rPr>
                <w:rFonts w:ascii="Arial" w:cs="Arial" w:eastAsia="Arial" w:hAnsi="Arial"/>
                <w:sz w:val="14"/>
                <w:szCs w:val="14"/>
                <w:b w:val="1"/>
                <w:bCs w:val="1"/>
                <w:color w:val="auto"/>
              </w:rPr>
              <w:t>)</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1,291,602</w:t>
            </w:r>
          </w:p>
        </w:tc>
        <w:tc>
          <w:tcPr>
            <w:tcW w:w="30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(5,637</w:t>
            </w:r>
            <w:r>
              <w:rPr>
                <w:rFonts w:ascii="Arial" w:cs="Arial" w:eastAsia="Arial" w:hAnsi="Arial"/>
                <w:sz w:val="14"/>
                <w:szCs w:val="14"/>
                <w:b w:val="1"/>
                <w:bCs w:val="1"/>
                <w:color w:val="auto"/>
              </w:rPr>
              <w:t>)</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1,657,458</w:t>
            </w:r>
          </w:p>
        </w:tc>
        <w:tc>
          <w:tcPr>
            <w:tcW w:w="220" w:type="dxa"/>
            <w:vAlign w:val="bottom"/>
            <w:tcBorders>
              <w:top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18,561</w:t>
            </w:r>
          </w:p>
        </w:tc>
        <w:tc>
          <w:tcPr>
            <w:tcW w:w="260" w:type="dxa"/>
            <w:vAlign w:val="bottom"/>
            <w:tcBorders>
              <w:top w:val="single" w:sz="8" w:color="auto"/>
            </w:tcBorders>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1,676,019</w:t>
            </w:r>
          </w:p>
        </w:tc>
        <w:tc>
          <w:tcPr>
            <w:tcW w:w="1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40" w:type="dxa"/>
            <w:vAlign w:val="bottom"/>
          </w:tcPr>
          <w:p>
            <w:pPr>
              <w:spacing w:after="0" w:line="125" w:lineRule="exact"/>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gridSpan w:val="2"/>
            <w:vMerge w:val="continue"/>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Arial" w:cs="Arial" w:eastAsia="Arial" w:hAnsi="Arial"/>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STATEMENTS OF CASH FLOWS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8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(In Thousands)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3"/>
          </w:tcPr>
          <w:p>
            <w:pPr>
              <w:jc w:val="center"/>
              <w:ind w:right="380"/>
              <w:spacing w:after="0"/>
              <w:rPr>
                <w:sz w:val="20"/>
                <w:szCs w:val="20"/>
                <w:color w:val="auto"/>
              </w:rPr>
            </w:pPr>
            <w:r>
              <w:rPr>
                <w:rFonts w:ascii="Arial" w:cs="Arial" w:eastAsia="Arial" w:hAnsi="Arial"/>
                <w:sz w:val="18"/>
                <w:szCs w:val="18"/>
                <w:color w:val="auto"/>
                <w:w w:val="93"/>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269,948</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293,789</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165,145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146,477</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(2,433)</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Gain on joint venture transaction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(12,500)</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Gain on business acquisition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(6,958)</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Stock-based compensation expense related to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25,297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21,550</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7,921</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accounts receivable,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(42,822)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(75,066)</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(193,668)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(264,687)</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(2,078)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44,069</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Change in customer deposits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(13,334)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9,650</w:t>
            </w:r>
          </w:p>
        </w:tc>
      </w:tr>
      <w:tr>
        <w:trPr>
          <w:trHeight w:val="216"/>
        </w:trPr>
        <w:tc>
          <w:tcPr>
            <w:tcW w:w="8000" w:type="dxa"/>
            <w:vAlign w:val="bottom"/>
            <w:gridSpan w:val="6"/>
            <w:shd w:val="clear" w:color="auto" w:fill="CCEEFF"/>
          </w:tcPr>
          <w:p>
            <w:pPr>
              <w:ind w:left="500"/>
              <w:spacing w:after="0"/>
              <w:rPr>
                <w:sz w:val="20"/>
                <w:szCs w:val="20"/>
                <w:color w:val="auto"/>
              </w:rPr>
            </w:pPr>
            <w:r>
              <w:rPr>
                <w:rFonts w:ascii="Arial" w:cs="Arial" w:eastAsia="Arial" w:hAnsi="Arial"/>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25,464</w:t>
            </w:r>
          </w:p>
        </w:tc>
      </w:tr>
      <w:tr>
        <w:trPr>
          <w:trHeight w:val="216"/>
        </w:trPr>
        <w:tc>
          <w:tcPr>
            <w:tcW w:w="8000" w:type="dxa"/>
            <w:vAlign w:val="bottom"/>
            <w:gridSpan w:val="6"/>
          </w:tcPr>
          <w:p>
            <w:pPr>
              <w:ind w:left="50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(4,832)</w:t>
            </w:r>
          </w:p>
        </w:tc>
      </w:tr>
      <w:tr>
        <w:trPr>
          <w:trHeight w:val="210"/>
        </w:trPr>
        <w:tc>
          <w:tcPr>
            <w:tcW w:w="8000" w:type="dxa"/>
            <w:vAlign w:val="bottom"/>
            <w:tcBorders>
              <w:bottom w:val="single" w:sz="8" w:color="CCEEFF"/>
            </w:tcBorders>
            <w:gridSpan w:val="6"/>
            <w:shd w:val="clear" w:color="auto" w:fill="CCEEFF"/>
          </w:tcPr>
          <w:p>
            <w:pPr>
              <w:ind w:left="8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211,059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(289,079)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(175,243)</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7,014</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Business disposition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Business acquisition, net of cash acquired</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(15,754)</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(11,691)</w:t>
            </w:r>
          </w:p>
        </w:tc>
      </w:tr>
      <w:tr>
        <w:trPr>
          <w:trHeight w:val="20"/>
        </w:trPr>
        <w:tc>
          <w:tcPr>
            <w:tcW w:w="12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6"/>
          </w:tcPr>
          <w:p>
            <w:pPr>
              <w:ind w:left="8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(290,954)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(168,174)</w:t>
            </w:r>
          </w:p>
        </w:tc>
      </w:tr>
      <w:tr>
        <w:trPr>
          <w:trHeight w:val="210"/>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Draws on floor plan notes payable – non-trade, net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188,420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277,261</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995,081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695,169</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(962,792)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(788,757)</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 obligations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(13,447)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(11,091)</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w w:val="97"/>
              </w:rPr>
              <w:t>Proceeds from issuance of shares relating to employee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14,734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11,080</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(8,669)</w:t>
            </w: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Payments of cash dividends</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(37,097)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(33,123)</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Common stock repurchased</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(107,037)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(85,270)</w:t>
            </w:r>
          </w:p>
        </w:tc>
      </w:tr>
      <w:tr>
        <w:trPr>
          <w:trHeight w:val="210"/>
        </w:trPr>
        <w:tc>
          <w:tcPr>
            <w:tcW w:w="8000" w:type="dxa"/>
            <w:vAlign w:val="bottom"/>
            <w:tcBorders>
              <w:top w:val="single" w:sz="8" w:color="CCEEFF"/>
            </w:tcBorders>
            <w:gridSpan w:val="6"/>
          </w:tcPr>
          <w:p>
            <w:pPr>
              <w:ind w:left="8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70,845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56,600</w:t>
            </w:r>
          </w:p>
        </w:tc>
        <w:tc>
          <w:tcPr>
            <w:tcW w:w="100" w:type="dxa"/>
            <w:vAlign w:val="bottom"/>
            <w:tcBorders>
              <w:top w:val="single" w:sz="8" w:color="CCEEFF"/>
            </w:tcBorders>
          </w:tcPr>
          <w:p>
            <w:pPr>
              <w:spacing w:after="0"/>
              <w:rPr>
                <w:sz w:val="18"/>
                <w:szCs w:val="18"/>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71,745</w:t>
            </w:r>
          </w:p>
        </w:tc>
      </w:tr>
      <w:tr>
        <w:trPr>
          <w:trHeight w:val="216"/>
        </w:trPr>
        <w:tc>
          <w:tcPr>
            <w:tcW w:w="8000" w:type="dxa"/>
            <w:vAlign w:val="bottom"/>
            <w:gridSpan w:val="6"/>
          </w:tcPr>
          <w:p>
            <w:pPr>
              <w:spacing w:after="0"/>
              <w:rPr>
                <w:sz w:val="20"/>
                <w:szCs w:val="20"/>
                <w:color w:val="auto"/>
              </w:rPr>
            </w:pPr>
            <w:r>
              <w:rPr>
                <w:rFonts w:ascii="Arial" w:cs="Arial" w:eastAsia="Arial" w:hAnsi="Arial"/>
                <w:sz w:val="18"/>
                <w:szCs w:val="18"/>
                <w:color w:val="auto"/>
              </w:rPr>
              <w:t>Effect of exchange rate on cash</w:t>
            </w: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r>
      <w:tr>
        <w:trPr>
          <w:trHeight w:val="216"/>
        </w:trPr>
        <w:tc>
          <w:tcPr>
            <w:tcW w:w="800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201,044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148,146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6"/>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191,988</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219,519</w:t>
            </w: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6"/>
          </w:tcPr>
          <w:p>
            <w:pPr>
              <w:ind w:left="180"/>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40,233</w:t>
            </w:r>
          </w:p>
        </w:tc>
        <w:tc>
          <w:tcPr>
            <w:tcW w:w="5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12,966</w:t>
            </w:r>
          </w:p>
        </w:tc>
      </w:tr>
      <w:tr>
        <w:trPr>
          <w:trHeight w:val="216"/>
        </w:trPr>
        <w:tc>
          <w:tcPr>
            <w:tcW w:w="8000" w:type="dxa"/>
            <w:vAlign w:val="bottom"/>
            <w:gridSpan w:val="6"/>
          </w:tcPr>
          <w:p>
            <w:pPr>
              <w:ind w:left="340"/>
              <w:spacing w:after="0"/>
              <w:rPr>
                <w:sz w:val="20"/>
                <w:szCs w:val="20"/>
                <w:color w:val="auto"/>
              </w:rPr>
            </w:pPr>
            <w:r>
              <w:rPr>
                <w:rFonts w:ascii="Arial" w:cs="Arial" w:eastAsia="Arial" w:hAnsi="Arial"/>
                <w:sz w:val="18"/>
                <w:szCs w:val="18"/>
                <w:color w:val="auto"/>
              </w:rPr>
              <w:t>Income taxes, net of refunds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80,759</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74,320</w:t>
            </w:r>
          </w:p>
        </w:tc>
      </w:tr>
      <w:tr>
        <w:trPr>
          <w:trHeight w:val="216"/>
        </w:trPr>
        <w:tc>
          <w:tcPr>
            <w:tcW w:w="800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6"/>
          </w:tcPr>
          <w:p>
            <w:pPr>
              <w:ind w:left="340"/>
              <w:spacing w:after="0"/>
              <w:rPr>
                <w:sz w:val="20"/>
                <w:szCs w:val="20"/>
                <w:color w:val="auto"/>
              </w:rPr>
            </w:pPr>
            <w:r>
              <w:rPr>
                <w:rFonts w:ascii="Arial" w:cs="Arial" w:eastAsia="Arial" w:hAnsi="Arial"/>
                <w:sz w:val="18"/>
                <w:szCs w:val="18"/>
                <w:color w:val="auto"/>
              </w:rPr>
              <w:t>Assets acquired under finance leases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40,144</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14,290</w:t>
            </w:r>
          </w:p>
        </w:tc>
      </w:tr>
    </w:tbl>
    <w:p>
      <w:pPr>
        <w:spacing w:after="0" w:line="18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color w:val="auto"/>
        </w:rPr>
        <w:t>–</w:t>
      </w:r>
      <w:r>
        <w:rPr>
          <w:rFonts w:ascii="Arial" w:cs="Arial" w:eastAsia="Arial" w:hAnsi="Arial"/>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2022. Results of operations for interim periods are not necessarily indicative of results that may be expected for any other interim periods or the full fiscal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Restricted cash consists of deposits for the statutory restriction on cash related to the Company’s captive insurance company of $2.3 million as of September 30,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Split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25, 2023, the Board of Directors of the Company declared a 3-for-2 stock split of the Company’s Class A common stock and Class B common stock, which was effected in the form of a stock dividend. On August 28, 2023, the Company distributed one additional share of stock for every two shares of Class A common stock, par value $0.01 per share, and Class B common stock, par value $0.01 per share, held by shareholders of record as of August 7, 2023. All share and per share data in this Form 10-Q have been adjusted and restated to reflect the stock split as if it occurred on the first day of the earliest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May 16, 2023, the Company’s shareholders approved the Certificate of Amendment to the Restated Articles of Incorporation of the Company to increase the number of authorized shares of Class A Common Stock from 60,000,000 to 105,000,000 and Class B Common Stock from 20,000,000 to 35,000,000.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 Retirement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third quarter of 2023, the Company retired 3,052,899 shares of Class A common stock and 1,445,515 shares of Class B common stock. The Company recorded the retirement directly against retained earnings based on the Company’s policy election. The Company accounts for treasury stock using the cost method. There was no effect on the Company’s overall equity position due to the retirement of the treasury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 </w:t>
      </w:r>
      <w:r>
        <w:rPr>
          <w:rFonts w:ascii="Arial" w:cs="Arial" w:eastAsia="Arial" w:hAnsi="Arial"/>
          <w:sz w:val="18"/>
          <w:szCs w:val="18"/>
          <w:color w:val="auto"/>
        </w:rPr>
        <w:t>–</w:t>
      </w:r>
      <w:r>
        <w:rPr>
          <w:rFonts w:ascii="Arial" w:cs="Arial" w:eastAsia="Arial" w:hAnsi="Arial"/>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the Company is involved in litigation arising out of its operations in the ordinary course of business. The Company maintains liability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September 30, 2023,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ectPr>
          <w:pgSz w:w="11900" w:h="16838" w:orient="portrait"/>
          <w:cols w:equalWidth="0" w:num="1">
            <w:col w:w="11240"/>
          </w:cols>
          <w:pgMar w:left="320" w:top="125" w:right="3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w:t>
      </w:r>
      <w:r>
        <w:rPr>
          <w:rFonts w:ascii="Arial" w:cs="Arial" w:eastAsia="Arial" w:hAnsi="Arial"/>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w w:val="94"/>
              </w:rPr>
              <w:t>Numerator for basic and diluted earnings per share – Net income available to</w:t>
            </w:r>
          </w:p>
        </w:tc>
        <w:tc>
          <w:tcPr>
            <w:tcW w:w="240" w:type="dxa"/>
            <w:vAlign w:val="bottom"/>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80,278</w:t>
            </w:r>
          </w:p>
        </w:tc>
        <w:tc>
          <w:tcPr>
            <w:tcW w:w="260" w:type="dxa"/>
            <w:vAlign w:val="bottom"/>
          </w:tcPr>
          <w:p>
            <w:pPr>
              <w:spacing w:after="0"/>
              <w:rPr>
                <w:sz w:val="17"/>
                <w:szCs w:val="17"/>
                <w:color w:val="auto"/>
              </w:rPr>
            </w:pPr>
          </w:p>
        </w:tc>
        <w:tc>
          <w:tcPr>
            <w:tcW w:w="240" w:type="dxa"/>
            <w:vAlign w:val="bottom"/>
            <w:vMerge w:val="restart"/>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90,376</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269,008</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293,056</w:t>
            </w:r>
          </w:p>
        </w:tc>
        <w:tc>
          <w:tcPr>
            <w:tcW w:w="0" w:type="dxa"/>
            <w:vAlign w:val="bottom"/>
          </w:tcPr>
          <w:p>
            <w:pPr>
              <w:spacing w:after="0"/>
              <w:rPr>
                <w:sz w:val="1"/>
                <w:szCs w:val="1"/>
                <w:color w:val="auto"/>
              </w:rPr>
            </w:pPr>
          </w:p>
        </w:tc>
      </w:tr>
      <w:tr>
        <w:trPr>
          <w:trHeight w:val="217"/>
        </w:trPr>
        <w:tc>
          <w:tcPr>
            <w:tcW w:w="5980" w:type="dxa"/>
            <w:vAlign w:val="bottom"/>
          </w:tcPr>
          <w:p>
            <w:pPr>
              <w:ind w:left="340"/>
              <w:spacing w:after="0"/>
              <w:rPr>
                <w:sz w:val="20"/>
                <w:szCs w:val="20"/>
                <w:color w:val="auto"/>
              </w:rPr>
            </w:pPr>
            <w:r>
              <w:rPr>
                <w:rFonts w:ascii="Arial" w:cs="Arial" w:eastAsia="Arial" w:hAnsi="Arial"/>
                <w:sz w:val="18"/>
                <w:szCs w:val="18"/>
                <w:color w:val="auto"/>
              </w:rPr>
              <w:t>common shareholders</w:t>
            </w:r>
          </w:p>
        </w:tc>
        <w:tc>
          <w:tcPr>
            <w:tcW w:w="2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180"/>
              <w:spacing w:after="0" w:line="201" w:lineRule="exact"/>
              <w:rPr>
                <w:sz w:val="20"/>
                <w:szCs w:val="20"/>
                <w:color w:val="auto"/>
              </w:rPr>
            </w:pPr>
            <w:r>
              <w:rPr>
                <w:rFonts w:ascii="Arial" w:cs="Arial" w:eastAsia="Arial" w:hAnsi="Arial"/>
                <w:sz w:val="18"/>
                <w:szCs w:val="18"/>
                <w:color w:val="auto"/>
              </w:rPr>
              <w:t>Denominator for basic earnings per share – weighted average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4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81,229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82,848</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81,629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83,401</w:t>
            </w: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Effect of dilutive securities – Employee and director stock options and</w:t>
            </w:r>
          </w:p>
        </w:tc>
        <w:tc>
          <w:tcPr>
            <w:tcW w:w="2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2,465</w:t>
            </w:r>
          </w:p>
        </w:tc>
        <w:tc>
          <w:tcPr>
            <w:tcW w:w="2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2,622</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2,644</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 awards</w:t>
            </w: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980" w:type="dxa"/>
            <w:vAlign w:val="bottom"/>
          </w:tcPr>
          <w:p>
            <w:pPr>
              <w:ind w:left="180"/>
              <w:spacing w:after="0" w:line="195" w:lineRule="exact"/>
              <w:rPr>
                <w:sz w:val="20"/>
                <w:szCs w:val="20"/>
                <w:color w:val="auto"/>
              </w:rPr>
            </w:pPr>
            <w:r>
              <w:rPr>
                <w:rFonts w:ascii="Arial" w:cs="Arial" w:eastAsia="Arial" w:hAnsi="Arial"/>
                <w:sz w:val="18"/>
                <w:szCs w:val="18"/>
                <w:color w:val="auto"/>
              </w:rPr>
              <w:t>Denominator for diluted earnings per share – adjusted weighted average</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83,987</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85,313</w:t>
            </w:r>
          </w:p>
        </w:tc>
        <w:tc>
          <w:tcPr>
            <w:tcW w:w="24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84,251</w:t>
            </w: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86,045</w:t>
            </w:r>
          </w:p>
        </w:tc>
        <w:tc>
          <w:tcPr>
            <w:tcW w:w="0" w:type="dxa"/>
            <w:vAlign w:val="bottom"/>
          </w:tcPr>
          <w:p>
            <w:pPr>
              <w:spacing w:after="0"/>
              <w:rPr>
                <w:sz w:val="1"/>
                <w:szCs w:val="1"/>
                <w:color w:val="auto"/>
              </w:rPr>
            </w:pPr>
          </w:p>
        </w:tc>
      </w:tr>
      <w:tr>
        <w:trPr>
          <w:trHeight w:val="190"/>
        </w:trPr>
        <w:tc>
          <w:tcPr>
            <w:tcW w:w="5980" w:type="dxa"/>
            <w:vAlign w:val="bottom"/>
          </w:tcPr>
          <w:p>
            <w:pPr>
              <w:ind w:left="340"/>
              <w:spacing w:after="0" w:line="190" w:lineRule="exact"/>
              <w:rPr>
                <w:sz w:val="20"/>
                <w:szCs w:val="20"/>
                <w:color w:val="auto"/>
              </w:rPr>
            </w:pPr>
            <w:r>
              <w:rPr>
                <w:rFonts w:ascii="Arial" w:cs="Arial" w:eastAsia="Arial" w:hAnsi="Arial"/>
                <w:sz w:val="18"/>
                <w:szCs w:val="18"/>
                <w:color w:val="auto"/>
              </w:rPr>
              <w:t>shares outstanding and assumed conversions</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Diluted earnings per common share and common share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0.96</w:t>
            </w:r>
          </w:p>
        </w:tc>
        <w:tc>
          <w:tcPr>
            <w:tcW w:w="26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1.06</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3.19</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three months and nine months ended September 30, 2023 and 2022 that were not included in the computation of diluted earnings per share because the effect would have been anti-dilutive are as follows (in thousands):</w:t>
      </w:r>
    </w:p>
    <w:p>
      <w:pPr>
        <w:spacing w:after="0" w:line="12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4"/>
          </w:tcPr>
          <w:p>
            <w:pPr>
              <w:ind w:left="580"/>
              <w:spacing w:after="0"/>
              <w:rPr>
                <w:sz w:val="20"/>
                <w:szCs w:val="20"/>
                <w:color w:val="auto"/>
              </w:rPr>
            </w:pPr>
            <w:r>
              <w:rPr>
                <w:rFonts w:ascii="Arial" w:cs="Arial" w:eastAsia="Arial" w:hAnsi="Arial"/>
                <w:sz w:val="18"/>
                <w:szCs w:val="18"/>
                <w:color w:val="auto"/>
                <w:w w:val="99"/>
              </w:rPr>
              <w:t>Nine Months Ended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September 30,</w:t>
            </w:r>
          </w:p>
        </w:tc>
        <w:tc>
          <w:tcPr>
            <w:tcW w:w="4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color w:val="auto"/>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80" w:type="dxa"/>
            <w:vAlign w:val="bottom"/>
            <w:gridSpan w:val="2"/>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jc w:val="right"/>
              <w:ind w:right="2490"/>
              <w:spacing w:after="0"/>
              <w:rPr>
                <w:sz w:val="20"/>
                <w:szCs w:val="20"/>
                <w:color w:val="auto"/>
              </w:rPr>
            </w:pPr>
            <w:r>
              <w:rPr>
                <w:rFonts w:ascii="Arial" w:cs="Arial" w:eastAsia="Arial" w:hAnsi="Arial"/>
                <w:sz w:val="18"/>
                <w:szCs w:val="18"/>
                <w:color w:val="auto"/>
                <w:w w:val="90"/>
              </w:rPr>
              <w:t>Weighted average anti-dilutive options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1,079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1,353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1,261</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 </w:t>
      </w:r>
      <w:r>
        <w:rPr>
          <w:rFonts w:ascii="Arial" w:cs="Arial" w:eastAsia="Arial" w:hAnsi="Arial"/>
          <w:sz w:val="18"/>
          <w:szCs w:val="18"/>
          <w:color w:val="auto"/>
        </w:rPr>
        <w:t>–</w:t>
      </w:r>
      <w:r>
        <w:rPr>
          <w:rFonts w:ascii="Arial" w:cs="Arial" w:eastAsia="Arial" w:hAnsi="Arial"/>
          <w:sz w:val="18"/>
          <w:szCs w:val="18"/>
          <w:b w:val="1"/>
          <w:bCs w:val="1"/>
          <w:color w:val="auto"/>
        </w:rPr>
        <w:t xml:space="preserve"> Stock Options and Restricted Stock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stock-based compensation in accordance with Accounting Standards Codification (“ASC”) 718-10,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Stock Compensation, </w:t>
      </w:r>
      <w:r>
        <w:rPr>
          <w:rFonts w:ascii="Arial" w:cs="Arial" w:eastAsia="Arial" w:hAnsi="Arial"/>
          <w:sz w:val="18"/>
          <w:szCs w:val="18"/>
          <w:color w:val="auto"/>
        </w:rPr>
        <w:t>which requires the measurement and recognition of compensation expense for all share-based payment awards made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employees and directors, including employee stock options, restricted stock awards and employee stock purchases related to the Employee Stock Purchase Plan, based on estimated fair values.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Stock-based compensation expense, calculated using the Black-Scholes option-pricing model for employee stock options, and included in selling, general and administrative expense, was $6.3 million for the three months ended September 30, 2023, and $3.6 million for the three months ended September 30, 2022. Stock-based compensation expense was $25.3 million for the nine months ended September 30, 2023, and $21.5 million for the nine months ended September 30, 2022.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2023, the Company had $13.4 million of unrecognized compensation expense related to non-vested employee stock options to be recognized over a weighted-average period of 2.3 years and $15.6 million of unrecognized compensation cost related to non-vested restricted stock awards to be recognized over a weighted-average period of 1.4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September 30, 2023, and December 31, 2022. The carrying value of current assets and current liabilities approximates the fair value due to the short maturity of these items.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fair value of the Company’s long-term debt is based on secondary market indicators. Because the Company’s debt is not quoted, estimates are based on each obligation’s characteristics, including remaining maturities, variable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 </w:t>
      </w:r>
      <w:r>
        <w:rPr>
          <w:rFonts w:ascii="Arial" w:cs="Arial" w:eastAsia="Arial" w:hAnsi="Arial"/>
          <w:sz w:val="18"/>
          <w:szCs w:val="18"/>
          <w:color w:val="auto"/>
        </w:rPr>
        <w:t>–</w:t>
      </w:r>
      <w:r>
        <w:rPr>
          <w:rFonts w:ascii="Arial" w:cs="Arial" w:eastAsia="Arial" w:hAnsi="Arial"/>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currently has one reportable business segment - the Truck Segment. The Truck Segment includes the Company’s operation of a network of commercial vehicle dealerships throughout the United States and Ontario, Canada that provide an integrated one-stop source for the commercial vehicle needs of its customers, including retail sales of new and used commercial vehicles; aftermarket parts, service and collision center facilities; and financial services, including the financing of new and used commercial vehicle purchases, insurance products and truck leasing and rentals. The commercial vehicle dealerships are deemed a single reporting unit because they have similar economic characteristics. The Company’s chief operating decision maker considers the entire Truck Segment, not individual dealerships or departments within its dealerships, when making decisions about resources to be allocated to the segment and assessing its performance.</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has revenues attributable to three other operating segments. These segments include a retail tire company, an insurance agency and a guest ranch operation and are included in the All Other column below. None of these segments has ever met any of the quantitative thresholds for determining reportable segments.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contains summarized information about reportable segment revenues, segment income or loss from continuing operations and segment assets for the periods ended September 30, 2023 and 2022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Truck</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Segment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All Other</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7"/>
              </w:rPr>
              <w:t>As of and for the three months ended September 30, 2023</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1,976,395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1,980,740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121,675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121,621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107,560</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Segment assets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4,163,261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54,792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4,218,053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i w:val="1"/>
                <w:iCs w:val="1"/>
                <w:color w:val="auto"/>
              </w:rPr>
              <w:t>For the nine months ended September 30, 2023</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5,883,127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12,432</w:t>
            </w:r>
          </w:p>
        </w:tc>
        <w:tc>
          <w:tcPr>
            <w:tcW w:w="1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5,895,559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392,256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356,839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357,225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i w:val="1"/>
                <w:iCs w:val="1"/>
                <w:color w:val="auto"/>
                <w:w w:val="97"/>
              </w:rPr>
              <w:t>As of and for the three months ended September 30, 2022</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1,859,823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18"/>
                <w:szCs w:val="18"/>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1,864,286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Segment income before taxes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120,373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120,547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3,688,151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3,742,579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For the nine months ended September 30, 2022</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5,205,802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12,927</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5,218,729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Segment operating income</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368,596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369,559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before taxes</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380,397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381,079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7 </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had unrecognized income tax benefits totaling $5.3 million as a component of accrued liabilities as of September 30, 2023 and December 31, 2022,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$302,000 accrued for the payment of interest as of September 30, 2023 and December 31, 2022. No amounts were accrued for penalties.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does not anticipate a significant change in the amount of unrecognized tax benefits in the next 12 months. As of September 30, 2023, the tax years ended December 31, 2019 through 2022, remained subject to audit by federal tax authorities, and the tax years ended December 31, 2018 through 2022, remained subject to audit by state tax authorities.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 </w:t>
      </w:r>
      <w:r>
        <w:rPr>
          <w:rFonts w:ascii="Arial" w:cs="Arial" w:eastAsia="Arial" w:hAnsi="Arial"/>
          <w:sz w:val="18"/>
          <w:szCs w:val="18"/>
          <w:color w:val="auto"/>
        </w:rPr>
        <w:t>–</w:t>
      </w:r>
      <w:r>
        <w:rPr>
          <w:rFonts w:ascii="Arial" w:cs="Arial" w:eastAsia="Arial" w:hAnsi="Arial"/>
          <w:sz w:val="18"/>
          <w:szCs w:val="18"/>
          <w:b w:val="1"/>
          <w:bCs w:val="1"/>
          <w:color w:val="auto"/>
        </w:rPr>
        <w:t xml:space="preserve"> Revenue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non-lease and rental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the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Company’s disaggregated revenue by revenue source, excluding lease and rental revenue, for the three months and nine months ended September 30, 2023 and 2022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right"/>
              <w:ind w:right="490"/>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September 30,</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r>
      <w:tr>
        <w:trPr>
          <w:trHeight w:val="210"/>
        </w:trPr>
        <w:tc>
          <w:tcPr>
            <w:tcW w:w="20" w:type="dxa"/>
            <w:vAlign w:val="bottom"/>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84"/>
              </w:rPr>
              <w:t>2022</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sales revenue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1,235,767</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1,142,201</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3,648,286</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3,176,175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Parts revenue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376,183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373,207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1,141,081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1,080,552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repair service revenue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267,440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683,139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Finance revenue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Insurance revenue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5,567</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18,383</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1,891,274</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1,778,598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5,630,878</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4,981,168</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of the Company's performance obligations and associated revenues are generally transferred to customers at a point in time. The Company did not have any material contract assets or contract liabilities on the balance sheet as of September 30, 2023. Revenues related to commercial vehicle sales, parts sales, commercial vehicle repair service, finance and the majority of other revenues are related to the Truck Segment.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 </w:t>
      </w:r>
      <w:r>
        <w:rPr>
          <w:rFonts w:ascii="Arial" w:cs="Arial" w:eastAsia="Arial" w:hAnsi="Arial"/>
          <w:sz w:val="18"/>
          <w:szCs w:val="18"/>
          <w:color w:val="auto"/>
        </w:rPr>
        <w:t>–</w:t>
      </w:r>
      <w:r>
        <w:rPr>
          <w:rFonts w:ascii="Arial" w:cs="Arial" w:eastAsia="Arial" w:hAnsi="Arial"/>
          <w:sz w:val="18"/>
          <w:szCs w:val="18"/>
          <w:b w:val="1"/>
          <w:bCs w:val="1"/>
          <w:color w:val="auto"/>
        </w:rPr>
        <w:t xml:space="preserve">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of Vehicles as Lessor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primarily leases commercial vehicles that the Company owns to customers primarily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Lease and rental income during the three and nine months ended September 30, 2023 and September 30, 2022 consisted of the following (in thousands):</w:t>
      </w:r>
    </w:p>
    <w:p>
      <w:pPr>
        <w:spacing w:after="0" w:line="170"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5"/>
          </w:tcPr>
          <w:p>
            <w:pPr>
              <w:jc w:val="right"/>
              <w:ind w:right="6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r>
      <w:tr>
        <w:trPr>
          <w:trHeight w:val="230"/>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right"/>
              <w:ind w:right="90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color w:val="auto"/>
              </w:rPr>
              <w:t>September 30,</w:t>
            </w:r>
          </w:p>
        </w:tc>
      </w:tr>
      <w:tr>
        <w:trPr>
          <w:trHeight w:val="209"/>
        </w:trPr>
        <w:tc>
          <w:tcPr>
            <w:tcW w:w="43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8"/>
                <w:szCs w:val="18"/>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Minimum rental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77,685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73,797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229,276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205,070</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Nonlease payments</w:t>
            </w: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11,781</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11,891</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35,405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32,491</w:t>
            </w:r>
          </w:p>
        </w:tc>
      </w:tr>
      <w:tr>
        <w:trPr>
          <w:trHeight w:val="20"/>
        </w:trPr>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89,466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264,681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237,561</w:t>
            </w:r>
          </w:p>
        </w:tc>
      </w:tr>
      <w:tr>
        <w:trPr>
          <w:trHeight w:val="20"/>
        </w:trPr>
        <w:tc>
          <w:tcPr>
            <w:tcW w:w="4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18"/>
          <w:szCs w:val="18"/>
          <w:color w:val="auto"/>
        </w:rPr>
        <w:t>–</w:t>
      </w:r>
      <w:r>
        <w:rPr>
          <w:rFonts w:ascii="Arial" w:cs="Arial" w:eastAsia="Arial" w:hAnsi="Arial"/>
          <w:sz w:val="18"/>
          <w:szCs w:val="18"/>
          <w:b w:val="1"/>
          <w:bCs w:val="1"/>
          <w:color w:val="auto"/>
        </w:rPr>
        <w:t xml:space="preserve"> Accumulated Other Comprehensive Income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components of accumulated other comprehensive income (loss) (in thousands):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(4,130)</w:t>
            </w: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r>
      <w:tr>
        <w:trPr>
          <w:trHeight w:val="20"/>
        </w:trPr>
        <w:tc>
          <w:tcPr>
            <w:tcW w:w="7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March 31, 2023</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(3,898)</w:t>
            </w: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1,689</w:t>
            </w:r>
          </w:p>
        </w:tc>
      </w:tr>
      <w:tr>
        <w:trPr>
          <w:trHeight w:val="20"/>
        </w:trPr>
        <w:tc>
          <w:tcPr>
            <w:tcW w:w="7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w:t>
            </w:r>
          </w:p>
        </w:tc>
      </w:tr>
      <w:tr>
        <w:trPr>
          <w:trHeight w:val="216"/>
        </w:trPr>
        <w:tc>
          <w:tcPr>
            <w:tcW w:w="75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4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(2,108)</w:t>
            </w:r>
          </w:p>
        </w:tc>
      </w:tr>
      <w:tr>
        <w:trPr>
          <w:trHeight w:val="20"/>
        </w:trPr>
        <w:tc>
          <w:tcPr>
            <w:tcW w:w="7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(4,317)</w:t>
            </w:r>
          </w:p>
        </w:tc>
      </w:tr>
      <w:tr>
        <w:trPr>
          <w:trHeight w:val="20"/>
        </w:trPr>
        <w:tc>
          <w:tcPr>
            <w:tcW w:w="75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functional currency of the Company’s foreign subsidiary, RTC Canada, is its local currency. Results of operations of RTC Canada are translated into USD using the average exchange rates on a monthly basis during the year. The assets and liabilities of RTC Canada are translated into USD using the exchange rates in effect on the balance sheet date. The related translation adjustments are recorded in a separate component of stockholders' equity in accumulated other comprehensive loss and the statement of comprehensive income.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establishes an allowance for credit losses to present the net amount of accounts receivable expected to be collected. Under Accounting Standards Update No.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the Company is required to remeasure expected credit losses for financial instruments held on the reporting date based on historical experience, current conditions and reasonable forecasts.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Provision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Write offs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the Nine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Against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color w:val="auto"/>
                <w:w w:val="89"/>
              </w:rPr>
              <w:t>Balance</w:t>
            </w:r>
          </w:p>
        </w:tc>
        <w:tc>
          <w:tcPr>
            <w:tcW w:w="22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Allowance,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Balance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220" w:type="dxa"/>
            <w:vAlign w:val="bottom"/>
          </w:tcPr>
          <w:p>
            <w:pPr>
              <w:spacing w:after="0"/>
              <w:rPr>
                <w:sz w:val="18"/>
                <w:szCs w:val="18"/>
                <w:color w:val="auto"/>
              </w:rPr>
            </w:pP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net of</w:t>
            </w:r>
          </w:p>
        </w:tc>
        <w:tc>
          <w:tcPr>
            <w:tcW w:w="6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2022</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2023</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Recoveries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Commercial vehicle receivables</w:t>
            </w:r>
          </w:p>
        </w:tc>
        <w:tc>
          <w:tcPr>
            <w:tcW w:w="15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Manufacturers’ receivables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Leasing, parts and service receivables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receivables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(3,982)</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00" w:type="dxa"/>
            <w:vAlign w:val="bottom"/>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 xml:space="preserve"> Acquisition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On May 2, 2022, the Company completed the acquisition of an additional 30% equity interest in RTC Canada, resulting in an 80% controlling interest in RTC Canada. The acquisition was accounted for as an acquisition achieved in stages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acquisition-date fair value of the previous 50% equity interest was $44.7 million, resulting in a gain of $7.0 million included in the line item Other income (expense) on the Consolidated Statements of Income for the nine months ended September 30, 2022. The Company also recognized a reversal of deferred tax liabilities of $2.2 million and $0.6 million related to reclassification of the foreign currency translation adjustment related to the remeasurement of the Company’s previous equity method investment in RTC Canada Income for the nine months ended September 30, 2022.</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As of May 2, 2022, the Company established a noncontrolling interest related to the minority holders. The fair value of the 20% noncontrolling interest in RTC Canada is estimated to be $17.8 million. The fair value of the noncontrolling interest was estimated using a combination of the income approach and a market approach. Since RTC Canada is a private company, the fair value measurement is based on significant inputs that are not observable in the market and thus represents a Level 3 measurement as defined in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The fair value estimates are based on: (i) a discount rate of 11%; (ii) a terminal value based on a long-term sustainable growth rate of 3%; (iii) financial multiples of companies in the same industry as RTC Canada; and (iv) adjustments because of the lack of control or lack of marketability that market participants would consider when estimating the fair value of the noncontrolling interest in RTC Canada.</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purchase price was allocated based on the fair values of the assets and liabilities at the date of acquisition as follows (in thousands):</w:t>
      </w:r>
    </w:p>
    <w:p>
      <w:pPr>
        <w:spacing w:after="0" w:line="25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19,072</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56,255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Property and equipment, including real estate</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80,196</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Floor plan 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(30,501)</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Trade payables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(19,978)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(1,980)</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(7,875)</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(69,545)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44,174</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rights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3,422</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in RTC Canada</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(37,309)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(17,828)</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equity method investment</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(6,958)</w:t>
            </w:r>
          </w:p>
        </w:tc>
      </w:tr>
      <w:tr>
        <w:trPr>
          <w:trHeight w:val="210"/>
        </w:trPr>
        <w:tc>
          <w:tcPr>
            <w:tcW w:w="738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36"/>
        </w:trPr>
        <w:tc>
          <w:tcPr>
            <w:tcW w:w="7380" w:type="dxa"/>
            <w:vAlign w:val="bottom"/>
            <w:shd w:val="clear" w:color="auto" w:fill="CCEEFF"/>
          </w:tcPr>
          <w:p>
            <w:pPr>
              <w:ind w:left="1960"/>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19,361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goodwill of $44.2 million for the RTC Canada acquisition was primarily attributable to the synergies expected to arise after the Company obtained a controlling interest in the entity.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May 2, 2022, the Company accounted for its 50% equity interest in RTC Canada as an equity-method investment. Subsequent to the Company’s acquisition of the additional 30% equity interest on May 2, 2022, operations of RTC Canada are included in the accompanying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 xml:space="preserve"> Subsequent Event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November 1, 2023, the Company entered into that certain Second Amended and Restated Inventory Financing and Purchase Money Security Agreement with PACCAR Leasing Company (“PLC”), a division of PACCAR Financial Corp. (the “PLC Amended and Restated Agreement”). Pursuant to the terms of the PLC Amended and Restated Agreement, PLC agreed to make up to $300.0 million of revolving credit loans to finance certain of the Company’s capital expenditures, including commercial vehicle purchases and other equipment to be leased or rented through its PacLease franchises. The Company may borrow, repay and reborrow amounts pursuant to the PLC Amended and Restated Agreement from time to time until the maturity date, provided, however, that the outstanding principal amount on any date shall not exceed the borrowing base. The PLC Amended and Restated Agreement requires the Company to maintain a minimum balance threshold of $190,000,000. Advances under the PLC Amended and Restated Agreement bear interest per annum, payable on the fifth day of the following month, at our option, at either (A) the prime rate, minus 1.95%, provided that the floating rate of interest is subject to a floor of 0%, or (B) a fixed rate, to be determined between the Company and PLC in each instance of borrowing at a fixed rate. The PLC Amended and Restated Agreement expires on December 1, 2025, although either party has the right to terminate the PLC Amended and Restated Agreement at any time upon 180 days written notice.</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w:t>
      </w:r>
      <w:r>
        <w:rPr>
          <w:rFonts w:ascii="Arial" w:cs="Arial" w:eastAsia="Arial" w:hAnsi="Arial"/>
          <w:sz w:val="16"/>
          <w:szCs w:val="16"/>
          <w:color w:val="auto"/>
        </w:rPr>
        <w:t>’</w:t>
      </w:r>
      <w:r>
        <w:rPr>
          <w:rFonts w:ascii="Arial" w:cs="Arial" w:eastAsia="Arial" w:hAnsi="Arial"/>
          <w:sz w:val="16"/>
          <w:szCs w:val="16"/>
          <w:i w:val="1"/>
          <w:iCs w:val="1"/>
          <w:color w:val="auto"/>
        </w:rPr>
        <w:t>s behalf from time to time in other reports, filings with the Securities and Exchange Commission (</w:t>
      </w: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w:t>
      </w:r>
      <w:r>
        <w:rPr>
          <w:rFonts w:ascii="Arial" w:cs="Arial" w:eastAsia="Arial" w:hAnsi="Arial"/>
          <w:sz w:val="16"/>
          <w:szCs w:val="16"/>
          <w:i w:val="1"/>
          <w:iCs w:val="1"/>
          <w:color w:val="auto"/>
        </w:rPr>
        <w:t xml:space="preserve">), news releases, conferences, website postings or otherwise) that are not statements of historical fact constitute </w:t>
      </w:r>
      <w:r>
        <w:rPr>
          <w:rFonts w:ascii="Arial" w:cs="Arial" w:eastAsia="Arial" w:hAnsi="Arial"/>
          <w:sz w:val="16"/>
          <w:szCs w:val="16"/>
          <w:color w:val="auto"/>
        </w:rPr>
        <w:t>“</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r>
        <w:rPr>
          <w:rFonts w:ascii="Arial" w:cs="Arial" w:eastAsia="Arial" w:hAnsi="Arial"/>
          <w:sz w:val="16"/>
          <w:szCs w:val="16"/>
          <w:i w:val="1"/>
          <w:iCs w:val="1"/>
          <w:color w:val="auto"/>
        </w:rPr>
        <w:t xml:space="preserve"> within the meaning of the Private Securities Litigation Reform Act of 1995, Section 27A of the Securities Act of 1933, as amended (the </w:t>
      </w: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w:t>
      </w:r>
      <w:r>
        <w:rPr>
          <w:rFonts w:ascii="Arial" w:cs="Arial" w:eastAsia="Arial" w:hAnsi="Arial"/>
          <w:sz w:val="16"/>
          <w:szCs w:val="16"/>
          <w:i w:val="1"/>
          <w:iCs w:val="1"/>
          <w:color w:val="auto"/>
        </w:rPr>
        <w:t xml:space="preserve">), and Section 21E of the Exchange Act of 1934, as amended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notwithstanding that such statements are not specifically identified. Forward-looking statements include statements about the Company</w:t>
      </w:r>
      <w:r>
        <w:rPr>
          <w:rFonts w:ascii="Arial" w:cs="Arial" w:eastAsia="Arial" w:hAnsi="Arial"/>
          <w:sz w:val="16"/>
          <w:szCs w:val="16"/>
          <w:color w:val="auto"/>
        </w:rPr>
        <w:t>’</w:t>
      </w:r>
      <w:r>
        <w:rPr>
          <w:rFonts w:ascii="Arial" w:cs="Arial" w:eastAsia="Arial" w:hAnsi="Arial"/>
          <w:sz w:val="16"/>
          <w:szCs w:val="16"/>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Arial" w:cs="Arial" w:eastAsia="Arial" w:hAnsi="Arial"/>
          <w:sz w:val="16"/>
          <w:szCs w:val="16"/>
          <w:color w:val="auto"/>
        </w:rPr>
        <w:t>’</w:t>
      </w:r>
      <w:r>
        <w:rPr>
          <w:rFonts w:ascii="Arial" w:cs="Arial" w:eastAsia="Arial" w:hAnsi="Arial"/>
          <w:sz w:val="16"/>
          <w:szCs w:val="16"/>
          <w:i w:val="1"/>
          <w:iCs w:val="1"/>
          <w:color w:val="auto"/>
        </w:rPr>
        <w:t>s management as well as assumptions made by and information currently available to the Company</w:t>
      </w:r>
      <w:r>
        <w:rPr>
          <w:rFonts w:ascii="Arial" w:cs="Arial" w:eastAsia="Arial" w:hAnsi="Arial"/>
          <w:sz w:val="16"/>
          <w:szCs w:val="16"/>
          <w:color w:val="auto"/>
        </w:rPr>
        <w:t>’</w:t>
      </w:r>
      <w:r>
        <w:rPr>
          <w:rFonts w:ascii="Arial" w:cs="Arial" w:eastAsia="Arial" w:hAnsi="Arial"/>
          <w:sz w:val="16"/>
          <w:szCs w:val="16"/>
          <w:i w:val="1"/>
          <w:iCs w:val="1"/>
          <w:color w:val="auto"/>
        </w:rPr>
        <w:t xml:space="preserve">s management. Use of the words </w:t>
      </w:r>
      <w:r>
        <w:rPr>
          <w:rFonts w:ascii="Arial" w:cs="Arial" w:eastAsia="Arial" w:hAnsi="Arial"/>
          <w:sz w:val="16"/>
          <w:szCs w:val="16"/>
          <w:color w:val="auto"/>
        </w:rPr>
        <w:t>“</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believe,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xml:space="preserve">” </w:t>
      </w:r>
      <w:r>
        <w:rPr>
          <w:rFonts w:ascii="Arial" w:cs="Arial" w:eastAsia="Arial" w:hAnsi="Arial"/>
          <w:sz w:val="16"/>
          <w:szCs w:val="16"/>
          <w:i w:val="1"/>
          <w:iCs w:val="1"/>
          <w:color w:val="auto"/>
        </w:rPr>
        <w:t>and</w:t>
      </w:r>
      <w:r>
        <w:rPr>
          <w:rFonts w:ascii="Arial" w:cs="Arial" w:eastAsia="Arial" w:hAnsi="Arial"/>
          <w:sz w:val="16"/>
          <w:szCs w:val="16"/>
          <w:color w:val="auto"/>
        </w:rPr>
        <w:t xml:space="preserve"> “</w:t>
      </w:r>
      <w:r>
        <w:rPr>
          <w:rFonts w:ascii="Arial" w:cs="Arial" w:eastAsia="Arial" w:hAnsi="Arial"/>
          <w:sz w:val="16"/>
          <w:szCs w:val="16"/>
          <w:i w:val="1"/>
          <w:iCs w:val="1"/>
          <w:color w:val="auto"/>
        </w:rPr>
        <w:t>intend</w:t>
      </w:r>
      <w:r>
        <w:rPr>
          <w:rFonts w:ascii="Arial" w:cs="Arial" w:eastAsia="Arial" w:hAnsi="Arial"/>
          <w:sz w:val="16"/>
          <w:szCs w:val="16"/>
          <w:color w:val="auto"/>
        </w:rPr>
        <w:t xml:space="preserve">” </w:t>
      </w:r>
      <w:r>
        <w:rPr>
          <w:rFonts w:ascii="Arial" w:cs="Arial" w:eastAsia="Arial" w:hAnsi="Arial"/>
          <w:sz w:val="16"/>
          <w:szCs w:val="16"/>
          <w:i w:val="1"/>
          <w:iCs w:val="1"/>
          <w:color w:val="auto"/>
        </w:rPr>
        <w:t>and words or phrases of similar import, as they relate to the Company or its subsidiaries or Company management, are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intended to identify 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Arial" w:cs="Arial" w:eastAsia="Arial" w:hAnsi="Arial"/>
          <w:sz w:val="16"/>
          <w:szCs w:val="16"/>
          <w:color w:val="auto"/>
        </w:rPr>
        <w:t>“</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 xml:space="preserve"> in the Company</w:t>
      </w:r>
      <w:r>
        <w:rPr>
          <w:rFonts w:ascii="Arial" w:cs="Arial" w:eastAsia="Arial" w:hAnsi="Arial"/>
          <w:sz w:val="16"/>
          <w:szCs w:val="16"/>
          <w:color w:val="auto"/>
        </w:rPr>
        <w:t>’</w:t>
      </w:r>
      <w:r>
        <w:rPr>
          <w:rFonts w:ascii="Arial" w:cs="Arial" w:eastAsia="Arial" w:hAnsi="Arial"/>
          <w:sz w:val="16"/>
          <w:szCs w:val="16"/>
          <w:i w:val="1"/>
          <w:iCs w:val="1"/>
          <w:color w:val="auto"/>
        </w:rPr>
        <w:t>s Annual Report on Form 10-K for the year ended December 31, 2022,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Commonly Used in the Company</w:t>
      </w:r>
      <w:r>
        <w:rPr>
          <w:rFonts w:ascii="Arial" w:cs="Arial" w:eastAsia="Arial" w:hAnsi="Arial"/>
          <w:sz w:val="18"/>
          <w:szCs w:val="18"/>
          <w:color w:val="auto"/>
        </w:rPr>
        <w:t>’</w:t>
      </w:r>
      <w:r>
        <w:rPr>
          <w:rFonts w:ascii="Arial" w:cs="Arial" w:eastAsia="Arial" w:hAnsi="Arial"/>
          <w:sz w:val="18"/>
          <w:szCs w:val="18"/>
          <w:b w:val="1"/>
          <w:bCs w:val="1"/>
          <w:color w:val="auto"/>
        </w:rPr>
        <w:t>s Filings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Peterbilt</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Peterbilt Motors Company. PACCAR</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PACCAR, Inc. PacLease</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PACCAR Leasing Corporation. Navistar</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Navistar International, Inc. International</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Navistar, Inc. Idealease is a registered trademark of Idealease, Inc. aka Idealease of North America, Inc. Blue Bird</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Blue Bird Investment Corporation. IC Bus</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IC Bus, LLC. Hino</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Hino Motors, Ltd. Isuzu</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Isuzu Motors Limited. Ford</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Ford Motor Company. Dennis Eagle</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Dennis Eagle Limited. Cummins</w:t>
      </w:r>
      <w:r>
        <w:rPr>
          <w:rFonts w:ascii="Arial" w:cs="Arial" w:eastAsia="Arial" w:hAnsi="Arial"/>
          <w:sz w:val="17"/>
          <w:szCs w:val="17"/>
          <w:color w:val="auto"/>
        </w:rPr>
        <w:t>®</w:t>
      </w:r>
      <w:r>
        <w:rPr>
          <w:rFonts w:ascii="Arial" w:cs="Arial" w:eastAsia="Arial" w:hAnsi="Arial"/>
          <w:sz w:val="17"/>
          <w:szCs w:val="17"/>
          <w:i w:val="1"/>
          <w:iCs w:val="1"/>
          <w:color w:val="auto"/>
        </w:rPr>
        <w:t xml:space="preserve"> is a registered trademark of Cummins, Inc. This report contains additional trade names or trademarks of other companies. Our use of such trade names or trademarks should not imply any endorsement or relationship with such companies.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Dennis Eagle, IC Bus and Blue Bird.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In 2019, we purchased a 50% equity interest in an entity in Canada, Rush Truck Centres of Canada Limited (“RTC Canada”) and on May 2, 2022, we purchased an additional 30% equity interest in RTC Canada that increased our equity interest to 80%. RTC Canada currently owns and operates 15 International dealership locations in Ontario. Prior to acquiring the additional 30%, we accounted for the equity interest in RTC Canada using the equity method of accounting. Now, the operating results of RTC Canada are consolidated in the Consolidated Statements of Operations, the Statements of Comprehensive Income, the Consolidated Balance Sheets and commercial vehicle unit sales data as of May 2,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A.C.T. Research Co., LLC (“A. C.T. Research”), a commercial vehicle industry data and forecasting service provider, currently forecasts new U.S. Class 8 retail truck sales to be 278,000 units in 2023, which would represent a 7.2% increase compared to 2022. We expect our U.S. market share of new Class 8 truck sales to range between 5.9% and 6.5% in 2023. This market share percentage would result in the sale of approximately 16,000 to 17,500 new Class 8 trucks in 2023. Additionally, we expect to sell approximately 600 new Class 8 trucks in Canada in 2023.</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With respect to new U.S. Class 4 through 7 retail commercial vehicle sales, A.C.T. Research currently forecasts sales to be 253,500 units in 2023, which would represent an 8.5% increase compared to 2022. We expect our U.S. market share of new Class 4 through 7 commercial vehicle sales to range between 4.5% and 5.1% in 2023. This market share percentage would result in the sale of approximately 11,500 to 13,000 new Class 4 through 7 commercial vehicles in 2023. Additionally, we expect to sell approximately 400 new Class 5 through 7 commercial vehicles in Canada in 2023.</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expect to sell approximately 1,800 to 2,000 light-duty vehicles and approximately 6,700 to 7,300 used commercial vehicles in 2023.</w:t>
      </w:r>
    </w:p>
    <w:p>
      <w:pPr>
        <w:spacing w:after="0" w:line="23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expect lease and rental revenue to increase 10% to 15% during 2023, compared to 2022. This projected increase in lease and rental revenue is primarily related to strong demand for lease commercial vehicles and the consolidation of RTC Canada into our operating results.</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With respect to Aftermarket Products and Services, growth in our aftermarket revenues moderated in the third quarter of 2023 compared to earlier in the year, and we expect that challenging economic conditions that are currently affecting many of our customers, including high interest rates and low freight rates, will continue to negatively impact our Aftermarket Product and Services revenues going forward. In addition, we believe that the industry may experience some deflation with respect to the prices of certain commodity parts due to softening demand. However, despite a challenging operating environment, we believe that the diversity of our customer base, as well as our focus on operational excellence, mobile service and supporting large national fleets, will allow us to offset some of the current industry challenges, and that our results will continue to outpace the industry.</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above projections for new commercial vehicle sales will depend on our ability to obtain commercial vehicles from the manufacturers we represent and such projections could be negatively impacted by manufacturer allocation decisions, supply chain issues affecting manufacturers’ production and delivery delays by truck body upfitters due to supply issues, which are primarily affecting medium-duty truck deliveries. In addition, we continue to monitor inflation, interest rates and freight rates, which may negatively impact consumer spending and capital expenditures across a variety of industries we support.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discussion and analysis includes our historical results of operations for the three months and nine months ended September 30, 2023 and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financial data as a percentage of total revenues for the periods indicated:</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64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62.4%</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61.3%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2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Lease and rental sales</w:t>
            </w: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products sold</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Gain on sale of assets</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r>
      <w:tr>
        <w:trPr>
          <w:trHeight w:val="209"/>
        </w:trPr>
        <w:tc>
          <w:tcPr>
            <w:tcW w:w="24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b w:val="1"/>
                <w:bCs w:val="1"/>
                <w:color w:val="auto"/>
              </w:rPr>
              <w:t>Net income attributable to Rush Enterprises, Inc.</w:t>
            </w:r>
          </w:p>
        </w:tc>
        <w:tc>
          <w:tcPr>
            <w:tcW w:w="7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r>
      <w:tr>
        <w:trPr>
          <w:trHeight w:val="20"/>
        </w:trPr>
        <w:tc>
          <w:tcPr>
            <w:tcW w:w="4640" w:type="dxa"/>
            <w:vAlign w:val="bottom"/>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5"/>
        </w:trPr>
        <w:tc>
          <w:tcPr>
            <w:tcW w:w="7540" w:type="dxa"/>
            <w:vAlign w:val="bottom"/>
            <w:gridSpan w:val="8"/>
          </w:tcPr>
          <w:p>
            <w:pPr>
              <w:jc w:val="right"/>
              <w:ind w:right="320"/>
              <w:spacing w:after="0"/>
              <w:rPr>
                <w:sz w:val="20"/>
                <w:szCs w:val="20"/>
                <w:color w:val="auto"/>
              </w:rPr>
            </w:pPr>
            <w:r>
              <w:rPr>
                <w:rFonts w:ascii="Arial" w:cs="Arial" w:eastAsia="Arial" w:hAnsi="Arial"/>
                <w:sz w:val="18"/>
                <w:szCs w:val="18"/>
                <w:color w:val="auto"/>
                <w:w w:val="90"/>
              </w:rPr>
              <w:t>The following table sets forth for the periods indicated the percent of gross profit by revenue source:</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2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22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20"/>
                <w:szCs w:val="20"/>
                <w:color w:val="auto"/>
              </w:rPr>
            </w:pPr>
          </w:p>
        </w:tc>
      </w:tr>
      <w:tr>
        <w:trPr>
          <w:trHeight w:val="210"/>
        </w:trPr>
        <w:tc>
          <w:tcPr>
            <w:tcW w:w="4980" w:type="dxa"/>
            <w:vAlign w:val="bottom"/>
            <w:gridSpan w:val="2"/>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New and used commercial vehicle sales</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7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Aftermarket products and services sales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Lease and rental</w:t>
            </w: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7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r>
      <w:tr>
        <w:trPr>
          <w:trHeight w:val="426"/>
        </w:trPr>
        <w:tc>
          <w:tcPr>
            <w:tcW w:w="580" w:type="dxa"/>
            <w:vAlign w:val="bottom"/>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4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sets forth the unit sales and revenues for new heavy-duty, new medium-duty, new light-duty and used commercial vehicles and our absorption ratio (revenue in millions):</w:t>
      </w:r>
    </w:p>
    <w:p>
      <w:pPr>
        <w:spacing w:after="0" w:line="1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7"/>
          </w:tcPr>
          <w:p>
            <w:pPr>
              <w:jc w:val="center"/>
              <w:ind w:left="610"/>
              <w:spacing w:after="0"/>
              <w:rPr>
                <w:sz w:val="20"/>
                <w:szCs w:val="20"/>
                <w:color w:val="auto"/>
              </w:rPr>
            </w:pPr>
            <w:r>
              <w:rPr>
                <w:rFonts w:ascii="Arial" w:cs="Arial" w:eastAsia="Arial" w:hAnsi="Arial"/>
                <w:sz w:val="18"/>
                <w:szCs w:val="18"/>
                <w:b w:val="1"/>
                <w:bCs w:val="1"/>
                <w:color w:val="auto"/>
                <w:w w:val="92"/>
              </w:rPr>
              <w:t>Three Months Ended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1"/>
              </w:rPr>
              <w:t>Nine Months Ended</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320" w:type="dxa"/>
            <w:vAlign w:val="bottom"/>
          </w:tcPr>
          <w:p>
            <w:pPr>
              <w:spacing w:after="0"/>
              <w:rPr>
                <w:sz w:val="18"/>
                <w:szCs w:val="18"/>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unit sales: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4,200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11,896</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8,179</w:t>
            </w:r>
          </w:p>
        </w:tc>
        <w:tc>
          <w:tcPr>
            <w:tcW w:w="32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1,497</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unit sales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32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Used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5,787</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Vehicle revenues: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New heavy-duty vehicles</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756.1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688.3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2,266.6</w:t>
            </w:r>
          </w:p>
        </w:tc>
        <w:tc>
          <w:tcPr>
            <w:tcW w:w="1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1,925.7</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vehicles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702.4</w:t>
            </w:r>
          </w:p>
        </w:tc>
        <w:tc>
          <w:tcPr>
            <w:tcW w:w="32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New light-duty vehicles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new vehicle revenue</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1,114.7</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3,299.5</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2,702.6</w:t>
            </w:r>
          </w:p>
        </w:tc>
        <w:tc>
          <w:tcPr>
            <w:tcW w:w="32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Used vehicle revenue</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131.5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319.5</w:t>
            </w:r>
          </w:p>
        </w:tc>
        <w:tc>
          <w:tcPr>
            <w:tcW w:w="1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459.7</w:t>
            </w:r>
          </w:p>
        </w:tc>
        <w:tc>
          <w:tcPr>
            <w:tcW w:w="3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Other vehicle revenues:</w:t>
            </w:r>
            <w:r>
              <w:rPr>
                <w:rFonts w:ascii="Arial" w:cs="Arial" w:eastAsia="Arial" w:hAnsi="Arial"/>
                <w:sz w:val="25"/>
                <w:szCs w:val="25"/>
                <w:color w:val="auto"/>
                <w:vertAlign w:val="superscript"/>
              </w:rPr>
              <w:t>(1)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2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w:t>
            </w:r>
          </w:p>
        </w:tc>
      </w:tr>
      <w:tr>
        <w:trPr>
          <w:trHeight w:val="234"/>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r>
              <w:rPr>
                <w:rFonts w:ascii="Arial" w:cs="Arial" w:eastAsia="Arial" w:hAnsi="Arial"/>
                <w:sz w:val="18"/>
                <w:szCs w:val="18"/>
                <w:b w:val="1"/>
                <w:bCs w:val="1"/>
                <w:color w:val="auto"/>
              </w:rPr>
              <w:t>Absorption ratio:</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136.2%</w:t>
            </w:r>
          </w:p>
        </w:tc>
        <w:tc>
          <w:tcPr>
            <w:tcW w:w="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136.6%</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 Includes sales of truck bodies, trailers and other new equipment.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Absorption Ratio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132.8% absorption ratio for the third quarter of 2023 compared to a 136.2% absorption ratio for the third quarter of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2023 Compared to Three Months Ended September 30,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Total revenues increased $116.5 million, or 6.2%, in the third quarter of 2023, compared to the third quarter of 2022. This increase was primarily the result of strong demand for new commercial vehicles and increased production of commercial vehicles from the manufacturers we represent.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Aftermarket Products and Services revenues totaled $643.6 million in the third quarter of 2023, up 3.5% from the third quarter of 2022. The slight increase in Aftermarket Parts and Services revenues was related to the continued stabilization of parts pricing and economic pressures that are negatively affecting our over-the-road customers.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Revenues from sales of new and used commercial vehicles increased $93.6 million, or 8.2%, in the third quarter of 2023, compared to the third quarter of 2022. The increase in new commercial vehicle revenues was primarily a result of strong demand and increased production of commercial vehicles from the manufacturers we represent.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4,326 new Class 8 trucks in the third quarter of 2023, a 3.0% increase compared to 4,200 new Class 8 trucks sold in the third quarter of 2022. The increase in new Class 8 truck sales was primarily a result of strong demand and increased production of commercial vehicles from the manufacturers we represent. New U.S. Class 8 retail truck sales totaled 68,010 units in the third quarter of 2023, an increase of 0.1% compared to the third quarter of 2022, according to ACT Research.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sold 3,244 new Class 4 through 7 medium-duty commercial vehicles, including 422 buses, in the third quarter of 2023, a 0.7% increase compared to 3,223 new medium-duty commercial vehicles, including 537 buses, in the third quarter of 2022. Our new Class 4 through 7 commercial vehicle sales were flat on a year-over-year basis primarily due to allocation decisions from the manufacturers we represent. We are still experiencing limited production of medium-duty commercial vehicles from the manufacturers we represent. New U.S. Class 4 through 7 retail commercial vehicle sales totaled 65,683 units in the third quarter of 2023, up 9.1% compared to the third quarter of 2022, according to ACT Research.</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sold 425 light-duty vehicles in the third quarter of 2023, a 30.1% decrease compared to 608 light-duty vehicles sold in the third quarter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1,797 used commercial vehicles in the third quarter of 2023, a 1.9% increase compared to 1,763 used commercial vehicles in the third quarter of 2022. We expect used commercial vehicle demand and values to remain low through 2023 due to new commercial vehicle production continuing to increase, high interest rates and anticipated low freight rates.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Commercial vehicle lease and rental revenues increased $3.8 million, or 4.4%, in the third quarter of 2023, compared to the third quarter of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commercial vehicle lease and rental revenues was primarily a result of strong demand for lease commercial vehicles.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Finance and insurance revenues decreased $1.3 million, or 17.3%, in the third quarter of 2023, compared to the third quarter of 2022. This decrease is primarily due to the mix of purchasers of commercial vehicles. During the third quarter of 2023, most of our sales were to larger fleets, which usually arrange their own financing. We are more likely to provide financing to owner-operators and smaller fleets, which comprised a smaller percentage of commercial vehicle sales during the third quarter of 2023. Finance and insurance revenues have limited direct costs and, therefore, contribute a disproportionate share of our operating profits.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Gross profit increased $13.0 million, or 3.4%, in the third quarter of 2023, compared to the third quarter of 2022. Gross profit as a percentage of sales decreased to 19.9% in the third quarter of 2023, from 20.5% in the third quarter of 2022. This decrease in gross profit as a percentage of sales is a result of a change in our product sales mix. Commercial vehicle sales, a lower margin revenue item, increased as a percentage of total revenues to 62.4% in the third quarter of 2023, from 61.3% in the third quarter of 2022. Aftermarket Products and Services revenues, a higher margin revenue item, decreased as a percentage of total revenues to 32.5% in the third quarter of 2023, from 33.4% in the third quarter of 2022.</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Gross margins from our Aftermarket Products and Services operations decreased to 36.2% in the third quarter of 2023, from 39.1% in the third quarter of 2022. Gross profit for the Aftermarket Products and Services departments decreased to $232.7 million in the third quarter of 2023, from $243.4 million in the third quarter of 2022. This decrease is primarily related to continued stabilization of parts pricing and softening demand due to difficult economic conditions impacting many of our customers. Historically, gross margins on parts sales range from 28% to 30% and gross margins on service and collision center operations range from 66% to 68%. Gross profits from parts sales represented 58.4% of total gross profit for Aftermarket Products and Services operations in the third quarter of 2023 and 62.8% in the third quarter of 2022. Service and collision center operations represented 41.6% of total gross profit for Aftermarket Products and Services operations in the third quarter of 2023 and 37.2% in the third quarter of 2022. We expect blended gross margins on Aftermarket Products and Services operations to range from 36.0% to 38.0% in 2023.</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Gross margins on new Class 8 truck sales remained flat at 9.9% in the third quarter of 2023 and the third quarter of 2022. In 2023, we expect overall gross margins from new heavy-duty truck sales of approximately 9.0% to 10.0%.</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Gross margins on new Class 4 through 7 commercial vehicle sales increased to 9.2% in the third quarter of 2023, from 7.9% in the third quarter of 2022. This increase was primarily due to the mix of purchasers during the third quarter of 2023. For 2023, we expect overall gross margins from new medium-duty commercial vehicle sales of approximately 8.5% to 9.5%, but this will largely depend upon the mix of purchasers and types of vehicles sold.</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Gross margins on used commercial vehicle sales increased to 11.3% in the third quarter of 2023, from 1.6% in the third quarter of 2022. This increase was primarily due to strategic inventory management of our used commercial vehicle inventory. We expect margins on used commercial vehicles to range between 8.0% and 10.0% in 2023.</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Gross margins from truck lease and rental sales decreased to 30.6% in the third quarter of 2023, from 31.8% in the third quarter of 2022. This decrease is primarily related to a decrease in rental utilization rates. We expect gross margins from lease and rental sales of approximately 29.0% to 31.0% during 2023.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Selling, General and Administrative (“SG&amp;A”) expenses increased $14.5 million, or 6.0%, in the third quarter of 2023, compared to the third quarter of 2022. This increase primarily resulted from increased personnel expense, increased selling expense and other increased costs due to inflation, compared to the third quarter of 2022. SG&amp;A expenses as a percentage of total revenues remained constant at 13.0% in the third quarter of 2023 and 2022.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2023, we expect SG&amp;A expenses as a percentage of total revenues to range from 12.8% to 13.5%. For 2023, we expect the selling portion of SG&amp;A expenses to be approximately 25.0% to 30.0% of new and used commercial vehicle gross profit.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interest expense increased $7.9 million, or 126.2%, in the third quarter of 2023, compared to the third quarter of 2022. This increase in interest expense is a result of the increase in inventory levels and rising interest rates on our variable rate debt compared to 2022. We expect net interest expense in 2023, compared to 2022, to increase due to interest related to our working capital lines of credit and floor plan debt, but the amount of the increase will depend on inventory levels, interest rate fluctuations and the amount of cash available to make prepayments on our floor plan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result of the factors described above, income before income taxes decreased $13.0 million, or 10.8%, in the third quarter of 2023, compared to the third quarter of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taxes decreased $3.0 million, or 9.9%, in the third quarter of 2023, compared to the third quarter of 2022. We provided for taxes at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25.0% effective rate in the third quarter of 2023 and 24.79% in the third quarter of 2022. We expect our effective tax rate to be approximately 24.0%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25.0% of pretax income in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2023 Compared to Nine Months Ended September 30, 2022</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stated below, our variance explanations and future expectations with regard to the items discussed in this section are set forth in the discussion of the Three Months Ended September 30, 2023 Compared to Three Months Ended September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increased $676.8 million, or 13.0%, in the first nine months of 2023, compared to the first nine months of 2022. This increase was primarily the result of strong demand for new commercial vehicles, increased production of commercial vehicles from the manufacturers we represent and the consolidation of RTC Canada into our operating results as of May 2022.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Aftermarket Products and Services revenues increased $179.3 million, or 10.2%, in the first nine months of 2023, compared to the first nine months of 2022. The increase in Aftermarket Parts and Services revenues was related to healthy demand during the first six months of 2023 and the consolidation of RTC Canada into our operating results.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from the sales of new and used commercial vehicles increased $472.1 million, or 14.9%, in the first nine months of 2023, compared to the first nine months of 2022. The increase in new commercial vehicle revenues was primarily a result of strong demand, increased production of commercial vehicles from the manufacturers we represent and the consolidation of RTC Canada into our operating results.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sold 12,991 new Class 8 heavy-duty trucks during the first nine months of 2023, a 9.2% increase compared to 11,896 new Class 8 heavy-duty trucks in the first nine months of 2022. According to A.C.T. Research, new U.S. Class 8 truck sales increased 12.9% in the first nine months of 2023, compared to the first nine months of 2022.</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sold 9,757 new Class 4 through 7 medium-duty commercial vehicles, including 1,232 buses, during the first nine months of 2023, a 19.3% increase compared to 8,179 new Class 4 through 7 medium-duty commercial vehicles, including 1,041 buses, in the first nine months of 2022. A.C.T. Research estimates that unit sales of new Class 4 through 7 commercial vehicles, including buses, in the U.S increased approximately 9.2% in the first nine months of 2023, compared to the first nine months of 2022.</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sold 1,381 new light-duty commercial vehicles during the first nine months of 2023, a 7.7% decrease compared to 1,497 light-duty commercial vehicles in the first nine months of 2022.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sold 5,350 used commercial vehicles during the first nine months of 2023, a 7.6% decrease compared to 5,787 used commercial vehicles in the first nine months of 2022.</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Truck lease and rental revenues increased $27.1 million, or 11.4%, in the first nine months of 2023, compared to the first nine months of 2022. This increase in commercial vehicle lease and rental revenues was primarily a result of strong demand for lease commercial vehicles and the consolidation of RTC Canada into our operating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Finance and insurance revenues decreased $3.8 million, or 16.8%, in the first nine months of 2023, compared to the first nine months of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Gross profit increased $106.0 million, or 9.6%, in the first nine months of 2023, compared to the first nine months of 2022. Gross profit as a percentage of sales decreased to 20.5% in the first nine months of 2023, from 21.1% in the first nine months of 2022.</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Gross margins from our Aftermarket Products and Services operations decreased to 37.4% in the first nine months of 2023, from 38.8% in the first nine months of 2022. Gross profit for the Aftermarket Products and Services departments was $726.5 million in the first nine months of 2023, compared to $683.5 million in the first nine months of 2022. This increase is primarily related to the consolidation of RTC Canada into our operating results and strong parts and service demand in the first six months of 2023. Gross profits from parts sales represented 60.1% of total gross profit for Aftermarket Products and Services operations in the first nine months of 2023 and 63.0% in the first nine months of 2022. Service and collision center operations represented 39.9% of total gross profit for Aftermarket Products and Services operations in the first nine months of 2023 and 37.0% in the first nine months of 2022.</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Gross margins on new Class 8 truck sales increased to 10.0% in the first nine months of 2023, from 9.9% in the first nine months of 2022.</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on new Class 4 through 7 medium-duty commercial vehicle sales increased to 8.9% in the first nine months of 2023, from 7.9% in the first nine months of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used commercial vehicle sales increased to 10.8% in the first nine months of 2023, from 10.2% in the first nine months of 2022.</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from truck lease and rental sales decreased to 30.4% in the first nine months of 2023, from 31.6% in the first nine months of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SG&amp;A expenses increased $78.2 million, or 11.3%, in the first nine months of 2023, compared to the first nine months of 2022. SG&amp;A expenses equaled 13.1% of total revenue in the first nine months of 2023, and 13.3% in the first nine months of 2022. This increase primarily resulted from increased personnel expense, increased selling expense and other increased costs due to inflation, compared to the first nine months of 2022, and in addition, increased general and administrative expense associated with consolidation of RTC Canada into our operating results.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interest expense increased $26.8 million, or 250.9%, in the first nine months of 2023, compared to the first nine months of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Income before income taxes decreased $23.9 million, or 6.3%, in the first nine months of 2023, compared to the first nine months of 2022.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Income taxes remained flat in the first nine months of 2023, compared to the first nine months of 2022. We provided for taxes at a 24.4% rate in the first nine months of 2023 and a 22.9% rate in the first nine months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September 30, 2023, we had working capital of approximately $425.7 million, including $192.0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 The resulting interest earned on the floor plan credit agreement with BMO Harris Bank N.A. (“BMO Harris”) (the “Floor Plan Credit Agreement”) is recognized as an offset to our interest expense.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continually evaluate our liquidity and capital resources based upon: (i) our cash, cash equivalents and restricted cash on hand; (ii) the funds that we expect to generate through future operations; (iii) current and expected borrowing availability under our secured line of credit, working capital lines of credit available under certain of our credit agreements and our Floor Plan Credit Agreement;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a secured line of credit that provides for a maximum borrowing of $20.0 million. There were no advances outstanding under this secured line of credit on September 30, 2023, however, $18.0 million was pledged to secure various letters of credit related to self-insurance products, leaving $2.0 million available for future borrowings as of September 30, 2023.</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long-term debt, floor plan financing agreements and the credit agreement with Wells Fargo Bank, National Association the (“WF Credit Agreement”) require us to satisfy various financial ratios such as the leverage ratio, the asset coverage ratio and the fixed charge coverage ratio. As of September 30, 2023, we were in compliance with all debt covenants related to debt secured by lease and rental units, our floor plan credit agreements and the WF Credit Agreement. We do not anticipate any breach of the covenants in the foreseeable future.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purchase or lease commercial vehicles worth approximately $240.0 million to $260.0 million for our leasing operations during 2023, depending on customer demand. We also expect to make capital expenditures for the purchase of recurring items such as computers, shop tools and equipment and company vehicles of approximately $35.0 million to $40.0 million during 2023.</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under contract to construct a new facility in the St. Louis, Missouri area at an estimated cost of $13.9 million.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third quarter of 2023, we paid a cash dividend of $13.7 million. On July 25, 2023, the Company’s Board of Directors declared a three-for-two stock split with respect to both the Company’s Class A and Class B common stock. The stock split was effected in the form of a stock dividend paid on August 28, 2023, to shareholders of record as of August 7, 2023. Holders of the Company’s common stock received an additional one-half share for each share of common stock held as of the record date. Additionally, on October 24, 2023, our Board of Directors declared a cash dividend of $0.17 per share of Class A and Class B common stock, to be paid on December 12, 2023, to all shareholders of record as of November 9, 2023.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2, 2022,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2022. Repurchases, if any, will be made at times and in amounts as we deem appropriate and may be made through open market transactions at prevailing market prices, privately negotiated transactions or by other means in accordance with federal securities laws. The actual timing, number of shares and value of repurchases under the stock repurchase program will be determined by management at its discretion and will depend on a number of factors, including market conditions, stock price and other factors. As of September 30, 2023, we had repurchased $114.9 million of our shares of common stock under the current stock repurchase program, excluding federal excise tax. The current stock repurchase program expires on December 31, 2023, and may be suspended or discontinued at any time.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anticipate funding the capital expenditures for the improvement and expansion of existing facilities and recurring expenses through our operating cash flows. We have the ability to fund the construction or purchase of new facilities through our operating cash flows or by financing.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no other material commitments for capital expenditures as of September 30, 2023. However, we will continue to purchase vehicles for our lease and rental operations and authorize capital expenditures for the improvement or expansion of our existing dealership facilities and construction or purchase of new facilities based on market opportunities.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Cash, cash equivalents and restricted cash decreased by $9.1 million during the nine months ended September 30, 2023 and increased by $71.4 million during the nine months ended September 30, 2022. The major components of these changes are discussed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the first nine months of 2023, operating activities resulted in net cash provided by operations of $211.1 million. Net cash provided by operating activities primarily consisted of $269.9 million in net income, as well as non-cash adjustments related to depreciation and amortization of $165.1 million, gain on sale of property and equipment of $0.6 million, stock-based compensation of $25.3 million and the benefit for deferred income tax expense of $3.5 million. Cash used by operating activities included an aggregate of $252.2 million net change in operating assets and liabilities. Included in the net change in operating assets and liabilities were cash inflows of $4.5 million from the increase in accounts payable, which was offset primarily by cash outflows of $193.7 million from the increase in inventories, $42.8 million from the increase in accounts receivable, $13.3 million from the decrease in customer deposits and $4.1 million from the decrease in accrued expenses. The majority of our commercial vehicle inventory is financed through our floor plan credit agreements.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first nine months of 2022, operating activities resulted in net cash provided by operations of $183.3 million. Net cash provided by operating activities primarily consisted of $293.8 million in net income, as well as non-cash adjustments related to depreciation and amortization of $146.5 million, gain on sale of property and equipment, gain on joint venture and gain on business acquisition of $21.9 million, stock-based compensation of $21.6 million and the benefit for deferred income tax expense of $7.9 million. Cash used by operating activities included an aggregate of $264.5 million net change in operating assets and liabilities. Included in the net change in operating assets and liabilities were cash inflows of $44.1 million from the increase in accounts payable, $9.7 million from the increase in customer deposits and $25.5 million from the increase in accrued expenses, which was offset primarily by cash outflows of $264.7 million from the increase in inventories and $75.1 million from the increase in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first nine months of 2023, cash used in investing activities was $291.0 million. Cash flows used in investing activities consist primarily of cash used for the acquisition of property and equipment. Acquisition of property and equipment totaled $289.1 million during the first six months of 2023 and consisted primarily of purchases of machine and shop equipment, furniture and fixtures, real estate and facilities, improvements to our existing dealership facilities and $210.5 million for purchases of rental and lease vehicles for our rental and leasing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first nine months of 2022, cash used in investing activities was $168.2 million. Cash flows used in investing activities consist primarily of cash used for the acquisition of property and equipment. Acquisition of property and equipment totaled $175.2 million during the first nine months of 2022 and consisted primarily of purchases of machine and shop equipment, furniture and fixtures, real estate and facilities, improvements to our existing dealership facilities and $122.3 million for purchases of rental and lease vehicles for our rental and leasing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Cash flows from financing activities include borrowings and repayments of long-term debt and net proceeds of floor plan notes payable, non-trade. During the first nine months of 2023, financing activities resulted in net cash provided by financing activities of $70.8 million, primarily related to $188.4 million from net draws on floor plan notes payable, non-trade, $995.1 million from borrowings of long-term debt and $14.7 million from the issuance of shares related to equity compensation plans. These cash inflows were offset by cash outflows of $976.2 million used for principal repayments of long-term debt and capital lease obligations, $107.0 million used for repurchases of common stock, $7.0 million for taxes paid related to net share settlement of equity awards and $37.1 million used for payment of cash dividends.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nine months of 2022, financing activities resulted in net cash provided by financing activities of $56.6 million, primarily related to $277.3 million from net draws on floor plan notes payable, non-trade, $695.2 million from borrowings of long-term debt and $11.1 million from the issuance of shares related to equity compensation plans. These cash inflows were offset by cash outflows of $799.8 million used for principal repayments of long-term debt and capital lease obligations, $52.3 million used for repurchases of common stock, $8.7 million for taxes paid related to net share settlement of equity awards and $33.1 million used for payment of cash dividends.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September 14, 2021, we entered into the WF Credit Agreement with the lenders signatory thereto (the “WF Lenders”) and Wells Fargo Bank, National Association (“WF”), as Administrative Agent (in such capacity, the “WF Agent”) which was amended effective November 30, 2022.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simple, secured overnight financing rate (“SOFR”) plus (i) 1.25% or (ii) 1.5%, depending on our consolidated leverage ratio or (B) on or after the term SOFR transition date, the term SOFR plus (i) 1.25% or (ii) 1.5%, depending on our consolidated leverage ratio. The WF Credit Agreement expires on September 14, 2024, although, upon the occurrence and during the continuance of an event of default, the WF Agent has the right to, or upon the request of the required lenders must, terminate the commitments and declare all outstanding principal and interest due and payable. We may terminate the commitments at any time. On September 30, 2023, we had approximately $104.8 million outstanding under the WF Credit Agreement.</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1, 2021, we entered into that certain Amended and Restated Inventory Financing and Purchase Money Security Agreement with PACCAR Leasing Company (“PLC”), a division of PACCAR Financial Corp. (the “PLC Agreement”). Pursuant to the terms of the PLC Agreement, PLC agreed to make up to $300.0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Advances under the PLC Agreement bear interest per annum, payable on the fifth day of the following month, at our option, at either (A) the prime rate, minus 1.55%, provided that the floating rate of interest is subject to a floor of 0%, or (B) a fixed rate, to be determined between us and PLC in each instance of borrowing at a fixed rate. The PLC Agreement expires on October 1, 2025, although either party has the right to terminate the PLC Agreement at any time upon 180 days written notice. If we terminate the PLC Agreement prior to October 1, 2025, then all payments will be deemed to be voluntary prepayments subject to a potential prepayment premium. On September 30, 2023, we had approximately $150.0 million outstanding under the PLC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generally 15 to 60 days. If the commercial vehicle is not sold within the interest-free period, we then finance the commercial vehicle under the Floor Plan Credit Agreement. On September 14, 2021, we entered into Floor Plan Credit Agreement with BMO Harris and the lenders signatory thereto. The Floor Plan Credit Agreement includes an aggregate loan commitment of $1.0 billion. Prior to June 1, 2023, borrowings under the Floor Plan Credit Agreement bore interest at an annual rate equal to (A) the greater of (i) zero and (ii) one month London Interbank Offered Rate (“LIBOR”), determined on the last day of the prior month, plus (B) 1.10% and were payable monthly. On May 31, 2023, we entered into the First Amendment to the Floor Plan Credit Agreement that changed the benchmark interest rate to Term SOFR, as defined by the First Amendment. Effective June 1, 2023, borrowings under the Floor Plan Credit Agreement now bear interest per annum, payable monthly, at (A) the greater of (i) zero and (ii) Term SOFR, plus (B) 1.20%. Borrowings under the Floor Plan Credit Agreement for the purchase of used inventory are limited to $150.0 million and loans for working capital purposes are limited to $200.0 million. The Floor Plan Credit Agreement expires September 14, 2026, although BMO Harris has the right to terminate at any time upon 360 days written notice and we may terminate at any time, subject to specified limited exceptions. On September 30, 2023, we had approximately $947.7 million outstanding under the Floor Plan Credit Agreement. The average daily outstanding borrowings under the Floor Plan Credit Agreement were $855.5 million during the nine months ended September 30, 2023. We utilize our excess cash on hand to pay down our outstanding borrowings under the Floor Plan Credit Agreement, and the resulting interest earned is recognized as an offset to our gross interest expense under the Floor Plan Credit Agreement.</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31, 2022, RTC Canada entered into that certain BMO Revolving Lease and Rental Credit Agreement (the “RTC Canada Revolving Credit Agreement”) with BMO. Pursuant to the terms of the RTC Canada Revolving Credit Agreement,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Advances under the RTC Canada Revolving Credit Agreement bear interest per annum, payable on the first business day of each calendar month, at the Canadian Offered Dollar Rate (“CDOR”), plus 1.35%. The RTC Canada Revolving Credit Agreement expires September 14, 2026. On September 30, 2023, we had approximately $71.7 million CAD outstanding under the RTC Canada Revolving Credit Agreement.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15, 2022, RTC Canada entered into that certain Amended and Restated BMO Wholesale Financing and Security Agreement (the “RTC Canada Floor Plan Agreement”) with Bank of Montreal (“BMO”). Pursuant to the terms of the Agreement,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Prior to June 1, 2023, advances under the RTC Canada Floor Plan Agreement bore interest per annum, payable on the first business day of each calendar month, at CDOR, plus 0.90% and in the case of an advance required to be made in USD dollars, at LIBOR, plus 1.10%. On June 1, 2023, RTC Canada entered into the First Amendment to the RTC Canada Floor Plan Agreement that changed the interest rate in the case of an advance required to be made in USD dollars to Term SOFR, as defined by the First Amendment. Effective June 1, 2023, advances required to be made in USD dollars under the RTC Canada Floor Plan Agreement will now bear interest per annum, payable monthly, at Term SOFR, plus 1.20%. The RTC Canada Floor Plan Agreement expires September 14, 2026. On September 30, 2023, we had approximately $67.2 million CAD outstanding under the RTC Canada Floor Plan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September 30, 2023, our backlog of commercial vehicle orders was approximately $3,297.4 million, compared to a backlog of commercial vehicle orders of approximately $3,300.1 million on September 30, 2022. The flatness of our backlog reflects the allocation decisions of the manufacturers we represent and continued demand associated with production constraints experienced by the manufacturers we represent. Our backlog is determined quarterly by multiplying the number of new commercial vehicles for each particular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particular model ordered. We sell the majority of our new heavy-duty commercial vehicles by customer special order and we sell the majority of our medium- and light-duty commercial vehicles out of inventory. Orders from a number of our major fleet customers are included in our backlog as of September 30, 2023, and we expect to fill the majority of our backlog orders during the remainder of 2023 and the first half of 2024, assuming that the manufacturers we represent can meet their current production schedule. Our current backlog continues to be much higher than normal. Given the potential for industry headwinds in the coming months caused by lower spot rates and higher interest rates, which could negatively impact industry demand for new commercial vehicles moving forward, we believe that the longer it takes to fill our backlog, the greater the risk that a significant amount of commercial vehicle orders currently reflected in our backlog could be cancelled.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187,600 in 2013,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78" w:lineRule="exact"/>
        <w:rPr>
          <w:sz w:val="20"/>
          <w:szCs w:val="20"/>
          <w:color w:val="auto"/>
        </w:rPr>
      </w:pPr>
    </w:p>
    <w:p>
      <w:pPr>
        <w:jc w:val="both"/>
        <w:ind w:firstLine="648"/>
        <w:spacing w:after="0" w:line="218" w:lineRule="exact"/>
        <w:rPr>
          <w:sz w:val="20"/>
          <w:szCs w:val="20"/>
          <w:color w:val="auto"/>
        </w:rPr>
      </w:pPr>
      <w:r>
        <w:rPr>
          <w:rFonts w:ascii="Arial" w:cs="Arial" w:eastAsia="Arial" w:hAnsi="Arial"/>
          <w:sz w:val="17"/>
          <w:szCs w:val="17"/>
          <w:color w:val="auto"/>
        </w:rPr>
        <w:t>We may also have liability in connection with materials that were sent to third</w:t>
      </w:r>
      <w:r>
        <w:rPr>
          <w:rFonts w:ascii="MS PGothic" w:cs="MS PGothic" w:eastAsia="MS PGothic" w:hAnsi="MS PGothic"/>
          <w:sz w:val="17"/>
          <w:szCs w:val="17"/>
          <w:color w:val="auto"/>
        </w:rPr>
        <w:t>‑</w:t>
      </w:r>
      <w:r>
        <w:rPr>
          <w:rFonts w:ascii="Arial" w:cs="Arial" w:eastAsia="Arial" w:hAnsi="Arial"/>
          <w:sz w:val="17"/>
          <w:szCs w:val="17"/>
          <w:color w:val="auto"/>
        </w:rPr>
        <w:t>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Environmental Protection Agency (“EPA”) and the National Highway Traffic Safety Administration (“NHTSA”), on behalf of the U.S. Department of Transportation, issued rules associated with reducing greenhouse gas (“GHG”) emissions and improving the fuel efficiency of medium and heavy-duty trucks and buses for current model years through 2027. In addition, in August 2021, the President of the United States issued an executive order intended to increase fuel efficiency, further reduce GHG emissions and speed up the development of “zero-emission” vehicles. The executive order calls for the EPA and the Secretary of Transportation to adopt new rules and regulations for commercial vehicles starting as early as model year 2027. Similarly, in June 2020, the California Air Resources Board (“CARB”) adopted a final rule that is intended to phase out the sale of internal combustion engine commercial vehicles over time by requiring a certain percentage of each manufacturer’s commercial vehicles sold within the state to be “zero-emission vehicles,” or “near-zero emission vehicles,” starting in model year 2024. In July 2023, CARB and various manufacturers of heavy-duty commercial vehicles and engines, including PACCAR, Navistar,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nitrogen oxide emissions rules with the EPA’s, which go into effect starting in model year 2027, and modify certain of its 2024 nitrogen oxide emissions regulations for which manufacturers will provide offsets as needed to meet California’s emission targets. Since July 2020, a group of eighteen U.S. states and the District of Columbia have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Attaining these goals would likely require the adoption of new laws and regulations and we cannot predict at this time whether such laws and regulations would have an adverse impact on our business. Additional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3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exposed to market risk through interest rates related to our floor plan financing agreements, the WF Credit Agreement, the PLC Agreement and discount rates related to finance sales. Our floor plan debt is based on SOFR and CDOR, the WF Credit Agreement is based on SOFR, the RTC Canada Revolving Agreement is based on CDOR and the PLC Agreement is based on the prime rate. As of September 30, 2023, we had floor plan borrowings and borrowings from WF, BMO and PLC in the amount of $1,429.1 million. Assuming an increase or decrease in SOFR, CDOR or the prime rate of 100 basis points, annual interest expense could correspondingly increase or decrease by approximately $14.3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September 30, 2023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the three months ended September 30, 2023 that has materially affected, or is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litigation arising out of our operations in the ordinary course of business. We maintain liability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September 30, 2023,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2022 Annual Report on Form 10-K (the “2022 Annual Report”) describes some of the risks and uncertainties associated with our business that have the potential to materially affect our business, financial condition or results of operations.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material change in our risk factors disclosed in our 2022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make any unregistered sales of equity securities during the third quarter of 2023.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repurchase activity for the third quarter of 2023 is as follows:</w:t>
      </w: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Part of 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c>
          <w:tcPr>
            <w:tcW w:w="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w:t>
            </w:r>
          </w:p>
        </w:tc>
        <w:tc>
          <w:tcPr>
            <w:tcW w:w="2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Price Paid</w:t>
            </w:r>
          </w:p>
        </w:tc>
        <w:tc>
          <w:tcPr>
            <w:tcW w:w="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Yet 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Per Share</w:t>
            </w:r>
          </w:p>
        </w:tc>
        <w:tc>
          <w:tcPr>
            <w:tcW w:w="4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Plans or</w:t>
            </w:r>
          </w:p>
        </w:tc>
        <w:tc>
          <w:tcPr>
            <w:tcW w:w="2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50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6"/>
              </w:rPr>
              <w:t>(1)(2)(3)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(1)</w:t>
            </w:r>
          </w:p>
        </w:tc>
        <w:tc>
          <w:tcPr>
            <w:tcW w:w="4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Programs (2)</w:t>
            </w:r>
          </w:p>
        </w:tc>
        <w:tc>
          <w:tcPr>
            <w:tcW w:w="200" w:type="dxa"/>
            <w:vAlign w:val="bottom"/>
          </w:tcPr>
          <w:p>
            <w:pPr>
              <w:spacing w:after="0"/>
              <w:rPr>
                <w:sz w:val="20"/>
                <w:szCs w:val="20"/>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or Programs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2023</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267,329</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67,381,385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August 1 – August 31, 2023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375,636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42.99</w:t>
            </w: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360" w:type="dxa"/>
            <w:vAlign w:val="bottom"/>
          </w:tcPr>
          <w:p>
            <w:pPr>
              <w:jc w:val="right"/>
              <w:spacing w:after="0"/>
              <w:rPr>
                <w:sz w:val="20"/>
                <w:szCs w:val="20"/>
                <w:color w:val="auto"/>
              </w:rPr>
            </w:pPr>
            <w:r>
              <w:rPr>
                <w:rFonts w:ascii="Arial" w:cs="Arial" w:eastAsia="Arial" w:hAnsi="Arial"/>
                <w:sz w:val="18"/>
                <w:szCs w:val="18"/>
                <w:color w:val="auto"/>
              </w:rPr>
              <w:t>375,636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51,224,059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 – September 30, 2023</w:t>
            </w:r>
          </w:p>
        </w:tc>
        <w:tc>
          <w:tcPr>
            <w:tcW w:w="1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386,507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41.76</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386,507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35,071,032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1,029,471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1,029,471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-8255</wp:posOffset>
            </wp:positionV>
            <wp:extent cx="882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8655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w:t>
      </w:r>
    </w:p>
    <w:p>
      <w:pPr>
        <w:spacing w:after="0" w:line="8" w:lineRule="exact"/>
        <w:rPr>
          <w:sz w:val="20"/>
          <w:szCs w:val="20"/>
          <w:color w:val="auto"/>
        </w:rPr>
      </w:pP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shares represent Class A Common Stock and/or Class B Common Stock repurchased by the Company.</w:t>
      </w:r>
    </w:p>
    <w:p>
      <w:pPr>
        <w:spacing w:after="0" w:line="9" w:lineRule="exact"/>
        <w:rPr>
          <w:rFonts w:ascii="Arial" w:cs="Arial" w:eastAsia="Arial" w:hAnsi="Arial"/>
          <w:sz w:val="18"/>
          <w:szCs w:val="18"/>
          <w:color w:val="auto"/>
        </w:rPr>
      </w:pPr>
    </w:p>
    <w:p>
      <w:pPr>
        <w:ind w:left="660" w:hanging="652"/>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December 2, 2022, we announced the approval of a new stock repurchase program, effective December 2, 2022, authorizing management to repurchase, from time to time, up to an aggregate of $150.0 million of our shares of Class A common stock and/or Class B common stock.</w:t>
      </w:r>
    </w:p>
    <w:p>
      <w:pPr>
        <w:spacing w:after="0" w:line="1" w:lineRule="exact"/>
        <w:rPr>
          <w:rFonts w:ascii="Arial" w:cs="Arial" w:eastAsia="Arial" w:hAnsi="Arial"/>
          <w:sz w:val="16"/>
          <w:szCs w:val="16"/>
          <w:color w:val="auto"/>
        </w:rPr>
      </w:pPr>
    </w:p>
    <w:p>
      <w:pPr>
        <w:ind w:left="660" w:right="2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197,061 shares of Class B Common Stock at an average price paid per share of $40.84 and 70,268 shares of Class B Common Stock at an average price paid per share of $45.27.</w:t>
      </w:r>
    </w:p>
    <w:p>
      <w:pPr>
        <w:ind w:left="660" w:hanging="652"/>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277,469 shares of Class A Common Stock at an average price paid per share of $42.11 and 98,167 shares of Class B Common Stock at an average price paid per share of $45.49.</w:t>
      </w:r>
    </w:p>
    <w:p>
      <w:pPr>
        <w:ind w:left="660" w:hanging="652"/>
        <w:spacing w:after="0" w:line="2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275,519 shares of Class A Common Stock at an average price paid per share of $40.52 and 110,988 shares of Class B Common Stock at an average price paid per share of $44.84.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September 30, 2023,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000" w:type="dxa"/>
            <w:vAlign w:val="bottom"/>
            <w:tcBorders>
              <w:bottom w:val="single" w:sz="8" w:color="auto"/>
            </w:tcBorders>
            <w:gridSpan w:val="16"/>
          </w:tcPr>
          <w:p>
            <w:pPr>
              <w:ind w:left="20"/>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114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4"/>
                <w:szCs w:val="14"/>
                <w:color w:val="auto"/>
              </w:rPr>
            </w:pPr>
          </w:p>
        </w:tc>
        <w:tc>
          <w:tcPr>
            <w:tcW w:w="10000" w:type="dxa"/>
            <w:vAlign w:val="bottom"/>
            <w:gridSpan w:val="16"/>
          </w:tcPr>
          <w:p>
            <w:pPr>
              <w:ind w:left="20"/>
              <w:spacing w:after="0" w:line="169" w:lineRule="exact"/>
              <w:rPr>
                <w:rFonts w:ascii="Arial" w:cs="Arial" w:eastAsia="Arial" w:hAnsi="Arial"/>
                <w:sz w:val="18"/>
                <w:szCs w:val="18"/>
                <w:color w:val="0000EE"/>
                <w:w w:val="92"/>
              </w:rPr>
            </w:pPr>
            <w:hyperlink r:id="rId34">
              <w:r>
                <w:rPr>
                  <w:rFonts w:ascii="Arial" w:cs="Arial" w:eastAsia="Arial" w:hAnsi="Arial"/>
                  <w:sz w:val="18"/>
                  <w:szCs w:val="18"/>
                  <w:color w:val="0000EE"/>
                  <w:w w:val="92"/>
                </w:rPr>
                <w:t>Restated Articles of Incorporation of Rush Enterprises, Inc. (incorporated herein by reference to Exhibit 3.1 of the Company’s Quarterly</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2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Report on Form 10-Q (File No. 000-20797) for the quarter ended June 30, 2008)</w:t>
              </w:r>
            </w:hyperlink>
          </w:p>
        </w:tc>
        <w:tc>
          <w:tcPr>
            <w:tcW w:w="416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6"/>
          </w:tcPr>
          <w:p>
            <w:pPr>
              <w:ind w:left="20"/>
              <w:spacing w:after="0"/>
              <w:rPr>
                <w:rFonts w:ascii="Arial" w:cs="Arial" w:eastAsia="Arial" w:hAnsi="Arial"/>
                <w:sz w:val="18"/>
                <w:szCs w:val="18"/>
                <w:color w:val="0000EE"/>
                <w:w w:val="92"/>
              </w:rPr>
            </w:pPr>
            <w:hyperlink r:id="rId35">
              <w:r>
                <w:rPr>
                  <w:rFonts w:ascii="Arial" w:cs="Arial" w:eastAsia="Arial" w:hAnsi="Arial"/>
                  <w:sz w:val="18"/>
                  <w:szCs w:val="18"/>
                  <w:color w:val="0000EE"/>
                  <w:w w:val="92"/>
                </w:rPr>
                <w:t>Certificate of Amendment to the Restated Articles of Incorporation of Rush Enterprises, Inc. (incorporated herein by reference to Exhibit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3.</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of the Company’s Quarterly Report on Form 10-Q (File No. 000-20797) for the quarter ended June 30, 2023)</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6"/>
          </w:tcPr>
          <w:p>
            <w:pPr>
              <w:ind w:left="20"/>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Rush Enterprises, Inc. Amended and Restated Bylaws (incorporated herein by reference to Exhibit 3.1 of the Company’s Current Report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EE"/>
            </w:tcBorders>
          </w:tcPr>
          <w:p>
            <w:pPr>
              <w:ind w:left="20"/>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on Form 8-K (File No. 000-20797) filed May 21, 2013)</w:t>
              </w:r>
            </w:hyperlink>
          </w:p>
        </w:tc>
        <w:tc>
          <w:tcPr>
            <w:tcW w:w="5980" w:type="dxa"/>
            <w:vAlign w:val="bottom"/>
            <w:gridSpan w:val="15"/>
          </w:tcPr>
          <w:p>
            <w:pPr>
              <w:spacing w:after="0"/>
              <w:rPr>
                <w:sz w:val="17"/>
                <w:szCs w:val="17"/>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6"/>
          </w:tcPr>
          <w:p>
            <w:pPr>
              <w:ind w:left="20"/>
              <w:spacing w:after="0"/>
              <w:rPr>
                <w:rFonts w:ascii="Arial" w:cs="Arial" w:eastAsia="Arial" w:hAnsi="Arial"/>
                <w:sz w:val="18"/>
                <w:szCs w:val="18"/>
                <w:color w:val="0000EE"/>
                <w:w w:val="95"/>
              </w:rPr>
            </w:pPr>
            <w:hyperlink r:id="rId37">
              <w:r>
                <w:rPr>
                  <w:rFonts w:ascii="Arial" w:cs="Arial" w:eastAsia="Arial" w:hAnsi="Arial"/>
                  <w:sz w:val="18"/>
                  <w:szCs w:val="18"/>
                  <w:color w:val="0000EE"/>
                  <w:w w:val="95"/>
                </w:rPr>
                <w:t>First Amendment to Amended and Restated Bylaws of Rush Enterprises, Inc. (incorporated herein by reference to Exhibit 3.1 of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Company’s Current Report on Form 8-K (File No. 000-20797) filed May 24,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620" w:type="dxa"/>
            <w:vAlign w:val="bottom"/>
            <w:tcBorders>
              <w:bottom w:val="single" w:sz="8" w:color="0000EE"/>
            </w:tcBorders>
            <w:gridSpan w:val="12"/>
          </w:tcPr>
          <w:p>
            <w:pPr>
              <w:ind w:left="20"/>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Second Amended and Restated Inventory Financing and Purchase Money Security Agreement, dated as of November 1, 2023 by and</w:t>
              </w:r>
            </w:hyperlink>
          </w:p>
        </w:tc>
        <w:tc>
          <w:tcPr>
            <w:tcW w:w="3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tcBorders>
              <w:bottom w:val="single" w:sz="8" w:color="0000EE"/>
            </w:tcBorders>
            <w:gridSpan w:val="13"/>
          </w:tcPr>
          <w:p>
            <w:pPr>
              <w:ind w:left="20"/>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between Rush Truck Leasing, Inc. and PACCAR Leasing Company (incorporated by reference to Exhibit 10.1 of the Company’s Current</w:t>
              </w:r>
            </w:hyperlink>
          </w:p>
        </w:tc>
        <w:tc>
          <w:tcPr>
            <w:tcW w:w="12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Report on Form 8-K (File No. 000-20797) filed November 6, 2023)</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0000" w:type="dxa"/>
            <w:vAlign w:val="bottom"/>
            <w:gridSpan w:val="16"/>
          </w:tcPr>
          <w:p>
            <w:pPr>
              <w:ind w:left="20"/>
              <w:spacing w:after="0"/>
              <w:rPr>
                <w:rFonts w:ascii="Arial" w:cs="Arial" w:eastAsia="Arial" w:hAnsi="Arial"/>
                <w:sz w:val="18"/>
                <w:szCs w:val="18"/>
                <w:color w:val="0000EE"/>
                <w:w w:val="92"/>
              </w:rPr>
            </w:pPr>
            <w:hyperlink r:id="rId39">
              <w:r>
                <w:rPr>
                  <w:rFonts w:ascii="Arial" w:cs="Arial" w:eastAsia="Arial" w:hAnsi="Arial"/>
                  <w:sz w:val="18"/>
                  <w:szCs w:val="18"/>
                  <w:u w:val="single" w:color="auto"/>
                  <w:color w:val="0000EE"/>
                  <w:w w:val="92"/>
                </w:rPr>
                <w:t>$</w:t>
              </w:r>
              <w:r>
                <w:rPr>
                  <w:rFonts w:ascii="Arial" w:cs="Arial" w:eastAsia="Arial" w:hAnsi="Arial"/>
                  <w:sz w:val="18"/>
                  <w:szCs w:val="18"/>
                  <w:color w:val="0000EE"/>
                  <w:w w:val="92"/>
                </w:rPr>
                <w:t>300.0 million Promissory Note dated November 1, 2023 (incorporated by reference to Exhibit 10.2 of the Company’s Current Report on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Form 8-K (File No. 000-20797) filed November 6, 2023)</w:t>
              </w:r>
            </w:hyperlink>
          </w:p>
        </w:tc>
        <w:tc>
          <w:tcPr>
            <w:tcW w:w="100" w:type="dxa"/>
            <w:vAlign w:val="bottom"/>
            <w:gridSpan w:val="2"/>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100" w:type="dxa"/>
            <w:vAlign w:val="bottom"/>
          </w:tcPr>
          <w:p>
            <w:pPr>
              <w:spacing w:after="0"/>
              <w:rPr>
                <w:sz w:val="24"/>
                <w:szCs w:val="24"/>
                <w:color w:val="auto"/>
              </w:rPr>
            </w:pPr>
          </w:p>
        </w:tc>
        <w:tc>
          <w:tcPr>
            <w:tcW w:w="5560" w:type="dxa"/>
            <w:vAlign w:val="bottom"/>
            <w:tcBorders>
              <w:bottom w:val="single" w:sz="8" w:color="0000EE"/>
            </w:tcBorders>
            <w:gridSpan w:val="4"/>
          </w:tcPr>
          <w:p>
            <w:pPr>
              <w:ind w:left="20"/>
              <w:spacing w:after="0"/>
              <w:rPr>
                <w:sz w:val="20"/>
                <w:szCs w:val="20"/>
                <w:color w:val="auto"/>
              </w:rPr>
            </w:pPr>
            <w:r>
              <w:rPr>
                <w:rFonts w:ascii="Arial" w:cs="Arial" w:eastAsia="Arial" w:hAnsi="Arial"/>
                <w:sz w:val="18"/>
                <w:szCs w:val="18"/>
                <w:color w:val="0000EE"/>
                <w:w w:val="88"/>
              </w:rPr>
              <w:t>Amended and Restated Amendment to Dealer Sales and Service Agreements</w:t>
            </w:r>
          </w:p>
        </w:tc>
        <w:tc>
          <w:tcPr>
            <w:tcW w:w="4440" w:type="dxa"/>
            <w:vAlign w:val="bottom"/>
            <w:gridSpan w:val="12"/>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9600" w:type="dxa"/>
            <w:vAlign w:val="bottom"/>
            <w:tcBorders>
              <w:bottom w:val="single" w:sz="8" w:color="0000EE"/>
            </w:tcBorders>
            <w:gridSpan w:val="11"/>
          </w:tcPr>
          <w:p>
            <w:pPr>
              <w:ind w:left="20"/>
              <w:spacing w:after="0"/>
              <w:rPr>
                <w:sz w:val="20"/>
                <w:szCs w:val="20"/>
                <w:color w:val="auto"/>
              </w:rPr>
            </w:pPr>
            <w:r>
              <w:rPr>
                <w:rFonts w:ascii="Arial" w:cs="Arial" w:eastAsia="Arial" w:hAnsi="Arial"/>
                <w:sz w:val="18"/>
                <w:szCs w:val="18"/>
                <w:color w:val="0000EE"/>
                <w:w w:val="90"/>
              </w:rPr>
              <w:t>Certification of CEO pursuant to Rules 13a-14(a) and 15d-14(a) adopted pursuant to Section 302 of the Sarbanes-Oxley Act of 2002.</w:t>
            </w:r>
          </w:p>
        </w:tc>
        <w:tc>
          <w:tcPr>
            <w:tcW w:w="400" w:type="dxa"/>
            <w:vAlign w:val="bottom"/>
            <w:gridSpan w:val="5"/>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0000EE"/>
                <w:w w:val="94"/>
              </w:rPr>
              <w:t>Certification of CFO pursuant to Rules 13a-14(a) and 15d-14(a) adopted pursuant to Section 302 of the Sarbanes-Oxley Act of 2002.</w:t>
            </w: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280" w:type="dxa"/>
            <w:vAlign w:val="bottom"/>
            <w:tcBorders>
              <w:top w:val="single" w:sz="8" w:color="0000EE"/>
              <w:bottom w:val="single" w:sz="8" w:color="0000EE"/>
            </w:tcBorders>
            <w:gridSpan w:val="9"/>
          </w:tcPr>
          <w:p>
            <w:pPr>
              <w:ind w:left="20"/>
              <w:spacing w:after="0"/>
              <w:rPr>
                <w:sz w:val="20"/>
                <w:szCs w:val="20"/>
                <w:color w:val="auto"/>
              </w:rPr>
            </w:pPr>
            <w:r>
              <w:rPr>
                <w:rFonts w:ascii="Arial" w:cs="Arial" w:eastAsia="Arial" w:hAnsi="Arial"/>
                <w:sz w:val="18"/>
                <w:szCs w:val="18"/>
                <w:color w:val="0000EE"/>
                <w:w w:val="90"/>
              </w:rPr>
              <w:t>Certification of CEO pursuant to 18 U.S.C. Section 1350 as adopted pursuant to Section 906 of the Sarbanes-Oxley Act of 2002.</w:t>
            </w:r>
          </w:p>
        </w:tc>
        <w:tc>
          <w:tcPr>
            <w:tcW w:w="300" w:type="dxa"/>
            <w:vAlign w:val="bottom"/>
            <w:tcBorders>
              <w:top w:val="single" w:sz="8" w:color="0000EE"/>
            </w:tcBorders>
          </w:tcPr>
          <w:p>
            <w:pPr>
              <w:spacing w:after="0"/>
              <w:rPr>
                <w:sz w:val="24"/>
                <w:szCs w:val="24"/>
                <w:color w:val="auto"/>
              </w:rPr>
            </w:pPr>
          </w:p>
        </w:tc>
        <w:tc>
          <w:tcPr>
            <w:tcW w:w="420" w:type="dxa"/>
            <w:vAlign w:val="bottom"/>
            <w:gridSpan w:val="6"/>
          </w:tcPr>
          <w:p>
            <w:pPr>
              <w:spacing w:after="0"/>
              <w:rPr>
                <w:sz w:val="24"/>
                <w:szCs w:val="24"/>
                <w:color w:val="auto"/>
              </w:rPr>
            </w:pPr>
          </w:p>
        </w:tc>
      </w:tr>
      <w:tr>
        <w:trPr>
          <w:trHeight w:val="412"/>
        </w:trPr>
        <w:tc>
          <w:tcPr>
            <w:tcW w:w="1140" w:type="dxa"/>
            <w:vAlign w:val="bottom"/>
          </w:tcPr>
          <w:p>
            <w:pPr>
              <w:jc w:val="cente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9220" w:type="dxa"/>
            <w:vAlign w:val="bottom"/>
            <w:tcBorders>
              <w:bottom w:val="single" w:sz="8" w:color="0000EE"/>
            </w:tcBorders>
            <w:gridSpan w:val="8"/>
          </w:tcPr>
          <w:p>
            <w:pPr>
              <w:ind w:left="20"/>
              <w:spacing w:after="0"/>
              <w:rPr>
                <w:sz w:val="20"/>
                <w:szCs w:val="20"/>
                <w:color w:val="auto"/>
              </w:rPr>
            </w:pPr>
            <w:r>
              <w:rPr>
                <w:rFonts w:ascii="Arial" w:cs="Arial" w:eastAsia="Arial" w:hAnsi="Arial"/>
                <w:sz w:val="18"/>
                <w:szCs w:val="18"/>
                <w:color w:val="0000EE"/>
                <w:w w:val="90"/>
              </w:rPr>
              <w:t>Certification of CFO pursuant to 18 U.S.C. Section 1350 as adopted pursuant to Section 906 of theSarbanes-Oxley Act of 2002.</w:t>
            </w:r>
          </w:p>
        </w:tc>
        <w:tc>
          <w:tcPr>
            <w:tcW w:w="780" w:type="dxa"/>
            <w:vAlign w:val="bottom"/>
            <w:gridSpan w:val="8"/>
          </w:tcPr>
          <w:p>
            <w:pPr>
              <w:spacing w:after="0"/>
              <w:rPr>
                <w:sz w:val="24"/>
                <w:szCs w:val="24"/>
                <w:color w:val="auto"/>
              </w:rPr>
            </w:pPr>
          </w:p>
        </w:tc>
      </w:tr>
      <w:tr>
        <w:trPr>
          <w:trHeight w:val="43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w:t>
            </w:r>
          </w:p>
        </w:tc>
      </w:tr>
      <w:tr>
        <w:trPr>
          <w:trHeight w:val="230"/>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Cover Page Interactive Data File (embedded within the Inline XBRL and contained in Exhibit 101)</w:t>
            </w:r>
          </w:p>
        </w:tc>
      </w:tr>
    </w:tbl>
    <w:p>
      <w:pPr>
        <w:spacing w:after="0" w:line="20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10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ectPr>
          <w:pgSz w:w="11900" w:h="16838" w:orient="portrait"/>
          <w:cols w:equalWidth="0" w:num="1">
            <w:col w:w="11240"/>
          </w:cols>
          <w:pgMar w:left="320" w:top="125" w:right="33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060" w:type="dxa"/>
            <w:vAlign w:val="bottom"/>
            <w:gridSpan w:val="2"/>
          </w:tcPr>
          <w:p>
            <w:pPr>
              <w:ind w:left="1840"/>
              <w:spacing w:after="0"/>
              <w:rPr>
                <w:sz w:val="20"/>
                <w:szCs w:val="20"/>
                <w:color w:val="auto"/>
              </w:rPr>
            </w:pPr>
            <w:r>
              <w:rPr>
                <w:rFonts w:ascii="Arial" w:cs="Arial" w:eastAsia="Arial" w:hAnsi="Arial"/>
                <w:sz w:val="18"/>
                <w:szCs w:val="18"/>
                <w:color w:val="auto"/>
              </w:rPr>
              <w:t>RUSH ENTERPRISES, INC.</w:t>
            </w:r>
          </w:p>
        </w:tc>
      </w:tr>
      <w:tr>
        <w:trPr>
          <w:trHeight w:val="63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200"/>
              <w:spacing w:after="0"/>
              <w:rPr>
                <w:sz w:val="20"/>
                <w:szCs w:val="20"/>
                <w:color w:val="auto"/>
              </w:rPr>
            </w:pPr>
            <w:r>
              <w:rPr>
                <w:rFonts w:ascii="Arial" w:cs="Arial" w:eastAsia="Arial" w:hAnsi="Arial"/>
                <w:sz w:val="18"/>
                <w:szCs w:val="18"/>
                <w:color w:val="auto"/>
              </w:rPr>
              <w:t>November 9, 2023</w:t>
            </w:r>
          </w:p>
        </w:tc>
        <w:tc>
          <w:tcPr>
            <w:tcW w:w="6060" w:type="dxa"/>
            <w:vAlign w:val="bottom"/>
            <w:gridSpan w:val="2"/>
          </w:tcPr>
          <w:p>
            <w:pPr>
              <w:ind w:left="1800"/>
              <w:spacing w:after="0"/>
              <w:rPr>
                <w:sz w:val="20"/>
                <w:szCs w:val="20"/>
                <w:color w:val="auto"/>
              </w:rPr>
            </w:pPr>
            <w:r>
              <w:rPr>
                <w:rFonts w:ascii="Arial" w:cs="Arial" w:eastAsia="Arial" w:hAnsi="Arial"/>
                <w:sz w:val="18"/>
                <w:szCs w:val="18"/>
                <w:color w:val="auto"/>
              </w:rPr>
              <w:t>By: /S/ W.M. “RUSTY” RUSH</w:t>
            </w:r>
          </w:p>
        </w:tc>
      </w:tr>
      <w:tr>
        <w:trPr>
          <w:trHeight w:val="216"/>
        </w:trPr>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W.M. “Rusty” Rush</w:t>
            </w:r>
          </w:p>
        </w:tc>
      </w:tr>
      <w:tr>
        <w:trPr>
          <w:trHeight w:val="216"/>
        </w:trPr>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200"/>
              <w:spacing w:after="0"/>
              <w:rPr>
                <w:sz w:val="20"/>
                <w:szCs w:val="20"/>
                <w:color w:val="auto"/>
              </w:rPr>
            </w:pPr>
            <w:r>
              <w:rPr>
                <w:rFonts w:ascii="Arial" w:cs="Arial" w:eastAsia="Arial" w:hAnsi="Arial"/>
                <w:sz w:val="18"/>
                <w:szCs w:val="18"/>
                <w:color w:val="auto"/>
              </w:rPr>
              <w:t>November 9, 2023</w:t>
            </w:r>
          </w:p>
        </w:tc>
        <w:tc>
          <w:tcPr>
            <w:tcW w:w="6060" w:type="dxa"/>
            <w:vAlign w:val="bottom"/>
            <w:gridSpan w:val="2"/>
          </w:tcPr>
          <w:p>
            <w:pPr>
              <w:ind w:left="1800"/>
              <w:spacing w:after="0"/>
              <w:rPr>
                <w:sz w:val="20"/>
                <w:szCs w:val="20"/>
                <w:color w:val="auto"/>
              </w:rPr>
            </w:pPr>
            <w:r>
              <w:rPr>
                <w:rFonts w:ascii="Arial" w:cs="Arial" w:eastAsia="Arial" w:hAnsi="Arial"/>
                <w:sz w:val="18"/>
                <w:szCs w:val="18"/>
                <w:color w:val="auto"/>
              </w:rPr>
              <w:t>By: /S/ STEVEN L. KELLER</w:t>
            </w:r>
          </w:p>
        </w:tc>
      </w:tr>
      <w:tr>
        <w:trPr>
          <w:trHeight w:val="195"/>
        </w:trPr>
        <w:tc>
          <w:tcPr>
            <w:tcW w:w="6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6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6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432"/>
        </w:trPr>
        <w:tc>
          <w:tcPr>
            <w:tcW w:w="6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4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39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auto"/>
        </w:rPr>
        <w:t>AMENDED AND RESTATED AMENDMENT TO</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DEALER SALES AND SERVICE AGREEMENTS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Amended and Restated Amendment to Dealer Sales and Service Agreement (this AMENDMENT") is effective July 6, 2023, between Peterbilt Motors Company, a division of PACCAR Inc, a Delaware corporation (“PETERBILT”) and:</w:t>
      </w:r>
    </w:p>
    <w:p>
      <w:pPr>
        <w:spacing w:after="0" w:line="170" w:lineRule="exact"/>
        <w:rPr>
          <w:sz w:val="20"/>
          <w:szCs w:val="20"/>
          <w:color w:val="auto"/>
        </w:rPr>
      </w:pPr>
    </w:p>
    <w:p>
      <w:pPr>
        <w:jc w:val="both"/>
        <w:ind w:right="820"/>
        <w:spacing w:after="0" w:line="291" w:lineRule="auto"/>
        <w:rPr>
          <w:sz w:val="20"/>
          <w:szCs w:val="20"/>
          <w:color w:val="auto"/>
        </w:rPr>
      </w:pPr>
      <w:r>
        <w:rPr>
          <w:rFonts w:ascii="Arial" w:cs="Arial" w:eastAsia="Arial" w:hAnsi="Arial"/>
          <w:sz w:val="16"/>
          <w:szCs w:val="16"/>
          <w:color w:val="auto"/>
        </w:rPr>
        <w:t>Rush Truck Centers of Alabama, Inc., a Delaware corporation (“Rush Alabama”), Rush Truck Centers of Arizona, Inc., a Delaware corporation (“Rush Arizona”), Rush Truck Centers of California, Inc., a Delaware corporation (“Rush California”), Rush Truck Centers of Colorado, Inc., a Delaware corporation (“Rush Colorado”), Rush Truck Centers of Florida, Inc., a Delaware corporation (“Rush Florida”), Rush Truck Centers of Kentucky, Inc., a Delaware corporation (“Rush Kentucky”), Rush Truck Centers of Nevada, Inc., a Delaware corporation (“Rush Nevada”), Rush Truck Centers of New Mexico, Inc., a Delaware corporation (“Rush New Mexico”), Rush Truck Centers of Oklahoma, Inc., a Delaware corporation (“Rush Oklahoma”), Rush Truck Centers of Tennessee, Inc., a Delaware corporation (“Rush Tennessee”), Rush Truck Centers of Texas, LP, a Texas Limited Partnership (“Rush Texas”), and Rush Enterprises, Inc. (“Rush Enterprises”)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(Rush Alabama, Rush Arizona, Rush California, Rush Colorado, Rush Florida, Rush Kentucky, Rush Nevada, Rush New Mexico, Rush Oklahoma, Rush Tennessee, and Rush Texas collectively, the “Companies” and individually, a "Company"). Capitalized terms used herein but not defined herein have the respective meaning given them in the Dealer Sales and Service Agreements (as defined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jc w:val="both"/>
        <w:ind w:firstLine="18"/>
        <w:spacing w:after="0" w:line="311" w:lineRule="auto"/>
        <w:rPr>
          <w:sz w:val="20"/>
          <w:szCs w:val="20"/>
          <w:color w:val="auto"/>
        </w:rPr>
      </w:pPr>
      <w:r>
        <w:rPr>
          <w:rFonts w:ascii="Arial" w:cs="Arial" w:eastAsia="Arial" w:hAnsi="Arial"/>
          <w:sz w:val="16"/>
          <w:szCs w:val="16"/>
          <w:color w:val="auto"/>
        </w:rPr>
        <w:t>PACCAR is a party to certain Dealer Sales and Service Agreements (individually, a “Dealer Sales and Service Agreement” and, collectively, the “Dealer Sales and Service Agreements”), with each of the Companies pursuant to which each Company is a DEALER and was granted Peterbilt dealership(s) in the territories specified in each Dealer Sales and Service Agreement. The Dealer Sales and Service Agreements currently in effect are attached as Exhibit A.</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PACCAR, Rush Enterprises, and the Companies amended the Dealer Sales and Service Agreements by Amendments and Restatements to the Dealer Sales and Service Agreements dated October 5, 2000, June 15, 2006, and December 19, 2012 (the “Prior Amendments”).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PACCAR, Rush Enterprises and the Companies desire that this Amendment supersede and replace the Prior Amendments and that this Amendment apply to all Dealer Sales and Service Agreements currently in effect between Peterbilt and the Companies, any and all extensions, amendments and renewals to such Dealer Sales and Service Agreements (collectively, “Renewal Agreements”) and all future Dealer Sales and Service Agreements (collectively, “Future Agreements”) entered into between Peterbilt and the Companies, including any not currently existing subsidiaries to Rush Enterprises, Inc. This Agreement, with respect to its contents and changes only, shall supersede any integration clauses in these Renewal Agreements and Future Agreements.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of the foregoing premises and of the mutual promises contained herein and for $10.00 and other good and valuable consideration, the adequacy, receipt and sufficiency of which are hereby acknowledged, the parties agree that (a) this Amendment shall supersede and replace the Prior Amendments and (b) the Dealer Sales and Service Agreements, Renewal Agreements, and Future Agreements shall be amended by this Amendment as follows:</w:t>
      </w:r>
    </w:p>
    <w:p>
      <w:pPr>
        <w:spacing w:after="0" w:line="187" w:lineRule="exact"/>
        <w:rPr>
          <w:sz w:val="20"/>
          <w:szCs w:val="20"/>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Article IV.C “OWNERSHIP” of each of the Dealer Sales and Service Agreements shall be deleted in its entirety and shall be replaced with the following:</w:t>
      </w:r>
    </w:p>
    <w:p>
      <w:pPr>
        <w:spacing w:after="0" w:line="17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xml:space="preserve"> Addendum D also sets forth the identity of the persons who have been approved by PETERBILT to have, with their respective associates, the principal beneficial ownership interest (in the aggregate no less than 22% of the voting power of the outstanding shares of capital stock) in Rush Enterprises Inc., the parent of DEALER (called "DEALER PRINCIPAL(S)").</w:t>
      </w:r>
    </w:p>
    <w:p>
      <w:pPr>
        <w:spacing w:after="0" w:line="183" w:lineRule="exact"/>
        <w:rPr>
          <w:rFonts w:ascii="Arial" w:cs="Arial" w:eastAsia="Arial" w:hAnsi="Arial"/>
          <w:sz w:val="18"/>
          <w:szCs w:val="18"/>
          <w:color w:val="auto"/>
        </w:rPr>
      </w:pPr>
    </w:p>
    <w:p>
      <w:pPr>
        <w:jc w:val="both"/>
        <w:ind w:left="980"/>
        <w:spacing w:after="0" w:line="257" w:lineRule="auto"/>
        <w:rPr>
          <w:rFonts w:ascii="Arial" w:cs="Arial" w:eastAsia="Arial" w:hAnsi="Arial"/>
          <w:sz w:val="18"/>
          <w:szCs w:val="18"/>
          <w:color w:val="auto"/>
        </w:rPr>
      </w:pPr>
      <w:r>
        <w:rPr>
          <w:rFonts w:ascii="Arial" w:cs="Arial" w:eastAsia="Arial" w:hAnsi="Arial"/>
          <w:sz w:val="18"/>
          <w:szCs w:val="18"/>
          <w:color w:val="auto"/>
        </w:rPr>
        <w:t>Addendum D also defines and sets forth the OPERATING MANAGER(S) of DEALER. The effectiveness of DEALER is ultimately dependent upon the OPERATING MANAGER(S) who must assume full managerial authority and responsibility for DEALER business. OPERATING MANAGERS may or may not have ownership interests. DEALER agrees to notify PETERBILT of any changes in OPERATING MANAGER(S). Any change of Addendum D or of the OPERATING MANAGER(S) must be in writing and signed by the parties hereto.</w:t>
      </w:r>
    </w:p>
    <w:p>
      <w:pPr>
        <w:spacing w:after="0" w:line="188" w:lineRule="exact"/>
        <w:rPr>
          <w:sz w:val="20"/>
          <w:szCs w:val="20"/>
          <w:color w:val="auto"/>
        </w:rPr>
      </w:pPr>
    </w:p>
    <w:p>
      <w:pPr>
        <w:jc w:val="both"/>
        <w:ind w:left="980"/>
        <w:spacing w:after="0" w:line="301" w:lineRule="auto"/>
        <w:rPr>
          <w:sz w:val="20"/>
          <w:szCs w:val="20"/>
          <w:color w:val="auto"/>
        </w:rPr>
      </w:pPr>
      <w:r>
        <w:rPr>
          <w:rFonts w:ascii="Arial" w:cs="Arial" w:eastAsia="Arial" w:hAnsi="Arial"/>
          <w:sz w:val="16"/>
          <w:szCs w:val="16"/>
          <w:color w:val="auto"/>
        </w:rPr>
        <w:t>DEALER shall have the right to assign its rights and obligations under this AGREEMENT to any entity so long as the majority of the capital stock entitled to vote on the election of directors of such entity or its parent (as defined in Rule-405 under the Securities Act of 1933, as amended) is beneficially owned (as defined in Rule 13d-3 under the Securities Exchange Act of 1934) in the aggregate by Rush Enterprises, Inc. or the DEALER PRINCIPAL(S) and their respective associates (as defined in Rule 12b-2 under the Securities Exchange Act of 1934).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10.3</w:t>
      </w:r>
    </w:p>
    <w:p>
      <w:pPr>
        <w:spacing w:after="0" w:line="225" w:lineRule="exact"/>
        <w:rPr>
          <w:sz w:val="20"/>
          <w:szCs w:val="20"/>
          <w:color w:val="auto"/>
        </w:rPr>
      </w:pPr>
    </w:p>
    <w:p>
      <w:pPr>
        <w:ind w:left="500" w:right="1140" w:hanging="492"/>
        <w:spacing w:after="0" w:line="516"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Article VIII.B.1.g of each of the Dealer Sales and Service Agreements shall be deleted in its entirety and replaced with the following: g. If any of the following occurs with the DEALER PRINCIPAL(S) or OPERATING MANAGER(S):</w:t>
      </w:r>
    </w:p>
    <w:p>
      <w:pPr>
        <w:jc w:val="both"/>
        <w:ind w:left="1460" w:hanging="480"/>
        <w:spacing w:after="0" w:line="263" w:lineRule="auto"/>
        <w:tabs>
          <w:tab w:leader="none" w:pos="1460" w:val="left"/>
        </w:tabs>
        <w:numPr>
          <w:ilvl w:val="2"/>
          <w:numId w:val="7"/>
        </w:numPr>
        <w:rPr>
          <w:rFonts w:ascii="Arial" w:cs="Arial" w:eastAsia="Arial" w:hAnsi="Arial"/>
          <w:sz w:val="18"/>
          <w:szCs w:val="18"/>
          <w:color w:val="auto"/>
        </w:rPr>
      </w:pPr>
      <w:r>
        <w:rPr>
          <w:rFonts w:ascii="Arial" w:cs="Arial" w:eastAsia="Arial" w:hAnsi="Arial"/>
          <w:sz w:val="18"/>
          <w:szCs w:val="18"/>
          <w:color w:val="auto"/>
        </w:rPr>
        <w:t>the DEALER PRINCIPAL(S) identified in Addendum D (as amended by this Amendment) and their respective associates in the aggregate beneficially own less than 22% of the voting power of the outstanding shares of capital stock entitled to vote on the election of directors of Rush Enterprises, Inc. (or any successor thereto), or</w:t>
      </w:r>
    </w:p>
    <w:p>
      <w:pPr>
        <w:spacing w:after="0" w:line="183" w:lineRule="exact"/>
        <w:rPr>
          <w:rFonts w:ascii="Arial" w:cs="Arial" w:eastAsia="Arial" w:hAnsi="Arial"/>
          <w:sz w:val="18"/>
          <w:szCs w:val="18"/>
          <w:color w:val="auto"/>
        </w:rPr>
      </w:pPr>
    </w:p>
    <w:p>
      <w:pPr>
        <w:jc w:val="both"/>
        <w:ind w:left="1460" w:hanging="480"/>
        <w:spacing w:after="0" w:line="279" w:lineRule="auto"/>
        <w:tabs>
          <w:tab w:leader="none" w:pos="1460" w:val="left"/>
        </w:tabs>
        <w:numPr>
          <w:ilvl w:val="2"/>
          <w:numId w:val="7"/>
        </w:numPr>
        <w:rPr>
          <w:rFonts w:ascii="Arial" w:cs="Arial" w:eastAsia="Arial" w:hAnsi="Arial"/>
          <w:sz w:val="17"/>
          <w:szCs w:val="17"/>
          <w:color w:val="auto"/>
        </w:rPr>
      </w:pPr>
      <w:r>
        <w:rPr>
          <w:rFonts w:ascii="Arial" w:cs="Arial" w:eastAsia="Arial" w:hAnsi="Arial"/>
          <w:sz w:val="17"/>
          <w:szCs w:val="17"/>
          <w:color w:val="auto"/>
        </w:rPr>
        <w:t>any “person” (as that term is defined under the Securities Exchange Act of 1934, as amended) other than DEALER PRINCIPAL(S) and their respective associates, or any person who has been approved in writing by PETERBILT, owns a greater percentage of the voting power of the outstanding shares of capital stock entitled to vote on the election of directors of Rush Enterprises, Inc. (or any successor thereto) than DEALER PRINCIPAL(S) and their respective associates in the aggregate,</w:t>
      </w:r>
    </w:p>
    <w:p>
      <w:pPr>
        <w:spacing w:after="0" w:line="171" w:lineRule="exact"/>
        <w:rPr>
          <w:rFonts w:ascii="Arial" w:cs="Arial" w:eastAsia="Arial" w:hAnsi="Arial"/>
          <w:sz w:val="17"/>
          <w:szCs w:val="17"/>
          <w:color w:val="auto"/>
        </w:rPr>
      </w:pPr>
    </w:p>
    <w:p>
      <w:pPr>
        <w:jc w:val="both"/>
        <w:ind w:left="1460" w:hanging="480"/>
        <w:spacing w:after="0" w:line="259" w:lineRule="auto"/>
        <w:tabs>
          <w:tab w:leader="none" w:pos="1460" w:val="left"/>
        </w:tabs>
        <w:numPr>
          <w:ilvl w:val="2"/>
          <w:numId w:val="7"/>
        </w:numPr>
        <w:rPr>
          <w:rFonts w:ascii="Arial" w:cs="Arial" w:eastAsia="Arial" w:hAnsi="Arial"/>
          <w:sz w:val="18"/>
          <w:szCs w:val="18"/>
          <w:color w:val="auto"/>
        </w:rPr>
      </w:pPr>
      <w:r>
        <w:rPr>
          <w:rFonts w:ascii="Arial" w:cs="Arial" w:eastAsia="Arial" w:hAnsi="Arial"/>
          <w:sz w:val="18"/>
          <w:szCs w:val="18"/>
          <w:color w:val="auto"/>
        </w:rPr>
        <w:t>any person who has not been approved in writing by PETERBILT pursuant to Article IV.C (as amended by this Amendment) through the normal PETERBILT vetting process and in accordance with the standards set forth in applicable state law, such approval not to be unreasonably withheld, conditioned or delayed, holds the offices identified in Addendum D (as amended by this Amendment) as OPERATING MANAGERS of DEALER, or</w:t>
      </w:r>
    </w:p>
    <w:p>
      <w:pPr>
        <w:spacing w:after="0" w:line="186" w:lineRule="exact"/>
        <w:rPr>
          <w:rFonts w:ascii="Arial" w:cs="Arial" w:eastAsia="Arial" w:hAnsi="Arial"/>
          <w:sz w:val="18"/>
          <w:szCs w:val="18"/>
          <w:color w:val="auto"/>
        </w:rPr>
      </w:pPr>
    </w:p>
    <w:p>
      <w:pPr>
        <w:ind w:left="1460" w:hanging="480"/>
        <w:spacing w:after="0"/>
        <w:tabs>
          <w:tab w:leader="none" w:pos="1460" w:val="left"/>
        </w:tabs>
        <w:numPr>
          <w:ilvl w:val="2"/>
          <w:numId w:val="7"/>
        </w:numPr>
        <w:rPr>
          <w:rFonts w:ascii="Arial" w:cs="Arial" w:eastAsia="Arial" w:hAnsi="Arial"/>
          <w:sz w:val="18"/>
          <w:szCs w:val="18"/>
          <w:color w:val="auto"/>
        </w:rPr>
      </w:pPr>
      <w:r>
        <w:rPr>
          <w:rFonts w:ascii="Arial" w:cs="Arial" w:eastAsia="Arial" w:hAnsi="Arial"/>
          <w:sz w:val="18"/>
          <w:szCs w:val="18"/>
          <w:color w:val="auto"/>
        </w:rPr>
        <w:t>Rush Enterprises, Inc. (or any successor thereto) is not DEALER or, directly or indirectly, the 100% owner of DEALER.</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Article VIll.B.5 of each of the Dealer Sales and Service Agreements shall be deleted in its entirety.</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Article XI.C of each of the Dealer Sales and Service Agreements shall be deleted in its entirety and replaced with the following:</w:t>
      </w:r>
    </w:p>
    <w:p>
      <w:pPr>
        <w:spacing w:after="0" w:line="225" w:lineRule="exact"/>
        <w:rPr>
          <w:sz w:val="20"/>
          <w:szCs w:val="20"/>
          <w:color w:val="auto"/>
        </w:rPr>
      </w:pPr>
    </w:p>
    <w:p>
      <w:pPr>
        <w:jc w:val="both"/>
        <w:ind w:left="980" w:hanging="486"/>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COLLATERAL ASSIGNMENT. Except as provided in the third paragraph of Article IV.C of this Agreement (as Amended by the Amendment and Restatement), DEALER may not pledge, hypothecate, or grant a security interest in, this AGREEMENT or DEALER'S right, title or interest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10.3</w:t>
      </w:r>
    </w:p>
    <w:p>
      <w:pPr>
        <w:spacing w:after="0" w:line="225" w:lineRule="exact"/>
        <w:rPr>
          <w:sz w:val="20"/>
          <w:szCs w:val="20"/>
          <w:color w:val="auto"/>
        </w:rPr>
      </w:pPr>
    </w:p>
    <w:p>
      <w:pPr>
        <w:ind w:left="500" w:right="2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four paragraphs (including table) of Addendum D of each of the Dealer Sales and Service Agreements shall be deleted in their entirety and replaced with the following:</w:t>
      </w:r>
    </w:p>
    <w:p>
      <w:pPr>
        <w:spacing w:after="0" w:line="170" w:lineRule="exact"/>
        <w:rPr>
          <w:rFonts w:ascii="Arial" w:cs="Arial" w:eastAsia="Arial" w:hAnsi="Arial"/>
          <w:sz w:val="18"/>
          <w:szCs w:val="18"/>
          <w:color w:val="auto"/>
        </w:rPr>
      </w:pPr>
    </w:p>
    <w:p>
      <w:pPr>
        <w:ind w:left="500"/>
        <w:spacing w:after="0" w:line="277" w:lineRule="auto"/>
        <w:rPr>
          <w:rFonts w:ascii="Arial" w:cs="Arial" w:eastAsia="Arial" w:hAnsi="Arial"/>
          <w:sz w:val="18"/>
          <w:szCs w:val="18"/>
          <w:color w:val="auto"/>
        </w:rPr>
      </w:pPr>
      <w:r>
        <w:rPr>
          <w:rFonts w:ascii="Arial" w:cs="Arial" w:eastAsia="Arial" w:hAnsi="Arial"/>
          <w:sz w:val="18"/>
          <w:szCs w:val="18"/>
          <w:color w:val="auto"/>
        </w:rPr>
        <w:t>The DEALER PRINCIPAL(S) are: W.M. “Rusty” Rush and his issue, Robin M. Rush, Scott Anderson, Derrek Weaver, Steven Keller, Corey Lowe, Jody Pollard, Jason Wilder, Michael Goldstone, Mike Eppes and Michael McRoberts.</w:t>
      </w:r>
    </w:p>
    <w:p>
      <w:pPr>
        <w:spacing w:after="0" w:line="170" w:lineRule="exact"/>
        <w:rPr>
          <w:rFonts w:ascii="Arial" w:cs="Arial" w:eastAsia="Arial" w:hAnsi="Arial"/>
          <w:sz w:val="18"/>
          <w:szCs w:val="18"/>
          <w:color w:val="auto"/>
        </w:rPr>
      </w:pPr>
    </w:p>
    <w:p>
      <w:pPr>
        <w:jc w:val="both"/>
        <w:ind w:left="500"/>
        <w:spacing w:after="0" w:line="259" w:lineRule="auto"/>
        <w:rPr>
          <w:rFonts w:ascii="Arial" w:cs="Arial" w:eastAsia="Arial" w:hAnsi="Arial"/>
          <w:sz w:val="18"/>
          <w:szCs w:val="18"/>
          <w:color w:val="auto"/>
        </w:rPr>
      </w:pPr>
      <w:r>
        <w:rPr>
          <w:rFonts w:ascii="Arial" w:cs="Arial" w:eastAsia="Arial" w:hAnsi="Arial"/>
          <w:sz w:val="18"/>
          <w:szCs w:val="18"/>
          <w:color w:val="auto"/>
        </w:rPr>
        <w:t>PETERBILT enters into the AGREEMENT in reliance upon personnel qualifications, representations and present financial condition of the persons identified herein as the OPERATING MANAGERS of DEALER. The OPERATING MANAGERS include the Chairman of the Board of Rush Enterprises, Inc. (or any successor position thereto), and the President or Chief Executive Officer of Rush Enterprises, Inc. (or any successor positions thereto). The approved OPERATING MANAGERS are: W.M. “Rusty” Rush.</w:t>
      </w:r>
    </w:p>
    <w:p>
      <w:pPr>
        <w:spacing w:after="0" w:line="186"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DEALER agrees to notify PETERBILT of any change in DEALER PRINCIPAL and/or OPERATING MANAGER.</w:t>
      </w:r>
    </w:p>
    <w:p>
      <w:pPr>
        <w:spacing w:after="0" w:line="225" w:lineRule="exact"/>
        <w:rPr>
          <w:rFonts w:ascii="Arial" w:cs="Arial" w:eastAsia="Arial" w:hAnsi="Arial"/>
          <w:sz w:val="18"/>
          <w:szCs w:val="18"/>
          <w:color w:val="auto"/>
        </w:rPr>
      </w:pPr>
    </w:p>
    <w:p>
      <w:pPr>
        <w:jc w:val="both"/>
        <w:ind w:left="500" w:hanging="492"/>
        <w:spacing w:after="0" w:line="269"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Dealer Sales and Service Agreement with Rush Alabama, any and all references to “DEALER” shall refer solely to Rush Alabama; in the Dealer Sales and Service Agreement with Rush Arizona, any and all references to “DEALER” shall refer solely to Rush Arizona; in the Dealer Sales and Service Agreement with Rush California, any and all references to “DEALER” shall refer solely to Rush California; in the Dealer Sales and Service Agreement with Rush Colorado, any and all references to “DEALER” shall refer solely to Rush Colorado; in the Dealer Sales and Service Agreement with Rush Florida, any and all references to “DEALER” shall refer solely to Rush Florida; in the Dealer Sales and Service Agreement with Rush Kentucky, any and all references to “DEALER” shall refer solely to Rush Kentucky; in the Dealer Sales and Service Agreement with Rush Nevada, any and all references to “DEALER” shall refer solely to Rush Nevada; in the Dealer Sales and Service Agreement with Rush New Mexico, any and all references to “DEALER” shall refer solely to Rush New Mexico; in the Dealer Sales and Service Agreement with Rush Oklahoma, any and all references to “DEALER” shall refer solely to Rush Oklahoma; in the Dealer Sales and Service Agreement with Rush Tennessee, any and all references to “DEALER” shall refer solely to Rush Tennessee; and in the Dealer Sales and Service Agreement with Rush Texas, any and all references to “DEALER” shall refer solely to Rush Texas.</w:t>
      </w:r>
    </w:p>
    <w:p>
      <w:pPr>
        <w:spacing w:after="0" w:line="181"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and all of the terms and conditions of each of the Dealer Sales and Service Agreements are hereby amended and modified wherever necessary, even though not specifically addressed herein, so as to conform to the amendments and modifications contained in this Amendment.</w:t>
      </w:r>
    </w:p>
    <w:p>
      <w:pPr>
        <w:spacing w:after="0" w:line="123" w:lineRule="exact"/>
        <w:rPr>
          <w:rFonts w:ascii="Arial" w:cs="Arial" w:eastAsia="Arial" w:hAnsi="Arial"/>
          <w:sz w:val="16"/>
          <w:szCs w:val="16"/>
          <w:color w:val="auto"/>
        </w:rPr>
      </w:pPr>
    </w:p>
    <w:p>
      <w:pPr>
        <w:jc w:val="both"/>
        <w:ind w:left="500" w:hanging="492"/>
        <w:spacing w:after="0" w:line="279"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event any Renewal Agreement or Future Agreement contains the same provisions (regardless of numbering or format) that are amended, deleted or otherwise modified by this Amendment, then such provisions in such Renewal Agreement or Future Agreement shall be amended, deleted or otherwise modified in the same way such provisions are amended, deleted or modified by this Amendment. This Agreement expressly supersedes any general integration provisions in any Renewal Agreement or Future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10.3</w:t>
      </w:r>
    </w:p>
    <w:p>
      <w:pPr>
        <w:spacing w:after="0" w:line="22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Except as amended hereby, each Dealer Sales and Service Agreement is hereby ratified and confirmed and shall continue in full force and effect.</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Rush, the Companies and PACCAR have caused this Amendment to be executed and delivered as of the date first above written.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ind w:left="10360"/>
        <w:spacing w:after="0"/>
        <w:rPr>
          <w:sz w:val="20"/>
          <w:szCs w:val="20"/>
          <w:color w:val="auto"/>
        </w:rPr>
      </w:pPr>
      <w:r>
        <w:rPr>
          <w:rFonts w:ascii="Arial" w:cs="Arial" w:eastAsia="Arial" w:hAnsi="Arial"/>
          <w:sz w:val="16"/>
          <w:szCs w:val="16"/>
          <w:color w:val="auto"/>
        </w:rPr>
        <w:t>Exhibit 10.3</w:t>
      </w:r>
    </w:p>
    <w:p>
      <w:pPr>
        <w:spacing w:after="0" w:line="24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SIGNATURE PAGE(S) FOR AMENDED AND RESTATED AMENDMENT TO DEALER SALES AND SERVICE AGREEMENTS DATED JULY 6,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Peterbilt Motors Company,</w:t>
            </w:r>
          </w:p>
        </w:tc>
        <w:tc>
          <w:tcPr>
            <w:tcW w:w="7300" w:type="dxa"/>
            <w:vAlign w:val="bottom"/>
            <w:gridSpan w:val="3"/>
          </w:tcPr>
          <w:p>
            <w:pPr>
              <w:ind w:left="1680"/>
              <w:spacing w:after="0"/>
              <w:rPr>
                <w:sz w:val="20"/>
                <w:szCs w:val="20"/>
                <w:color w:val="auto"/>
              </w:rPr>
            </w:pPr>
            <w:r>
              <w:rPr>
                <w:rFonts w:ascii="Arial" w:cs="Arial" w:eastAsia="Arial" w:hAnsi="Arial"/>
                <w:sz w:val="18"/>
                <w:szCs w:val="18"/>
                <w:b w:val="1"/>
                <w:bCs w:val="1"/>
                <w:color w:val="auto"/>
              </w:rPr>
              <w:t>Rush Enterprises, Inc.</w:t>
            </w:r>
          </w:p>
        </w:tc>
      </w:tr>
      <w:tr>
        <w:trPr>
          <w:trHeight w:val="234"/>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A division of PACCAR Inc</w:t>
            </w:r>
          </w:p>
        </w:tc>
        <w:tc>
          <w:tcPr>
            <w:tcW w:w="1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46"/>
        </w:trPr>
        <w:tc>
          <w:tcPr>
            <w:tcW w:w="3940" w:type="dxa"/>
            <w:vAlign w:val="bottom"/>
            <w:gridSpan w:val="3"/>
          </w:tcPr>
          <w:p>
            <w:pPr>
              <w:spacing w:after="0"/>
              <w:rPr>
                <w:sz w:val="20"/>
                <w:szCs w:val="20"/>
                <w:color w:val="auto"/>
              </w:rPr>
            </w:pPr>
            <w:r>
              <w:rPr>
                <w:rFonts w:ascii="Arial" w:cs="Arial" w:eastAsia="Arial" w:hAnsi="Arial"/>
                <w:sz w:val="18"/>
                <w:szCs w:val="18"/>
                <w:color w:val="auto"/>
              </w:rPr>
              <w:t>By:/s/ Jason Skoog</w:t>
            </w: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By:/s/ Michael Goldstone</w:t>
            </w:r>
          </w:p>
        </w:tc>
      </w:tr>
      <w:tr>
        <w:trPr>
          <w:trHeight w:val="20"/>
        </w:trPr>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2"/>
        </w:trPr>
        <w:tc>
          <w:tcPr>
            <w:tcW w:w="3940" w:type="dxa"/>
            <w:vAlign w:val="bottom"/>
            <w:gridSpan w:val="3"/>
          </w:tcPr>
          <w:p>
            <w:pPr>
              <w:spacing w:after="0"/>
              <w:rPr>
                <w:sz w:val="20"/>
                <w:szCs w:val="20"/>
                <w:color w:val="auto"/>
              </w:rPr>
            </w:pPr>
            <w:r>
              <w:rPr>
                <w:rFonts w:ascii="Arial" w:cs="Arial" w:eastAsia="Arial" w:hAnsi="Arial"/>
                <w:sz w:val="18"/>
                <w:szCs w:val="18"/>
                <w:color w:val="auto"/>
              </w:rPr>
              <w:t>Jason Skoog</w:t>
            </w: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Michael Goldstone</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Vice President, PACCAR Inc.</w:t>
            </w: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Vice President/Secretary</w:t>
            </w:r>
          </w:p>
        </w:tc>
      </w:tr>
      <w:tr>
        <w:trPr>
          <w:trHeight w:val="230"/>
        </w:trPr>
        <w:tc>
          <w:tcPr>
            <w:tcW w:w="3940" w:type="dxa"/>
            <w:vAlign w:val="bottom"/>
            <w:gridSpan w:val="3"/>
          </w:tcPr>
          <w:p>
            <w:pPr>
              <w:spacing w:after="0"/>
              <w:rPr>
                <w:sz w:val="20"/>
                <w:szCs w:val="20"/>
                <w:color w:val="auto"/>
              </w:rPr>
            </w:pPr>
            <w:r>
              <w:rPr>
                <w:rFonts w:ascii="Arial" w:cs="Arial" w:eastAsia="Arial" w:hAnsi="Arial"/>
                <w:sz w:val="18"/>
                <w:szCs w:val="18"/>
                <w:color w:val="auto"/>
              </w:rPr>
              <w:t>General Manager Peterbilt Motors</w:t>
            </w:r>
          </w:p>
        </w:tc>
        <w:tc>
          <w:tcPr>
            <w:tcW w:w="19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243"/>
        </w:trPr>
        <w:tc>
          <w:tcPr>
            <w:tcW w:w="394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7300" w:type="dxa"/>
            <w:vAlign w:val="bottom"/>
            <w:gridSpan w:val="3"/>
          </w:tcPr>
          <w:p>
            <w:pPr>
              <w:ind w:left="1680"/>
              <w:spacing w:after="0"/>
              <w:rPr>
                <w:sz w:val="20"/>
                <w:szCs w:val="20"/>
                <w:color w:val="auto"/>
              </w:rPr>
            </w:pPr>
            <w:r>
              <w:rPr>
                <w:rFonts w:ascii="Arial" w:cs="Arial" w:eastAsia="Arial" w:hAnsi="Arial"/>
                <w:sz w:val="18"/>
                <w:szCs w:val="18"/>
                <w:b w:val="1"/>
                <w:bCs w:val="1"/>
                <w:color w:val="auto"/>
              </w:rPr>
              <w:t>Rush Truck Centers of Alabama, Inc.</w:t>
            </w:r>
          </w:p>
        </w:tc>
      </w:tr>
      <w:tr>
        <w:trPr>
          <w:trHeight w:val="418"/>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By:/s/ Michael Goldstone</w:t>
            </w: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Michael Goldstone</w:t>
            </w:r>
          </w:p>
        </w:tc>
      </w:tr>
      <w:tr>
        <w:trPr>
          <w:trHeight w:val="230"/>
        </w:trPr>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Vice President/Secretary</w:t>
            </w:r>
          </w:p>
        </w:tc>
      </w:tr>
      <w:tr>
        <w:trPr>
          <w:trHeight w:val="702"/>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b w:val="1"/>
                <w:bCs w:val="1"/>
                <w:color w:val="auto"/>
              </w:rPr>
              <w:t>Rush Truck Centers of Arizona, Inc.</w:t>
            </w:r>
          </w:p>
        </w:tc>
      </w:tr>
      <w:tr>
        <w:trPr>
          <w:trHeight w:val="418"/>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By:/s/ Michael Goldstone</w:t>
            </w: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Michael Goldstone</w:t>
            </w:r>
          </w:p>
        </w:tc>
      </w:tr>
      <w:tr>
        <w:trPr>
          <w:trHeight w:val="230"/>
        </w:trPr>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Vice President/Secretary</w:t>
            </w:r>
          </w:p>
        </w:tc>
      </w:tr>
      <w:tr>
        <w:trPr>
          <w:trHeight w:val="702"/>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b w:val="1"/>
                <w:bCs w:val="1"/>
                <w:color w:val="auto"/>
              </w:rPr>
              <w:t>Rush Truck Centers of California, Inc.</w:t>
            </w:r>
          </w:p>
        </w:tc>
      </w:tr>
      <w:tr>
        <w:trPr>
          <w:trHeight w:val="419"/>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By:/s/ Michael Goldstone</w:t>
            </w: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Michael Goldstone</w:t>
            </w:r>
          </w:p>
        </w:tc>
      </w:tr>
      <w:tr>
        <w:trPr>
          <w:trHeight w:val="230"/>
        </w:trPr>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Vice President/Secretary</w:t>
            </w:r>
          </w:p>
        </w:tc>
      </w:tr>
      <w:tr>
        <w:trPr>
          <w:trHeight w:val="702"/>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720"/>
              <w:spacing w:after="0"/>
              <w:rPr>
                <w:sz w:val="20"/>
                <w:szCs w:val="20"/>
                <w:color w:val="auto"/>
              </w:rPr>
            </w:pPr>
            <w:r>
              <w:rPr>
                <w:rFonts w:ascii="Arial" w:cs="Arial" w:eastAsia="Arial" w:hAnsi="Arial"/>
                <w:sz w:val="18"/>
                <w:szCs w:val="18"/>
                <w:b w:val="1"/>
                <w:bCs w:val="1"/>
                <w:color w:val="auto"/>
              </w:rPr>
              <w:t>Rush Truck Centers of Colorado, Inc.</w:t>
            </w:r>
          </w:p>
        </w:tc>
      </w:tr>
      <w:tr>
        <w:trPr>
          <w:trHeight w:val="418"/>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By:/s/ Michael Goldstone</w:t>
            </w: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Michael Goldstone</w:t>
            </w:r>
          </w:p>
        </w:tc>
      </w:tr>
      <w:tr>
        <w:trPr>
          <w:trHeight w:val="230"/>
        </w:trPr>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Vice President/Secretary</w:t>
            </w:r>
          </w:p>
        </w:tc>
      </w:tr>
      <w:tr>
        <w:trPr>
          <w:trHeight w:val="702"/>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b w:val="1"/>
                <w:bCs w:val="1"/>
                <w:color w:val="auto"/>
              </w:rPr>
              <w:t>Rush Truck Centers of Florida, Inc.</w:t>
            </w:r>
          </w:p>
        </w:tc>
      </w:tr>
      <w:tr>
        <w:trPr>
          <w:trHeight w:val="418"/>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By:/s/ Michael Goldstone</w:t>
            </w:r>
          </w:p>
        </w:tc>
      </w:tr>
      <w:tr>
        <w:trPr>
          <w:trHeight w:val="20"/>
        </w:trPr>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22"/>
        </w:trPr>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Michael Goldstone</w:t>
            </w:r>
          </w:p>
        </w:tc>
      </w:tr>
      <w:tr>
        <w:trPr>
          <w:trHeight w:val="230"/>
        </w:trPr>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300" w:type="dxa"/>
            <w:vAlign w:val="bottom"/>
            <w:gridSpan w:val="3"/>
          </w:tcPr>
          <w:p>
            <w:pPr>
              <w:ind w:left="1680"/>
              <w:spacing w:after="0"/>
              <w:rPr>
                <w:sz w:val="20"/>
                <w:szCs w:val="20"/>
                <w:color w:val="auto"/>
              </w:rPr>
            </w:pPr>
            <w:r>
              <w:rPr>
                <w:rFonts w:ascii="Arial" w:cs="Arial" w:eastAsia="Arial" w:hAnsi="Arial"/>
                <w:sz w:val="18"/>
                <w:szCs w:val="18"/>
                <w:color w:val="auto"/>
              </w:rPr>
              <w:t>Vice President/Secretary</w:t>
            </w:r>
          </w:p>
        </w:tc>
      </w:tr>
      <w:tr>
        <w:trPr>
          <w:trHeight w:val="432"/>
        </w:trPr>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300" w:type="dxa"/>
            <w:vAlign w:val="bottom"/>
            <w:gridSpan w:val="3"/>
          </w:tcPr>
          <w:p>
            <w:pPr>
              <w:ind w:left="1480"/>
              <w:spacing w:after="0"/>
              <w:rPr>
                <w:sz w:val="20"/>
                <w:szCs w:val="20"/>
                <w:color w:val="auto"/>
              </w:rPr>
            </w:pPr>
            <w:r>
              <w:rPr>
                <w:rFonts w:ascii="Arial" w:cs="Arial" w:eastAsia="Arial" w:hAnsi="Arial"/>
                <w:sz w:val="18"/>
                <w:szCs w:val="18"/>
                <w:color w:val="auto"/>
              </w:rPr>
              <w:t>6 of 7</w:t>
            </w:r>
          </w:p>
        </w:tc>
      </w:tr>
      <w:tr>
        <w:trPr>
          <w:trHeight w:val="115"/>
        </w:trPr>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7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8"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10.3</w:t>
      </w:r>
    </w:p>
    <w:p>
      <w:pPr>
        <w:spacing w:after="0" w:line="221"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Kentucky, Inc.</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Goldstone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Goldstone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President/Secretary</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Nevada, Inc.</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Goldstone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Goldstone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President/Secretary</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New Mexico, Inc.</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Goldstone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Goldstone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President/Secretary</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Oklahoma, Inc.</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Goldstone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Goldstone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President/Secretary</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Tennessee, Inc.</w:t>
      </w:r>
    </w:p>
    <w:p>
      <w:pPr>
        <w:spacing w:after="0" w:line="25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Goldstone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Goldstone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President/Secretary</w:t>
      </w:r>
    </w:p>
    <w:p>
      <w:pPr>
        <w:spacing w:after="0" w:line="200" w:lineRule="exact"/>
        <w:rPr>
          <w:sz w:val="20"/>
          <w:szCs w:val="20"/>
          <w:color w:val="auto"/>
        </w:rPr>
      </w:pPr>
    </w:p>
    <w:p>
      <w:pPr>
        <w:spacing w:after="0" w:line="27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Rush Truck Centers of Texas, L.P.</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By: Rushtex, its general partner</w:t>
      </w:r>
    </w:p>
    <w:p>
      <w:pPr>
        <w:spacing w:after="0" w:line="23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r>
        <w:rPr>
          <w:rFonts w:ascii="Arial" w:cs="Arial" w:eastAsia="Arial" w:hAnsi="Arial"/>
          <w:sz w:val="18"/>
          <w:szCs w:val="18"/>
          <w:u w:val="single" w:color="auto"/>
          <w:color w:val="auto"/>
        </w:rPr>
        <w:t>/s/ Michael Goldstone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Goldstone</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President/Secretary</w:t>
      </w:r>
    </w:p>
    <w:p>
      <w:pPr>
        <w:spacing w:after="0" w:line="21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7 of 7</w:t>
      </w:r>
    </w:p>
    <w:p>
      <w:pPr>
        <w:sectPr>
          <w:pgSz w:w="11900" w:h="16838" w:orient="portrait"/>
          <w:cols w:equalWidth="0" w:num="1">
            <w:col w:w="10120"/>
          </w:cols>
          <w:pgMar w:left="1440" w:top="368" w:right="339" w:bottom="1440" w:gutter="0" w:footer="0" w:header="0"/>
        </w:sectPr>
      </w:pPr>
    </w:p>
    <w:bookmarkStart w:id="37" w:name="page38"/>
    <w:bookmarkEnd w:id="37"/>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W.M. “Rusty” Rush, certify that:</w:t>
      </w:r>
    </w:p>
    <w:p>
      <w:pPr>
        <w:spacing w:after="0" w:line="22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67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66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6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1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84"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3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0" w:firstLine="8"/>
        <w:spacing w:after="0" w:line="308" w:lineRule="auto"/>
        <w:tabs>
          <w:tab w:leader="none" w:pos="63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4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3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200"/>
              <w:spacing w:after="0"/>
              <w:rPr>
                <w:sz w:val="20"/>
                <w:szCs w:val="20"/>
                <w:color w:val="auto"/>
              </w:rPr>
            </w:pPr>
            <w:r>
              <w:rPr>
                <w:rFonts w:ascii="Arial" w:cs="Arial" w:eastAsia="Arial" w:hAnsi="Arial"/>
                <w:sz w:val="18"/>
                <w:szCs w:val="18"/>
                <w:color w:val="auto"/>
              </w:rPr>
              <w:t>November 9, 2023</w:t>
            </w:r>
          </w:p>
        </w:tc>
        <w:tc>
          <w:tcPr>
            <w:tcW w:w="5980" w:type="dxa"/>
            <w:vAlign w:val="bottom"/>
            <w:gridSpan w:val="2"/>
          </w:tcPr>
          <w:p>
            <w:pPr>
              <w:ind w:left="1720"/>
              <w:spacing w:after="0"/>
              <w:rPr>
                <w:sz w:val="20"/>
                <w:szCs w:val="20"/>
                <w:color w:val="auto"/>
              </w:rPr>
            </w:pPr>
            <w:r>
              <w:rPr>
                <w:rFonts w:ascii="Arial" w:cs="Arial" w:eastAsia="Arial" w:hAnsi="Arial"/>
                <w:sz w:val="18"/>
                <w:szCs w:val="18"/>
                <w:color w:val="auto"/>
              </w:rPr>
              <w:t>By: /S/ W.M. “RUSTY” RUSH</w:t>
            </w:r>
          </w:p>
        </w:tc>
      </w:tr>
      <w:tr>
        <w:trPr>
          <w:trHeight w:val="195"/>
        </w:trPr>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President, Chief Executive Officer and</w:t>
            </w:r>
          </w:p>
        </w:tc>
      </w:tr>
      <w:tr>
        <w:trPr>
          <w:trHeight w:val="216"/>
        </w:trPr>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230"/>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38" w:name="page39"/>
    <w:bookmarkEnd w:id="38"/>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L. Keller, certify that:</w:t>
      </w:r>
    </w:p>
    <w:p>
      <w:pPr>
        <w:spacing w:after="0" w:line="225"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225" w:lineRule="exact"/>
        <w:rPr>
          <w:rFonts w:ascii="Arial" w:cs="Arial" w:eastAsia="Arial" w:hAnsi="Arial"/>
          <w:sz w:val="18"/>
          <w:szCs w:val="18"/>
          <w:color w:val="auto"/>
        </w:rPr>
      </w:pPr>
    </w:p>
    <w:p>
      <w:pPr>
        <w:ind w:firstLine="8"/>
        <w:spacing w:after="0" w:line="342" w:lineRule="auto"/>
        <w:tabs>
          <w:tab w:leader="none" w:pos="67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6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8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5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131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656"/>
        <w:spacing w:after="0" w:line="308" w:lineRule="auto"/>
        <w:tabs>
          <w:tab w:leader="none" w:pos="1384"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133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667"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firstLine="656"/>
        <w:spacing w:after="0" w:line="277" w:lineRule="auto"/>
        <w:tabs>
          <w:tab w:leader="none" w:pos="14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13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200"/>
              <w:spacing w:after="0"/>
              <w:rPr>
                <w:sz w:val="20"/>
                <w:szCs w:val="20"/>
                <w:color w:val="auto"/>
              </w:rPr>
            </w:pPr>
            <w:r>
              <w:rPr>
                <w:rFonts w:ascii="Arial" w:cs="Arial" w:eastAsia="Arial" w:hAnsi="Arial"/>
                <w:sz w:val="18"/>
                <w:szCs w:val="18"/>
                <w:color w:val="auto"/>
              </w:rPr>
              <w:t>November 9, 2023</w:t>
            </w:r>
          </w:p>
        </w:tc>
        <w:tc>
          <w:tcPr>
            <w:tcW w:w="5980" w:type="dxa"/>
            <w:vAlign w:val="bottom"/>
            <w:gridSpan w:val="2"/>
          </w:tcPr>
          <w:p>
            <w:pPr>
              <w:ind w:left="1720"/>
              <w:spacing w:after="0"/>
              <w:rPr>
                <w:sz w:val="20"/>
                <w:szCs w:val="20"/>
                <w:color w:val="auto"/>
              </w:rPr>
            </w:pPr>
            <w:r>
              <w:rPr>
                <w:rFonts w:ascii="Arial" w:cs="Arial" w:eastAsia="Arial" w:hAnsi="Arial"/>
                <w:sz w:val="18"/>
                <w:szCs w:val="18"/>
                <w:color w:val="auto"/>
              </w:rPr>
              <w:t>By: /S/ STEVEN L. KELLER</w:t>
            </w:r>
          </w:p>
        </w:tc>
      </w:tr>
      <w:tr>
        <w:trPr>
          <w:trHeight w:val="195"/>
        </w:trPr>
        <w:tc>
          <w:tcPr>
            <w:tcW w:w="5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this quarterly report of Rush Enterprises, Inc.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period ended September 30, 2023,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W.M. “Rusty” Rush, President, Chief Executive Officer and Chairman of the Board of the Company, certify, pursuant to 18 U.S.C. Section 1350, as adopted pursuant to Section 906 of the Sarbanes-Oxley Act of 2002, that:</w:t>
      </w:r>
    </w:p>
    <w:p>
      <w:pPr>
        <w:spacing w:after="0" w:line="149"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p>
      <w:pPr>
        <w:ind w:left="4940"/>
        <w:spacing w:after="0"/>
        <w:tabs>
          <w:tab w:leader="none" w:pos="5460" w:val="left"/>
        </w:tabs>
        <w:rPr>
          <w:sz w:val="20"/>
          <w:szCs w:val="20"/>
          <w:color w:val="auto"/>
        </w:rPr>
      </w:pPr>
      <w:r>
        <w:rPr>
          <w:rFonts w:ascii="Arial" w:cs="Arial" w:eastAsia="Arial" w:hAnsi="Arial"/>
          <w:sz w:val="18"/>
          <w:szCs w:val="18"/>
          <w:color w:val="auto"/>
        </w:rPr>
        <w:t>By:</w:t>
        <w:tab/>
        <w:t>/S/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14605</wp:posOffset>
            </wp:positionV>
            <wp:extent cx="22542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Name: W.M. “Rusty” Rush</w:t>
      </w:r>
    </w:p>
    <w:p>
      <w:pPr>
        <w:spacing w:after="0" w:line="23" w:lineRule="exact"/>
        <w:rPr>
          <w:sz w:val="20"/>
          <w:szCs w:val="20"/>
          <w:color w:val="auto"/>
        </w:rPr>
      </w:pPr>
    </w:p>
    <w:p>
      <w:pPr>
        <w:ind w:left="4940"/>
        <w:spacing w:after="0"/>
        <w:tabs>
          <w:tab w:leader="none" w:pos="5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Chief Executive Officer and Chairman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of the Board</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Date:  November 9, 2023</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this quarterly report of Rush Enterprises,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period ended September 30, 2023,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Steven L. Keller, Chief Financial Officer and Treasurer of the Company, certify, pursuant to 18 U.S.C. Section 1350, as adopted pursuant to Section 906 of the Sarbanes-Oxley Act of 2002, that:</w:t>
      </w:r>
    </w:p>
    <w:p>
      <w:pPr>
        <w:spacing w:after="0" w:line="165" w:lineRule="exact"/>
        <w:rPr>
          <w:sz w:val="20"/>
          <w:szCs w:val="20"/>
          <w:color w:val="auto"/>
        </w:rPr>
      </w:pPr>
    </w:p>
    <w:p>
      <w:pPr>
        <w:ind w:left="1200" w:hanging="544"/>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6"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L. KELLER</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195" w:lineRule="exact"/>
              <w:rPr>
                <w:sz w:val="20"/>
                <w:szCs w:val="20"/>
                <w:color w:val="auto"/>
              </w:rPr>
            </w:pPr>
            <w:r>
              <w:rPr>
                <w:rFonts w:ascii="Arial" w:cs="Arial" w:eastAsia="Arial" w:hAnsi="Arial"/>
                <w:sz w:val="18"/>
                <w:szCs w:val="18"/>
                <w:color w:val="auto"/>
              </w:rPr>
              <w:t>Steven L. Kelle</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520" w:type="dxa"/>
            <w:vAlign w:val="bottom"/>
          </w:tcPr>
          <w:p>
            <w:pPr>
              <w:spacing w:after="0"/>
              <w:rPr>
                <w:sz w:val="20"/>
                <w:szCs w:val="20"/>
                <w:color w:val="auto"/>
              </w:rPr>
            </w:pPr>
            <w:r>
              <w:rPr>
                <w:rFonts w:ascii="Arial" w:cs="Arial" w:eastAsia="Arial" w:hAnsi="Arial"/>
                <w:sz w:val="18"/>
                <w:szCs w:val="18"/>
                <w:color w:val="auto"/>
              </w:rPr>
              <w:t>November 9, 2023</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lvl w:ilvl="1">
      <w:lvlJc w:val="left"/>
      <w:lvlText w:val="%2."/>
      <w:numFmt w:val="upperLetter"/>
      <w:start w:val="3"/>
    </w:lvl>
  </w:abstractNum>
  <w:abstractNum w:abstractNumId="6">
    <w:nsid w:val="216231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1F16E9E8"/>
    <w:multiLevelType w:val="hybridMultilevel"/>
    <w:lvl w:ilvl="0">
      <w:lvlJc w:val="left"/>
      <w:lvlText w:val="%1."/>
      <w:numFmt w:val="upperLetter"/>
      <w:start w:val="3"/>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9"/>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34" Type="http://schemas.openxmlformats.org/officeDocument/2006/relationships/hyperlink" Target="http://www.sec.gov/Archives/edgar/data/1012019/000110465908051789/a08-18770_1ex3d1.htm" TargetMode="External"/><Relationship Id="rId35" Type="http://schemas.openxmlformats.org/officeDocument/2006/relationships/hyperlink" Target="http://www.sec.gov/Archives/edgar/data/1012019/000143774923022761/ex_553893.htm" TargetMode="External"/><Relationship Id="rId36" Type="http://schemas.openxmlformats.org/officeDocument/2006/relationships/hyperlink" Target="http://www.sec.gov/Archives/edgar/data/1012019/000143774913006455/rusha20130517_8kex3-1.htm" TargetMode="External"/><Relationship Id="rId37" Type="http://schemas.openxmlformats.org/officeDocument/2006/relationships/hyperlink" Target="http://www.sec.gov/Archives/edgar/data/1012019/000143774921013172/ex_252719.htm" TargetMode="External"/><Relationship Id="rId38" Type="http://schemas.openxmlformats.org/officeDocument/2006/relationships/hyperlink" Target="http://www.sec.gov/Archives/edgar/data/1012019/000143774923030420/ex_591845.htm" TargetMode="External"/><Relationship Id="rId39" Type="http://schemas.openxmlformats.org/officeDocument/2006/relationships/hyperlink" Target="http://www.sec.gov/Archives/edgar/data/1012019/000143774923030420/ex_5918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2023-11-09T13:15:03Z</dcterms:created>
  <dcterms:modified xsi:type="dcterms:W3CDTF">2023-11-09T13:15:03Z</dcterms:modified>
</cp:coreProperties>
</file>