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400" w:hanging="652"/>
        <w:spacing w:after="0" w:line="237"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400" w:hanging="652"/>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233" w:right="19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4140" w:space="720"/>
            <w:col w:w="6600"/>
          </w:cols>
          <w:pgMar w:left="240" w:top="233" w:right="199" w:bottom="0" w:gutter="0" w:footer="0" w:header="0"/>
          <w:type w:val="continuous"/>
        </w:sectPr>
      </w:pP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0-20797</w:t>
      </w:r>
    </w:p>
    <w:p>
      <w:pPr>
        <w:sectPr>
          <w:pgSz w:w="11900" w:h="16838" w:orient="portrait"/>
          <w:cols w:equalWidth="0" w:num="1">
            <w:col w:w="11460"/>
          </w:cols>
          <w:pgMar w:left="240" w:top="233" w:right="199" w:bottom="0" w:gutter="0" w:footer="0" w:header="0"/>
          <w:type w:val="continuous"/>
        </w:sect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60"/>
          </w:cols>
          <w:pgMar w:left="240" w:top="233" w:right="199" w:bottom="0" w:gutter="0" w:footer="0" w:header="0"/>
          <w:type w:val="continuous"/>
        </w:sectPr>
      </w:pPr>
    </w:p>
    <w:p>
      <w:pPr>
        <w:spacing w:after="0" w:line="21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40"/>
          </w:cols>
          <w:pgMar w:left="240" w:top="233" w:right="19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233" w:right="199" w:bottom="0" w:gutter="0" w:footer="0" w:header="0"/>
          <w:type w:val="continuous"/>
        </w:sectPr>
      </w:pPr>
    </w:p>
    <w:p>
      <w:pPr>
        <w:ind w:left="5280"/>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pacing w:after="0" w:line="200" w:lineRule="exact"/>
        <w:rPr>
          <w:sz w:val="24"/>
          <w:szCs w:val="24"/>
          <w:color w:val="auto"/>
        </w:rPr>
      </w:pPr>
    </w:p>
    <w:p>
      <w:pPr>
        <w:sectPr>
          <w:pgSz w:w="11900" w:h="16838" w:orient="portrait"/>
          <w:cols w:equalWidth="0" w:num="2">
            <w:col w:w="5720" w:space="360"/>
            <w:col w:w="5380"/>
          </w:cols>
          <w:pgMar w:left="240" w:top="233" w:right="199" w:bottom="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60"/>
          </w:cols>
          <w:pgMar w:left="240" w:top="233" w:right="199" w:bottom="0" w:gutter="0" w:footer="0" w:header="0"/>
          <w:type w:val="continuous"/>
        </w:sectPr>
      </w:pPr>
    </w:p>
    <w:p>
      <w:pPr>
        <w:spacing w:after="0" w:line="22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5000" w:space="720"/>
            <w:col w:w="5740"/>
          </w:cols>
          <w:pgMar w:left="240" w:top="233" w:right="199" w:bottom="0" w:gutter="0" w:footer="0" w:header="0"/>
          <w:type w:val="continuous"/>
        </w:sectPr>
      </w:pPr>
    </w:p>
    <w:p>
      <w:pPr>
        <w:spacing w:after="0" w:line="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5000" w:space="720"/>
            <w:col w:w="5740"/>
          </w:cols>
          <w:pgMar w:left="240" w:top="233"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3, 2008.</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vMerge w:val="restart"/>
          </w:tcPr>
          <w:p>
            <w:pPr>
              <w:ind w:left="3680"/>
              <w:spacing w:after="0"/>
              <w:rPr>
                <w:sz w:val="20"/>
                <w:szCs w:val="20"/>
                <w:color w:val="auto"/>
              </w:rPr>
            </w:pPr>
            <w:r>
              <w:rPr>
                <w:rFonts w:ascii="Arial" w:cs="Arial" w:eastAsia="Arial" w:hAnsi="Arial"/>
                <w:sz w:val="14"/>
                <w:szCs w:val="14"/>
                <w:b w:val="1"/>
                <w:bCs w:val="1"/>
                <w:color w:val="auto"/>
              </w:rPr>
              <w:t>Title of Class</w:t>
            </w:r>
          </w:p>
        </w:tc>
        <w:tc>
          <w:tcPr>
            <w:tcW w:w="2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of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00" w:type="dxa"/>
            <w:vAlign w:val="bottom"/>
            <w:gridSpan w:val="2"/>
            <w:vMerge w:val="continue"/>
          </w:tcPr>
          <w:p>
            <w:pPr>
              <w:spacing w:after="0"/>
              <w:rPr>
                <w:sz w:val="14"/>
                <w:szCs w:val="14"/>
                <w:color w:val="auto"/>
              </w:rPr>
            </w:pPr>
          </w:p>
        </w:tc>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340" w:type="dxa"/>
            <w:vAlign w:val="bottom"/>
          </w:tcPr>
          <w:p>
            <w:pPr>
              <w:spacing w:after="0"/>
              <w:rPr>
                <w:sz w:val="16"/>
                <w:szCs w:val="16"/>
                <w:color w:val="auto"/>
              </w:rPr>
            </w:pPr>
          </w:p>
        </w:tc>
        <w:tc>
          <w:tcPr>
            <w:tcW w:w="2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26,255,974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rPr>
              <w:t>Class B Common Stock, $.01 Par Value</w:t>
            </w:r>
          </w:p>
        </w:tc>
        <w:tc>
          <w:tcPr>
            <w:tcW w:w="2900" w:type="dxa"/>
            <w:vAlign w:val="bottom"/>
            <w:gridSpan w:val="2"/>
          </w:tcPr>
          <w:p>
            <w:pPr>
              <w:jc w:val="right"/>
              <w:ind w:right="160"/>
              <w:spacing w:after="0"/>
              <w:rPr>
                <w:sz w:val="20"/>
                <w:szCs w:val="20"/>
                <w:color w:val="auto"/>
              </w:rPr>
            </w:pPr>
            <w:r>
              <w:rPr>
                <w:rFonts w:ascii="Arial" w:cs="Arial" w:eastAsia="Arial" w:hAnsi="Arial"/>
                <w:sz w:val="18"/>
                <w:szCs w:val="18"/>
                <w:color w:val="auto"/>
              </w:rPr>
              <w:t>10,685,144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81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7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2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440" w:type="dxa"/>
            <w:vAlign w:val="bottom"/>
            <w:tcBorders>
              <w:top w:val="single" w:sz="8" w:color="0000EE"/>
              <w:bottom w:val="single" w:sz="8" w:color="0000EE"/>
            </w:tcBorders>
            <w:gridSpan w:val="3"/>
            <w:vMerge w:val="restart"/>
          </w:tcPr>
          <w:p>
            <w:pPr>
              <w:spacing w:after="0" w:line="20" w:lineRule="exact"/>
              <w:rPr>
                <w:sz w:val="1"/>
                <w:szCs w:val="1"/>
                <w:color w:val="auto"/>
              </w:rPr>
            </w:pPr>
          </w:p>
        </w:tc>
        <w:tc>
          <w:tcPr>
            <w:tcW w:w="1520" w:type="dxa"/>
            <w:vAlign w:val="bottom"/>
            <w:tcBorders>
              <w:top w:val="single" w:sz="8" w:color="0000EE"/>
              <w:bottom w:val="single" w:sz="8" w:color="0000EE"/>
            </w:tcBorders>
            <w:gridSpan w:val="6"/>
            <w:vMerge w:val="restart"/>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Financial Statements</w:t>
              </w:r>
            </w:hyperlink>
          </w:p>
        </w:tc>
        <w:tc>
          <w:tcPr>
            <w:tcW w:w="60" w:type="dxa"/>
            <w:vAlign w:val="bottom"/>
            <w:tcBorders>
              <w:top w:val="single" w:sz="8" w:color="0000EE"/>
              <w:bottom w:val="single" w:sz="8" w:color="0000EE"/>
            </w:tcBorders>
            <w:vMerge w:val="restart"/>
          </w:tcPr>
          <w:p>
            <w:pPr>
              <w:spacing w:after="0" w:line="20" w:lineRule="exact"/>
              <w:rPr>
                <w:sz w:val="1"/>
                <w:szCs w:val="1"/>
                <w:color w:val="auto"/>
              </w:rPr>
            </w:pPr>
          </w:p>
        </w:tc>
        <w:tc>
          <w:tcPr>
            <w:tcW w:w="5060" w:type="dxa"/>
            <w:vAlign w:val="bottom"/>
            <w:gridSpan w:val="15"/>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0000EE"/>
            </w:tcBorders>
            <w:vMerge w:val="continue"/>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1520" w:type="dxa"/>
            <w:vAlign w:val="bottom"/>
            <w:tcBorders>
              <w:bottom w:val="single" w:sz="8" w:color="0000EE"/>
            </w:tcBorders>
            <w:gridSpan w:val="6"/>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5060" w:type="dxa"/>
            <w:vAlign w:val="bottom"/>
            <w:gridSpan w:val="15"/>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 September 30, 2008 (unaudited) and December 31, 2007</w:t>
              </w:r>
            </w:hyperlink>
          </w:p>
        </w:tc>
        <w:tc>
          <w:tcPr>
            <w:tcW w:w="3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gridSpan w:val="2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Income - For the Three Months and Nine Months Ended September 30, 2008 and 2007</w:t>
              </w:r>
            </w:hyperlink>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w:t>
              </w:r>
            </w:hyperlink>
          </w:p>
        </w:tc>
        <w:tc>
          <w:tcPr>
            <w:tcW w:w="5800" w:type="dxa"/>
            <w:vAlign w:val="bottom"/>
            <w:tcBorders>
              <w:top w:val="single" w:sz="8" w:color="0000EE"/>
            </w:tcBorders>
            <w:gridSpan w:val="20"/>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gridSpan w:val="2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Cash Flows - For the Nine Months Ended September 30, 2008 and 2007 (unaudited)</w:t>
              </w:r>
            </w:hyperlink>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Notes to Consolidated Financial Statements (unaudited)</w:t>
              </w:r>
            </w:hyperlink>
          </w:p>
        </w:tc>
        <w:tc>
          <w:tcPr>
            <w:tcW w:w="2600" w:type="dxa"/>
            <w:vAlign w:val="bottom"/>
            <w:tcBorders>
              <w:top w:val="single" w:sz="8" w:color="0000EE"/>
            </w:tcBorders>
            <w:gridSpan w:val="8"/>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2.</w:t>
              </w:r>
            </w:hyperlink>
          </w:p>
        </w:tc>
        <w:tc>
          <w:tcPr>
            <w:tcW w:w="440" w:type="dxa"/>
            <w:vAlign w:val="bottom"/>
            <w:gridSpan w:val="3"/>
          </w:tcPr>
          <w:p>
            <w:pPr>
              <w:spacing w:after="0"/>
              <w:rPr>
                <w:sz w:val="24"/>
                <w:szCs w:val="24"/>
                <w:color w:val="auto"/>
              </w:rPr>
            </w:pPr>
          </w:p>
        </w:tc>
        <w:tc>
          <w:tcPr>
            <w:tcW w:w="6640" w:type="dxa"/>
            <w:vAlign w:val="bottom"/>
            <w:gridSpan w:val="2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Management’s Discussion and Analysis of Financial Condition and Results of Operations</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120" w:type="dxa"/>
            <w:vAlign w:val="bottom"/>
            <w:tcBorders>
              <w:bottom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44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486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40" w:type="dxa"/>
            <w:vAlign w:val="bottom"/>
            <w:gridSpan w:val="2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664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664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22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440" w:type="dxa"/>
            <w:vAlign w:val="bottom"/>
            <w:gridSpan w:val="3"/>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430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320" w:type="dxa"/>
            <w:vAlign w:val="bottom"/>
            <w:gridSpan w:val="2"/>
          </w:tcPr>
          <w:p>
            <w:pPr>
              <w:spacing w:after="0"/>
              <w:rPr>
                <w:sz w:val="24"/>
                <w:szCs w:val="24"/>
                <w:color w:val="auto"/>
              </w:rPr>
            </w:pPr>
          </w:p>
        </w:tc>
        <w:tc>
          <w:tcPr>
            <w:tcW w:w="37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Submission of Matters to a Vote of Security Holders</w:t>
              </w:r>
            </w:hyperlink>
          </w:p>
        </w:tc>
        <w:tc>
          <w:tcPr>
            <w:tcW w:w="286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5.</w:t>
              </w:r>
            </w:hyperlink>
          </w:p>
        </w:tc>
        <w:tc>
          <w:tcPr>
            <w:tcW w:w="440" w:type="dxa"/>
            <w:vAlign w:val="bottom"/>
            <w:gridSpan w:val="3"/>
          </w:tcPr>
          <w:p>
            <w:pPr>
              <w:spacing w:after="0"/>
              <w:rPr>
                <w:sz w:val="24"/>
                <w:szCs w:val="24"/>
                <w:color w:val="auto"/>
              </w:rPr>
            </w:pPr>
          </w:p>
        </w:tc>
        <w:tc>
          <w:tcPr>
            <w:tcW w:w="664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440" w:type="dxa"/>
            <w:vAlign w:val="bottom"/>
            <w:gridSpan w:val="3"/>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5300" w:type="dxa"/>
            <w:vAlign w:val="bottom"/>
            <w:gridSpan w:val="1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00" w:type="dxa"/>
            <w:vAlign w:val="bottom"/>
            <w:gridSpan w:val="7"/>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5"/>
          </w:tcPr>
          <w:p>
            <w:pPr>
              <w:jc w:val="center"/>
              <w:ind w:left="401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40" w:type="dxa"/>
            <w:vAlign w:val="bottom"/>
            <w:gridSpan w:val="29"/>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9"/>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2"/>
          </w:tcPr>
          <w:p>
            <w:pPr>
              <w:jc w:val="center"/>
              <w:ind w:right="440"/>
              <w:spacing w:after="0" w:line="196" w:lineRule="exact"/>
              <w:rPr>
                <w:sz w:val="20"/>
                <w:szCs w:val="20"/>
                <w:color w:val="auto"/>
              </w:rPr>
            </w:pPr>
            <w:r>
              <w:rPr>
                <w:rFonts w:ascii="Arial" w:cs="Arial" w:eastAsia="Arial" w:hAnsi="Arial"/>
                <w:sz w:val="18"/>
                <w:szCs w:val="18"/>
                <w:b w:val="1"/>
                <w:bCs w:val="1"/>
                <w:color w:val="auto"/>
                <w:w w:val="96"/>
              </w:rPr>
              <w:t>SEPTEMBER 30, 2008 AND DECEMBER 31, 2007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6"/>
          </w:tcPr>
          <w:p>
            <w:pPr>
              <w:jc w:val="center"/>
              <w:ind w:right="380"/>
              <w:spacing w:after="0"/>
              <w:rPr>
                <w:sz w:val="20"/>
                <w:szCs w:val="20"/>
                <w:color w:val="auto"/>
              </w:rPr>
            </w:pPr>
            <w:r>
              <w:rPr>
                <w:rFonts w:ascii="Arial" w:cs="Arial" w:eastAsia="Arial" w:hAnsi="Arial"/>
                <w:sz w:val="18"/>
                <w:szCs w:val="18"/>
                <w:b w:val="1"/>
                <w:bCs w:val="1"/>
                <w:color w:val="auto"/>
                <w:w w:val="89"/>
              </w:rPr>
              <w:t>(In Thousands, Except Shares)</w:t>
            </w:r>
          </w:p>
        </w:tc>
        <w:tc>
          <w:tcPr>
            <w:tcW w:w="44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144,535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6"/>
          </w:tcPr>
          <w:p>
            <w:pPr>
              <w:ind w:left="16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7,575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55,199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6"/>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360,011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365,947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tcPr>
          <w:p>
            <w:pPr>
              <w:ind w:left="16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6,639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8"/>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576,609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610,464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321,781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299,013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141,903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Other assets,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1,041,857</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1,031,591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8"/>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tcPr>
          <w:p>
            <w:pPr>
              <w:ind w:left="16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279,384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273,653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3,712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8"/>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33,370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6"/>
          </w:tcPr>
          <w:p>
            <w:pPr>
              <w:ind w:left="160"/>
              <w:spacing w:after="0"/>
              <w:rPr>
                <w:sz w:val="20"/>
                <w:szCs w:val="20"/>
                <w:color w:val="auto"/>
              </w:rPr>
            </w:pPr>
            <w:r>
              <w:rPr>
                <w:rFonts w:ascii="Arial" w:cs="Arial" w:eastAsia="Arial" w:hAnsi="Arial"/>
                <w:sz w:val="18"/>
                <w:szCs w:val="18"/>
                <w:color w:val="auto"/>
                <w:w w:val="87"/>
              </w:rPr>
              <w:t>Accrued expenses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49,633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60,517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-5226050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-5226050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402,532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161,631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11,241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48,399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2008 and</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par value $.01 per share; 60,000,000 class A shares and 20,000,000 class B shares</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authorized; 26,255,974 class A shares and 12,279,987 class B shares issued and 26,255,974 class A</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shares and 11,500,772 class B shares outstanding in 2008; 26,070,595 class A shares and 12,265,437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shares issued and outstanding in 2007</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Treasury stock, at cost: 779,215 shares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(10,067)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183,074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244,662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418,054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1,041,857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259,518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357,408</w:t>
            </w:r>
          </w:p>
        </w:tc>
        <w:tc>
          <w:tcPr>
            <w:tcW w:w="140" w:type="dxa"/>
            <w:vAlign w:val="bottom"/>
          </w:tcPr>
          <w:p>
            <w:pPr>
              <w:spacing w:after="0"/>
              <w:rPr>
                <w:sz w:val="18"/>
                <w:szCs w:val="18"/>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808,181</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1,091,548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124,129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362,174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11,672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19,465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47,571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2,723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413,696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1,572,260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241,923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329,629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754,265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72,784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73,433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10,634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17,498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43,006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337,311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1,301,298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76,385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89,741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58,371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174,328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42,808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12,167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13,128</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23,742</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Basic</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2"/>
                <w:szCs w:val="22"/>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38,417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38,162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38,416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37,987</w:t>
            </w:r>
          </w:p>
        </w:tc>
      </w:tr>
      <w:tr>
        <w:trPr>
          <w:trHeight w:val="197"/>
        </w:trPr>
        <w:tc>
          <w:tcPr>
            <w:tcW w:w="590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38,842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38,653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38,908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Nine Months Ended</w:t>
      </w:r>
    </w:p>
    <w:p>
      <w:pPr>
        <w:jc w:val="center"/>
        <w:ind w:left="80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23,742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28,467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26,588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3,049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(benefit) for deferred income tax expense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29,974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(7,082)</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66,026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investments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(355,575)</w:t>
            </w:r>
          </w:p>
        </w:tc>
        <w:tc>
          <w:tcPr>
            <w:tcW w:w="3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investments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348,000</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(46,511)</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(50,959)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(37,392)</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(89,968)</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21,107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(29,335)</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2,546</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(10,067)</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Proceeds from issuance of shares relating to employee stock options and employee stock purchases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(18,532)</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(122,895)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187,009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144,535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Income taxes, net of refunds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6,098</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15,653</w:t>
            </w: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6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Noncash investing activities:</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Assets acquired under capital leases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4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2007. Results of operations for interim periods are not necessarily indicative of results that may be expected for any other interim periods or the full fiscal year.</w:t>
      </w:r>
    </w:p>
    <w:p>
      <w:pPr>
        <w:spacing w:after="0" w:line="197" w:lineRule="exact"/>
        <w:rPr>
          <w:sz w:val="20"/>
          <w:szCs w:val="20"/>
          <w:color w:val="auto"/>
        </w:rPr>
      </w:pPr>
    </w:p>
    <w:p>
      <w:pPr>
        <w:ind w:right="460" w:firstLine="648"/>
        <w:spacing w:after="0" w:line="272" w:lineRule="auto"/>
        <w:rPr>
          <w:sz w:val="20"/>
          <w:szCs w:val="20"/>
          <w:color w:val="auto"/>
        </w:rPr>
      </w:pPr>
      <w:r>
        <w:rPr>
          <w:rFonts w:ascii="Arial" w:cs="Arial" w:eastAsia="Arial" w:hAnsi="Arial"/>
          <w:sz w:val="17"/>
          <w:szCs w:val="17"/>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10-Q have been adjusted and restated to reflect the stock split as if it occurred on the first day of the earliest period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Management is not aware of any impairment charge that may currently be required; however, a change in economic conditions, if one occurs, could result in an impairment charge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w:t>
      </w:r>
    </w:p>
    <w:p>
      <w:pPr>
        <w:ind w:right="100"/>
        <w:spacing w:after="0" w:line="252" w:lineRule="auto"/>
        <w:rPr>
          <w:sz w:val="20"/>
          <w:szCs w:val="20"/>
          <w:color w:val="auto"/>
        </w:rPr>
      </w:pPr>
      <w:r>
        <w:rPr>
          <w:rFonts w:ascii="Arial" w:cs="Arial" w:eastAsia="Arial" w:hAnsi="Arial"/>
          <w:sz w:val="18"/>
          <w:szCs w:val="18"/>
          <w:color w:val="auto"/>
        </w:rPr>
        <w:t>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w:t>
      </w:r>
    </w:p>
    <w:p>
      <w:pPr>
        <w:spacing w:after="0" w:line="1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also decrease the amount of early repayment penalties it will owe its retail funding sources in the future.</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4"/>
                <w:szCs w:val="14"/>
                <w:color w:val="auto"/>
              </w:rPr>
            </w:pPr>
          </w:p>
        </w:tc>
        <w:tc>
          <w:tcPr>
            <w:tcW w:w="2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tcPr>
          <w:p>
            <w:pPr>
              <w:ind w:left="160"/>
              <w:spacing w:after="0" w:line="201" w:lineRule="exact"/>
              <w:rPr>
                <w:sz w:val="20"/>
                <w:szCs w:val="20"/>
                <w:color w:val="auto"/>
              </w:rPr>
            </w:pPr>
            <w:r>
              <w:rPr>
                <w:rFonts w:ascii="Arial" w:cs="Arial" w:eastAsia="Arial" w:hAnsi="Arial"/>
                <w:sz w:val="18"/>
                <w:szCs w:val="18"/>
                <w:color w:val="auto"/>
              </w:rPr>
              <w:t>Numerator for basic and diluted earnings per share, net income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available to common shareholders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8,000,000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13,128,000</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   23,742,000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Denominator for basic earnings per share, adjusted weighted average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38,416,823</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38,162,367</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38,415,892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425,654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490,476</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491,654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w w:val="92"/>
              </w:rPr>
              <w:t>Denominator for diluted earnings per share, adjusted weighted average</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38,842,477</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38,652,843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38,907,546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outstanding and assumed conversions</w:t>
            </w:r>
          </w:p>
        </w:tc>
        <w:tc>
          <w:tcPr>
            <w:tcW w:w="3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2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0.62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5"/>
              </w:rPr>
              <w:t>Diluted earnings per common share and common share equivalents</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The Company accounts for stock-based compensation in accordance with Statement of Financial Accounting Standards No. 123 (revised 2004), “Share-Based Payment,” (“SFAS 123(R)”),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$0.6 million for the three months ended September 30, 2008 and $0.5 million for the three months ended September 30, 2007. Stock-based compensation expense, included in selling, general and administrative expense, for the nine months ended September 30, 2008 was $3.0 million and for the nine months ended September 30, 2007 was $2.9 million. </w:t>
      </w:r>
      <w:r>
        <w:rPr>
          <w:rFonts w:ascii="Arial" w:cs="Arial" w:eastAsia="Arial" w:hAnsi="Arial"/>
          <w:sz w:val="15"/>
          <w:szCs w:val="15"/>
          <w:color w:val="auto"/>
        </w:rPr>
        <w:t>As of</w:t>
      </w:r>
      <w:r>
        <w:rPr>
          <w:rFonts w:ascii="Arial" w:cs="Arial" w:eastAsia="Arial" w:hAnsi="Arial"/>
          <w:sz w:val="16"/>
          <w:szCs w:val="16"/>
          <w:color w:val="auto"/>
        </w:rPr>
        <w:t xml:space="preserve"> September 30, 2008, there was $4.7 million of total unrecognized compensation cost related to non-vested share-based compensation arrangements granted under the Rush Enterprises, Inc. Long-Term Incentive Plan to be recognized over a weighted-average period of 3.0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In May 2008, the Company acquired certain assets of Peterbilt Carolina, Inc., which includes a Peterbilt, Hino and Isuzu heavy- and medium-duty truck dealership, and their related franchise rights, in Charlotte, North Carolina. </w:t>
      </w:r>
      <w:r>
        <w:rPr>
          <w:rFonts w:ascii="Arial" w:cs="Arial" w:eastAsia="Arial" w:hAnsi="Arial"/>
          <w:sz w:val="17"/>
          <w:szCs w:val="17"/>
          <w:color w:val="auto"/>
        </w:rPr>
        <w:t>The Company is operating the facility as a full-service Rush Truck Center</w:t>
      </w:r>
      <w:r>
        <w:rPr>
          <w:rFonts w:ascii="Arial" w:cs="Arial" w:eastAsia="Arial" w:hAnsi="Arial"/>
          <w:sz w:val="18"/>
          <w:szCs w:val="18"/>
          <w:color w:val="auto"/>
        </w:rPr>
        <w:t xml:space="preserve"> </w:t>
      </w:r>
      <w:r>
        <w:rPr>
          <w:rFonts w:ascii="Arial" w:cs="Arial" w:eastAsia="Arial" w:hAnsi="Arial"/>
          <w:sz w:val="17"/>
          <w:szCs w:val="17"/>
          <w:color w:val="auto"/>
        </w:rPr>
        <w:t>offering Peterbilt heavy- and medium-duty trucks as well as medium-duty trucks manufactured by Hino and Isuzu, and parts and service. The transaction was valued at approximately $13.4 million, with the purchase price paid in cash.</w:t>
      </w:r>
    </w:p>
    <w:p>
      <w:pPr>
        <w:spacing w:after="0" w:line="186"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operations of Peterbilt Carolina, Inc. are included in the accompanying consolidated financial statements from the date of the acquisition. Pro forma information is not included because Peterbilt Carolina, Inc.’s results of operations would not have a material effect on the Company’s financial statements. The purchase price was allocated based on the fair values of the assets at the date of acquisition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980" w:type="dxa"/>
            <w:vAlign w:val="bottom"/>
          </w:tcPr>
          <w:p>
            <w:pPr>
              <w:ind w:left="90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vMerge w:val="restart"/>
          </w:tcPr>
          <w:p>
            <w:pPr>
              <w:jc w:val="right"/>
              <w:ind w:right="69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4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Peterbilt Carolina, Inc. acquisition will be amortized over 15 years for tax purposes.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 xml:space="preserve">In May 2008, the Company executed agreements to acquire the common stock of Adams International Trucks, Inc., an International heavy- and medium-duty truck dealership in Charlotte, North Carolina and the related International franchise rights. </w:t>
      </w:r>
      <w:r>
        <w:rPr>
          <w:rFonts w:ascii="Arial" w:cs="Arial" w:eastAsia="Arial" w:hAnsi="Arial"/>
          <w:sz w:val="17"/>
          <w:szCs w:val="17"/>
          <w:color w:val="auto"/>
        </w:rPr>
        <w:t>The Company is operating the facility as a full-service Rush Truck Center offering International heavy- and medium-duty trucks, parts and service and leasing. The transaction was valued at approximately $20.1 million, with the purchase price paid in cash.</w:t>
      </w:r>
    </w:p>
    <w:p>
      <w:pPr>
        <w:spacing w:after="0" w:line="186"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 xml:space="preserve">The operations of Adams International Trucks, Inc. </w:t>
      </w:r>
      <w:r>
        <w:rPr>
          <w:rFonts w:ascii="Arial" w:cs="Arial" w:eastAsia="Arial" w:hAnsi="Arial"/>
          <w:sz w:val="17"/>
          <w:szCs w:val="17"/>
          <w:color w:val="auto"/>
        </w:rPr>
        <w:t>are included in the accompanying consolidated financial statements from the date of the</w:t>
      </w:r>
      <w:r>
        <w:rPr>
          <w:rFonts w:ascii="Arial" w:cs="Arial" w:eastAsia="Arial" w:hAnsi="Arial"/>
          <w:sz w:val="18"/>
          <w:szCs w:val="18"/>
          <w:color w:val="auto"/>
        </w:rPr>
        <w:t xml:space="preserve"> </w:t>
      </w:r>
      <w:r>
        <w:rPr>
          <w:rFonts w:ascii="Arial" w:cs="Arial" w:eastAsia="Arial" w:hAnsi="Arial"/>
          <w:sz w:val="17"/>
          <w:szCs w:val="17"/>
          <w:color w:val="auto"/>
        </w:rPr>
        <w:t xml:space="preserve">acquisition. Pro forma information is not included because </w:t>
      </w:r>
      <w:r>
        <w:rPr>
          <w:rFonts w:ascii="Arial" w:cs="Arial" w:eastAsia="Arial" w:hAnsi="Arial"/>
          <w:sz w:val="18"/>
          <w:szCs w:val="18"/>
          <w:color w:val="auto"/>
        </w:rPr>
        <w:t>Adams International Trucks, Inc.’s results of operations would not have a material effect on</w:t>
      </w:r>
      <w:r>
        <w:rPr>
          <w:rFonts w:ascii="Arial" w:cs="Arial" w:eastAsia="Arial" w:hAnsi="Arial"/>
          <w:sz w:val="17"/>
          <w:szCs w:val="17"/>
          <w:color w:val="auto"/>
        </w:rPr>
        <w:t xml:space="preserve"> </w:t>
      </w:r>
      <w:r>
        <w:rPr>
          <w:rFonts w:ascii="Arial" w:cs="Arial" w:eastAsia="Arial" w:hAnsi="Arial"/>
          <w:sz w:val="18"/>
          <w:szCs w:val="18"/>
          <w:color w:val="auto"/>
        </w:rPr>
        <w:t>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6,313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(2,379)</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13,918</w:t>
            </w:r>
          </w:p>
        </w:tc>
      </w:tr>
      <w:tr>
        <w:trPr>
          <w:trHeight w:val="210"/>
        </w:trPr>
        <w:tc>
          <w:tcPr>
            <w:tcW w:w="25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8"/>
          <w:szCs w:val="18"/>
          <w:color w:val="auto"/>
        </w:rPr>
        <w:t xml:space="preserve">The portion of goodwill related to the stock purchase of Adams International Trucks, Inc. </w:t>
      </w:r>
      <w:r>
        <w:rPr>
          <w:rFonts w:ascii="Arial" w:cs="Arial" w:eastAsia="Arial" w:hAnsi="Arial"/>
          <w:sz w:val="17"/>
          <w:szCs w:val="17"/>
          <w:color w:val="auto"/>
        </w:rPr>
        <w:t>will not be amortized for tax purposes, while the portion of</w:t>
      </w:r>
      <w:r>
        <w:rPr>
          <w:rFonts w:ascii="Arial" w:cs="Arial" w:eastAsia="Arial" w:hAnsi="Arial"/>
          <w:sz w:val="18"/>
          <w:szCs w:val="18"/>
          <w:color w:val="auto"/>
        </w:rPr>
        <w:t xml:space="preserve"> </w:t>
      </w:r>
      <w:r>
        <w:rPr>
          <w:rFonts w:ascii="Arial" w:cs="Arial" w:eastAsia="Arial" w:hAnsi="Arial"/>
          <w:sz w:val="17"/>
          <w:szCs w:val="17"/>
          <w:color w:val="auto"/>
        </w:rPr>
        <w:t>goodwill related to the acquisition of the International franchise rights will be amortized over 15 years for tax purposes.</w:t>
      </w:r>
    </w:p>
    <w:p>
      <w:pPr>
        <w:spacing w:after="0" w:line="17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Additionally, the Company purchased the real estate of the above dealership operations for $6.2 million. The real estate transaction was financed by a bank with a $5.0 million note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Investments</w:t>
      </w:r>
    </w:p>
    <w:p>
      <w:pPr>
        <w:sectPr>
          <w:pgSz w:w="11900" w:h="16838" w:orient="portrait"/>
          <w:cols w:equalWidth="0" w:num="1">
            <w:col w:w="11460"/>
          </w:cols>
          <w:pgMar w:left="240" w:top="125" w:right="199" w:bottom="104" w:gutter="0" w:footer="0" w:header="0"/>
        </w:sectPr>
      </w:pPr>
    </w:p>
    <w:bookmarkStart w:id="6" w:name="page7"/>
    <w:bookmarkEnd w:id="6"/>
    <w:p>
      <w:pPr>
        <w:ind w:right="940" w:firstLine="648"/>
        <w:spacing w:after="0" w:line="259" w:lineRule="auto"/>
        <w:rPr>
          <w:sz w:val="20"/>
          <w:szCs w:val="20"/>
          <w:color w:val="auto"/>
        </w:rPr>
      </w:pPr>
      <w:r>
        <w:rPr>
          <w:rFonts w:ascii="Arial" w:cs="Arial" w:eastAsia="Arial" w:hAnsi="Arial"/>
          <w:sz w:val="18"/>
          <w:szCs w:val="18"/>
          <w:color w:val="auto"/>
        </w:rPr>
        <w:t>On a quarterly basis, the Company assesses its investments for impairment.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7" w:lineRule="exact"/>
        <w:rPr>
          <w:sz w:val="20"/>
          <w:szCs w:val="20"/>
          <w:color w:val="auto"/>
        </w:rPr>
      </w:pPr>
    </w:p>
    <w:p>
      <w:pPr>
        <w:ind w:right="480" w:firstLine="648"/>
        <w:spacing w:after="0" w:line="302" w:lineRule="auto"/>
        <w:rPr>
          <w:sz w:val="20"/>
          <w:szCs w:val="20"/>
          <w:color w:val="auto"/>
        </w:rPr>
      </w:pPr>
      <w:r>
        <w:rPr>
          <w:rFonts w:ascii="Arial" w:cs="Arial" w:eastAsia="Arial" w:hAnsi="Arial"/>
          <w:sz w:val="16"/>
          <w:szCs w:val="16"/>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ind w:right="440" w:firstLine="648"/>
        <w:spacing w:after="0" w:line="272" w:lineRule="auto"/>
        <w:rPr>
          <w:sz w:val="20"/>
          <w:szCs w:val="20"/>
          <w:color w:val="auto"/>
        </w:rPr>
      </w:pPr>
      <w:r>
        <w:rPr>
          <w:rFonts w:ascii="Arial" w:cs="Arial" w:eastAsia="Arial" w:hAnsi="Arial"/>
          <w:sz w:val="17"/>
          <w:szCs w:val="17"/>
          <w:color w:val="auto"/>
        </w:rPr>
        <w:t>As a result of the recent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believes that its auction rate securities will liquidate within the next twelve months and has classified them as a current asset on its consolidated balance sheet.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78" w:lineRule="exact"/>
        <w:rPr>
          <w:sz w:val="20"/>
          <w:szCs w:val="20"/>
          <w:color w:val="auto"/>
        </w:rPr>
      </w:pPr>
    </w:p>
    <w:p>
      <w:pPr>
        <w:jc w:val="both"/>
        <w:ind w:right="560" w:firstLine="648"/>
        <w:spacing w:after="0" w:line="259" w:lineRule="auto"/>
        <w:rPr>
          <w:sz w:val="20"/>
          <w:szCs w:val="20"/>
          <w:color w:val="auto"/>
        </w:rPr>
      </w:pPr>
      <w:r>
        <w:rPr>
          <w:rFonts w:ascii="Arial" w:cs="Arial" w:eastAsia="Arial" w:hAnsi="Arial"/>
          <w:sz w:val="18"/>
          <w:szCs w:val="18"/>
          <w:color w:val="auto"/>
        </w:rPr>
        <w:t>As of December 31, 2007, the Company did not carry any short-term investments, as its previous practice had been to liquidate its short-term investments, including auction rate securities near the end of each fiscal quarter. However, as of September 30, 2008, the Company holds $7.6 million of auction rate securities with underlying tax-exempt municipal bonds with stated maturities of 22 years. These bonds have credit wrap insurance and have been rated AAA by credit agencies.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The Company believes that the credit quality and fair value of the auction rate securities it holds has not been negatively impacted; therefore, no impairment charges have been recorded as of September 30, 2008. As of September 30, 2008,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September 30, 2008 and 2007.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September 30, 2008 and 2007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Truck</w:t>
            </w: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Equipment</w:t>
            </w:r>
          </w:p>
        </w:tc>
        <w:tc>
          <w:tcPr>
            <w:tcW w:w="18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2008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392,686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11,727</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984,214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2008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1,194,984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63,928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33,910</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4,876</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984,214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1,041,857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2007</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491,502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25,284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4,812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9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18,720</w:t>
            </w:r>
          </w:p>
        </w:tc>
        <w:tc>
          <w:tcPr>
            <w:tcW w:w="5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2,266</w:t>
            </w:r>
          </w:p>
        </w:tc>
        <w:tc>
          <w:tcPr>
            <w:tcW w:w="5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993,842</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26,010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27,296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2007</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1,484,949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73,061</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14,250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9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56,697</w:t>
            </w:r>
          </w:p>
        </w:tc>
        <w:tc>
          <w:tcPr>
            <w:tcW w:w="5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6,092</w:t>
            </w:r>
          </w:p>
        </w:tc>
        <w:tc>
          <w:tcPr>
            <w:tcW w:w="5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993,842</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26,010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27,296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1,047,148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Income Taxes</w:t>
      </w:r>
    </w:p>
    <w:p>
      <w:pPr>
        <w:spacing w:after="0" w:line="229"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 As required, the Company has adopted the provisions of FIN 48 effective January 1, 2007.</w:t>
      </w:r>
    </w:p>
    <w:p>
      <w:pPr>
        <w:spacing w:after="0" w:line="178"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The Company included accruals for unrecognized income tax benefits totaling $2.0 million as a component of accrued liabilities as of September 30, 2008 and December 31, 2007. The unrecognized tax benefits of $2.0 million at September 30, 2008, if recognized, would impact the Company’s effective tax rate. As of September 30, 2008, the Company accrued interest of $171,000 related to unrecognized tax benefits in the current provision for income taxes. No amounts were accrued for penalties.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2008, the tax years ended December 31, 2004, through 2007 remained subject to examination by tax authorities.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Stock Repurchase Plan</w:t>
      </w:r>
    </w:p>
    <w:p>
      <w:pPr>
        <w:spacing w:after="0" w:line="229" w:lineRule="exact"/>
        <w:rPr>
          <w:sz w:val="20"/>
          <w:szCs w:val="20"/>
          <w:color w:val="auto"/>
        </w:rPr>
      </w:pPr>
    </w:p>
    <w:p>
      <w:pPr>
        <w:ind w:right="360" w:firstLine="648"/>
        <w:spacing w:after="0" w:line="271"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$.01 par value per share, and/or Class B common stock, $.01 par value per share.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7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As of September 30, 2008, the Company repurchased 779,215 shares of Class B common stock at a cost of $10.0 million. The Company is holding the repurchased shares of the common stock as treasury stock and is accounting for the treasury stock pursuant to the cost method. The Company includes treasury stock as a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Recent Accounting Pronouncements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2007, the FASB issued SFAS No. 141(R), “Business Combinations” (“SFAS 141(R)”), which establishes principles and requirements for how the acquirer: (a) 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141(R) to have a significant impact on its consolidated results of operations and financial position, but will impact any business combinations that close on or after January 1, 2009.</w:t>
      </w:r>
    </w:p>
    <w:p>
      <w:pPr>
        <w:spacing w:after="0" w:line="167" w:lineRule="exact"/>
        <w:rPr>
          <w:sz w:val="20"/>
          <w:szCs w:val="20"/>
          <w:color w:val="auto"/>
        </w:rPr>
      </w:pPr>
    </w:p>
    <w:p>
      <w:pPr>
        <w:ind w:right="320" w:firstLine="648"/>
        <w:spacing w:after="0" w:line="290"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This statement identifies the sources of accounting principles and the framework for selecting the principles used in the preparation of financial statements of nongovernmental entities that are presented in accordance with GAAP. With the issuance of this statement, the FASB concluded that the GAAP hierarchy should be directed toward the entity and not its auditor, and reside in the accounting literature established by the FASB as opposed to the American Institute of Certified Public Accountants (AICPA) Statement on Auditing Standards No. 69, “The Meaning of Present Fairly in Conformity With Generally Accepted Accounting Principles.” This statement is effective 60 days following the SEC’s approval of the Public Company Accounting Oversight Board amendments to AU Section 411, “The Meaning of Present Fairly in Conformity With Generally Accepted Accounting Principles.” We have evaluated the new statement and have determined that it will not have a significant impact on the determination or reporting of our financial results.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356" w:right="319" w:bottom="0" w:gutter="0" w:footer="0" w:header="0"/>
        </w:sectPr>
      </w:pPr>
    </w:p>
    <w:bookmarkStart w:id="8" w:name="page9"/>
    <w:bookmarkEnd w:id="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views and assumptions of Company management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2007 (as updated in Item 1A of the Company’s Form 10-Q for the quarter period ended March 31, 2008 and in Item 1A of this Form 10-Q) as well as future growth rates and margins for certain of our products and services, future demand for our products and services, competitive factors, general economic conditions, availability of credit,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undertakes no duty to update these forward-looking statements.</w:t>
      </w:r>
    </w:p>
    <w:p>
      <w:pPr>
        <w:spacing w:after="0" w:line="16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consolidated financial statements and related notes included in both the Company’s Annual Report on Form 10-K for the year ended December 31, 2007 and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right="420"/>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Cummins Intellectual Property, Inc. Eaton is a registered trademark of Eaton Corporation. Arvin Meritor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Meritor Technology, Inc.</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Case is a registered trademark of Case Corporation. Komatsu</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Kabushiki Kaisha Komatsu Seisakusho Corporation Japan. The CIT Group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CIT Group Holdings, Inc. JPMorgan Chase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it wholly owns, directly or indirectly. Its principal offices are located at 555 IH 35 South, New Braunfels, Texas 78130.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Company’s Rush Truck Centers sell trucks manufactured by Peterbilt Motors Company (a division of PACCAR, Inc.), International, Volvo, GMC, Hino, UD, Ford, Isuzu and Blue Bird.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 and product lines.</w:t>
      </w:r>
    </w:p>
    <w:p>
      <w:pPr>
        <w:spacing w:after="0" w:line="18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In May 2008, the Company acquired certain assets of Peterbilt Carolina, Inc., which includes a Peterbilt, Hino and Isuzu heavy- and medium-duty truck dealership in Charlotte, North Carolina. </w:t>
      </w:r>
      <w:r>
        <w:rPr>
          <w:rFonts w:ascii="Arial" w:cs="Arial" w:eastAsia="Arial" w:hAnsi="Arial"/>
          <w:sz w:val="15"/>
          <w:szCs w:val="15"/>
          <w:color w:val="auto"/>
        </w:rPr>
        <w:t>The Company is operating the facility as a full-service Rush Truck Center offering Peterbilt heavy-duty and</w:t>
      </w:r>
    </w:p>
    <w:p>
      <w:pPr>
        <w:sectPr>
          <w:pgSz w:w="11900" w:h="16838" w:orient="portrait"/>
          <w:cols w:equalWidth="0" w:num="1">
            <w:col w:w="11420"/>
          </w:cols>
          <w:pgMar w:left="240" w:top="517" w:right="239" w:bottom="0" w:gutter="0" w:footer="0" w:header="0"/>
        </w:sectPr>
      </w:pPr>
    </w:p>
    <w:bookmarkStart w:id="9" w:name="page10"/>
    <w:bookmarkEnd w:id="9"/>
    <w:p>
      <w:pPr>
        <w:ind w:right="180"/>
        <w:spacing w:after="0" w:line="268" w:lineRule="auto"/>
        <w:rPr>
          <w:sz w:val="20"/>
          <w:szCs w:val="20"/>
          <w:color w:val="auto"/>
        </w:rPr>
      </w:pPr>
      <w:r>
        <w:rPr>
          <w:rFonts w:ascii="Arial" w:cs="Arial" w:eastAsia="Arial" w:hAnsi="Arial"/>
          <w:sz w:val="18"/>
          <w:szCs w:val="18"/>
          <w:color w:val="auto"/>
        </w:rPr>
        <w:t>medium-duty trucks as well as medium-duty trucks manufactured by Hino and Isuzu, and parts and service. The transaction was valued at approximately $13.4 million, with the purchase price paid in cash.</w:t>
      </w:r>
    </w:p>
    <w:p>
      <w:pPr>
        <w:spacing w:after="0" w:line="18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In May 2008, the Company also acquired the common stock of Adams International Trucks, Inc., an International heavy- and medium-duty truck and Workhorse Custom Chassis dealership in Charlotte, North Carolina. </w:t>
      </w:r>
      <w:r>
        <w:rPr>
          <w:rFonts w:ascii="Arial" w:cs="Arial" w:eastAsia="Arial" w:hAnsi="Arial"/>
          <w:sz w:val="17"/>
          <w:szCs w:val="17"/>
          <w:color w:val="auto"/>
        </w:rPr>
        <w:t>The Company is operating the facility as a full-service Rush Truck Center offering</w:t>
      </w:r>
      <w:r>
        <w:rPr>
          <w:rFonts w:ascii="Arial" w:cs="Arial" w:eastAsia="Arial" w:hAnsi="Arial"/>
          <w:sz w:val="18"/>
          <w:szCs w:val="18"/>
          <w:color w:val="auto"/>
        </w:rPr>
        <w:t xml:space="preserve"> </w:t>
      </w:r>
      <w:r>
        <w:rPr>
          <w:rFonts w:ascii="Arial" w:cs="Arial" w:eastAsia="Arial" w:hAnsi="Arial"/>
          <w:sz w:val="17"/>
          <w:szCs w:val="17"/>
          <w:color w:val="auto"/>
        </w:rPr>
        <w:t xml:space="preserve">International heavy-duty and medium-duty trucks, parts and service and leasing. The transaction was valued at approximately $20.1 million, with the purchase price paid in cash. </w:t>
      </w:r>
      <w:r>
        <w:rPr>
          <w:rFonts w:ascii="Arial" w:cs="Arial" w:eastAsia="Arial" w:hAnsi="Arial"/>
          <w:sz w:val="18"/>
          <w:szCs w:val="18"/>
          <w:color w:val="auto"/>
        </w:rPr>
        <w:t>Included in the acquisition was the purchase of Adams Collision Center. The Company also purchased the real estate used in the</w:t>
      </w:r>
      <w:r>
        <w:rPr>
          <w:rFonts w:ascii="Arial" w:cs="Arial" w:eastAsia="Arial" w:hAnsi="Arial"/>
          <w:sz w:val="17"/>
          <w:szCs w:val="17"/>
          <w:color w:val="auto"/>
        </w:rPr>
        <w:t xml:space="preserve"> </w:t>
      </w:r>
      <w:r>
        <w:rPr>
          <w:rFonts w:ascii="Arial" w:cs="Arial" w:eastAsia="Arial" w:hAnsi="Arial"/>
          <w:sz w:val="18"/>
          <w:szCs w:val="18"/>
          <w:color w:val="auto"/>
        </w:rPr>
        <w:t>operations of Adams International Trucks, Inc. for $6.2 million.</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Note 6–Acquisitions of the Notes to the Consolidated Financial Statements for a detailed discussion of the allocation of the purchase price of the Company’s acquisitions during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 plus a reasonable profit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third quarter of 2008. Management is not aware of any impairment charge that may be required; however, a change in economic conditions, if one occurs, could result in an impairment charge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440" w:firstLine="648"/>
        <w:spacing w:after="0" w:line="287"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Revenue is recognized by the Company upon the sale of such finance and insurance contracts to the finance and insurance companies net of a provision for estimated repossession losses and interest charge-backs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charge-back exposure is based on the Company’s historical charge-back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ectPr>
          <w:pgSz w:w="11900" w:h="16838" w:orient="portrait"/>
          <w:cols w:equalWidth="0" w:num="1">
            <w:col w:w="11420"/>
          </w:cols>
          <w:pgMar w:left="240" w:top="131" w:right="239" w:bottom="0" w:gutter="0" w:footer="0" w:header="0"/>
        </w:sectPr>
      </w:pPr>
    </w:p>
    <w:bookmarkStart w:id="10" w:name="page11"/>
    <w:bookmarkEnd w:id="10"/>
    <w:p>
      <w:pPr>
        <w:ind w:right="14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applies the provisions of Statement of Financial Accounting Standards No. 123 (revised 2004), “Share-Based Payment”, which requires the measurement and recognition of compensation expense for all share-based payment awards made to employees and directors including grants of employee stock options and employee stock purchases under the Employee Stock Purchase Plan based on estimated fair values.</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2008 and 2007.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8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center"/>
              <w:ind w:left="674"/>
              <w:spacing w:after="0"/>
              <w:rPr>
                <w:sz w:val="20"/>
                <w:szCs w:val="20"/>
                <w:color w:val="auto"/>
              </w:rPr>
            </w:pPr>
            <w:r>
              <w:rPr>
                <w:rFonts w:ascii="Arial" w:cs="Arial" w:eastAsia="Arial" w:hAnsi="Arial"/>
                <w:sz w:val="14"/>
                <w:szCs w:val="14"/>
                <w:b w:val="1"/>
                <w:bCs w:val="1"/>
                <w:color w:val="auto"/>
                <w:w w:val="92"/>
              </w:rPr>
              <w:t>Nine Months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80" w:type="dxa"/>
            <w:vAlign w:val="bottom"/>
            <w:gridSpan w:val="3"/>
          </w:tcPr>
          <w:p>
            <w:pPr>
              <w:jc w:val="center"/>
              <w:ind w:left="694"/>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3"/>
          </w:tcPr>
          <w:p>
            <w:pPr>
              <w:jc w:val="center"/>
              <w:ind w:left="694"/>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68.5%</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63.5%</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Parts and service</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23.7</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Lease and rental</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81.5</w:t>
            </w:r>
          </w:p>
        </w:tc>
        <w:tc>
          <w:tcPr>
            <w:tcW w:w="36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82.8</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82.0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11.8</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thousands):</w:t>
      </w:r>
    </w:p>
    <w:p>
      <w:pPr>
        <w:spacing w:after="0" w:line="150"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6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vMerge w:val="continue"/>
          </w:tcPr>
          <w:p>
            <w:pPr>
              <w:spacing w:after="0"/>
              <w:rPr>
                <w:sz w:val="14"/>
                <w:szCs w:val="1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2008</w:t>
            </w:r>
          </w:p>
        </w:tc>
        <w:tc>
          <w:tcPr>
            <w:tcW w:w="1520" w:type="dxa"/>
            <w:vAlign w:val="bottom"/>
          </w:tcPr>
          <w:p>
            <w:pPr>
              <w:jc w:val="right"/>
              <w:ind w:right="248"/>
              <w:spacing w:after="0" w:line="144" w:lineRule="exact"/>
              <w:rPr>
                <w:sz w:val="20"/>
                <w:szCs w:val="20"/>
                <w:color w:val="auto"/>
              </w:rPr>
            </w:pPr>
            <w:r>
              <w:rPr>
                <w:rFonts w:ascii="Arial" w:cs="Arial" w:eastAsia="Arial" w:hAnsi="Arial"/>
                <w:sz w:val="14"/>
                <w:szCs w:val="14"/>
                <w:b w:val="1"/>
                <w:bCs w:val="1"/>
                <w:color w:val="auto"/>
              </w:rPr>
              <w:t>2007</w:t>
            </w:r>
          </w:p>
        </w:tc>
        <w:tc>
          <w:tcPr>
            <w:tcW w:w="1560" w:type="dxa"/>
            <w:vAlign w:val="bottom"/>
          </w:tcPr>
          <w:p>
            <w:pPr>
              <w:jc w:val="center"/>
              <w:ind w:right="8"/>
              <w:spacing w:after="0" w:line="144" w:lineRule="exact"/>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jc w:val="right"/>
              <w:ind w:right="348"/>
              <w:spacing w:after="0" w:line="144" w:lineRule="exact"/>
              <w:rPr>
                <w:sz w:val="20"/>
                <w:szCs w:val="20"/>
                <w:color w:val="auto"/>
              </w:rPr>
            </w:pPr>
            <w:r>
              <w:rPr>
                <w:rFonts w:ascii="Arial" w:cs="Arial" w:eastAsia="Arial" w:hAnsi="Arial"/>
                <w:sz w:val="14"/>
                <w:szCs w:val="14"/>
                <w:b w:val="1"/>
                <w:bCs w:val="1"/>
                <w:color w:val="auto"/>
              </w:rPr>
              <w:t>2008</w:t>
            </w:r>
          </w:p>
        </w:tc>
        <w:tc>
          <w:tcPr>
            <w:tcW w:w="1020" w:type="dxa"/>
            <w:vAlign w:val="bottom"/>
          </w:tcPr>
          <w:p>
            <w:pPr>
              <w:jc w:val="right"/>
              <w:ind w:right="228"/>
              <w:spacing w:after="0" w:line="144" w:lineRule="exact"/>
              <w:rPr>
                <w:sz w:val="20"/>
                <w:szCs w:val="20"/>
                <w:color w:val="auto"/>
              </w:rPr>
            </w:pPr>
            <w:r>
              <w:rPr>
                <w:rFonts w:ascii="Arial" w:cs="Arial" w:eastAsia="Arial" w:hAnsi="Arial"/>
                <w:sz w:val="14"/>
                <w:szCs w:val="14"/>
                <w:b w:val="1"/>
                <w:bCs w:val="1"/>
                <w:color w:val="auto"/>
              </w:rPr>
              <w:t>2007</w:t>
            </w:r>
          </w:p>
        </w:tc>
        <w:tc>
          <w:tcPr>
            <w:tcW w:w="840" w:type="dxa"/>
            <w:vAlign w:val="bottom"/>
          </w:tcPr>
          <w:p>
            <w:pPr>
              <w:jc w:val="center"/>
              <w:ind w:left="288"/>
              <w:spacing w:after="0" w:line="144"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27761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ind w:left="660"/>
        <w:spacing w:after="0"/>
        <w:rPr>
          <w:sz w:val="20"/>
          <w:szCs w:val="20"/>
          <w:color w:val="auto"/>
        </w:rPr>
      </w:pPr>
      <w:r>
        <w:rPr>
          <w:rFonts w:ascii="Arial" w:cs="Arial" w:eastAsia="Arial" w:hAnsi="Arial"/>
          <w:sz w:val="16"/>
          <w:szCs w:val="16"/>
          <w:b w:val="1"/>
          <w:bCs w:val="1"/>
          <w:color w:val="auto"/>
        </w:rPr>
        <w:t>Truck unit sales:</w:t>
      </w:r>
    </w:p>
    <w:p>
      <w:pPr>
        <w:sectPr>
          <w:pgSz w:w="11900" w:h="16838" w:orient="portrait"/>
          <w:cols w:equalWidth="0" w:num="1">
            <w:col w:w="11380"/>
          </w:cols>
          <w:pgMar w:left="240" w:top="125" w:right="279" w:bottom="0" w:gutter="0" w:footer="0" w:header="0"/>
          <w:type w:val="continuous"/>
        </w:sectPr>
      </w:pPr>
    </w:p>
    <w:bookmarkStart w:id="11" w:name="page12"/>
    <w:bookmarkEnd w:id="11"/>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New heavy-duty trucks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3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1,820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5,719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(39.5</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2,870</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tcPr>
          <w:p>
            <w:pPr>
              <w:ind w:left="160"/>
              <w:spacing w:after="0"/>
              <w:rPr>
                <w:sz w:val="20"/>
                <w:szCs w:val="20"/>
                <w:color w:val="auto"/>
              </w:rPr>
            </w:pPr>
            <w:r>
              <w:rPr>
                <w:rFonts w:ascii="Arial" w:cs="Arial" w:eastAsia="Arial" w:hAnsi="Arial"/>
                <w:sz w:val="18"/>
                <w:szCs w:val="18"/>
                <w:color w:val="auto"/>
              </w:rPr>
              <w:t>Total new truck unit sales</w:t>
            </w: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2,269</w:t>
            </w:r>
          </w:p>
        </w:tc>
        <w:tc>
          <w:tcPr>
            <w:tcW w:w="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3,340</w:t>
            </w:r>
          </w:p>
        </w:tc>
        <w:tc>
          <w:tcPr>
            <w:tcW w:w="280" w:type="dxa"/>
            <w:vAlign w:val="bottom"/>
            <w:vMerge w:val="continue"/>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7,151</w:t>
            </w:r>
          </w:p>
        </w:tc>
        <w:tc>
          <w:tcPr>
            <w:tcW w:w="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10,002</w:t>
            </w:r>
          </w:p>
        </w:tc>
        <w:tc>
          <w:tcPr>
            <w:tcW w:w="200" w:type="dxa"/>
            <w:vAlign w:val="bottom"/>
            <w:vMerge w:val="continue"/>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Used truck unit sales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936</w:t>
            </w: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1,032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2,631</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New medium-duty trucks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75.7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166.5</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225.5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new truck revenue</w:t>
            </w:r>
          </w:p>
        </w:tc>
        <w:tc>
          <w:tcPr>
            <w:tcW w:w="4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truck revenue(1)</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060" w:hanging="4964"/>
        <w:spacing w:after="0" w:line="624" w:lineRule="auto"/>
        <w:tabs>
          <w:tab w:leader="none" w:pos="90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sales of glider kits, truck bodies, trailers and other new equipment.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Absorption Rate. </w:t>
      </w:r>
      <w:r>
        <w:rPr>
          <w:rFonts w:ascii="Arial" w:cs="Arial" w:eastAsia="Arial" w:hAnsi="Arial"/>
          <w:sz w:val="17"/>
          <w:szCs w:val="17"/>
          <w:color w:val="auto"/>
        </w:rPr>
        <w:t>The management of the Company uses several performance metrics to evaluate the performance of its dealerships.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Company’s truck dealerships achieved a 104.5% absorption rate for the year in 2007 and 106.3% absorption rate for the first nine months of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2008 Compared to Three Months Ended September 30, 2007</w:t>
      </w:r>
    </w:p>
    <w:p>
      <w:pPr>
        <w:spacing w:after="0" w:line="229" w:lineRule="exact"/>
        <w:rPr>
          <w:sz w:val="20"/>
          <w:szCs w:val="20"/>
          <w:color w:val="auto"/>
        </w:rPr>
      </w:pPr>
    </w:p>
    <w:p>
      <w:pPr>
        <w:ind w:right="460" w:firstLine="648"/>
        <w:spacing w:after="0" w:line="271" w:lineRule="auto"/>
        <w:rPr>
          <w:sz w:val="20"/>
          <w:szCs w:val="20"/>
          <w:color w:val="auto"/>
        </w:rPr>
      </w:pPr>
      <w:r>
        <w:rPr>
          <w:rFonts w:ascii="Arial" w:cs="Arial" w:eastAsia="Arial" w:hAnsi="Arial"/>
          <w:sz w:val="17"/>
          <w:szCs w:val="17"/>
          <w:color w:val="auto"/>
        </w:rPr>
        <w:t>Class 8 and medium-duty new and used truck markets remained weak through the third quarter of 2008. The Company believes that the continuation of the weak freight environment, slowing construction markets, historically high fuel prices and tight credit markets will cause both heavy-and medium-duty truck deliveries to remain soft through 2009. A.C.T. Research Co., LLC (“A.C.T. Research”), a truck industry data and forecasting service provider, currently predicts U.S. retail sales of Class 8 trucks of approximately 138,000 units in 2008, a 12.6% decline from the number of deliveries in 2007, and 180,000 units in 2009. However, the Company believes 2009 sales of heavy-duty trucks will remain relatively flat compared to 2008. Based on current economic and market conditions, the Company does not expect a significant pre-buy of Class 8 trucks to occur in 2009 as a result of diesel emissions regulations that go into effect in 2010. The Company currently anticipates some recovery of the Class 8 truck market to begin late in 2009, given impending 2010 diesel emissions regulations.</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Medium-duty truck sales remained consistent with the industry, which declined 41% in the third quarter of 2008 as compared to 2007 according to A.C.T. Research. A.C.T. Research currently predicts U.S. retail sales of Class 4, 5, 6, and 7 medium-duty trucks of approximately 185,000 units in 2008, a 22.8% decline from the number of deliveries in 2007, and 180,000 units in 2009.</w:t>
      </w:r>
    </w:p>
    <w:p>
      <w:pPr>
        <w:spacing w:after="0" w:line="18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Truck, construction equipment and leasing operations in East Texas were adversely impacted by Hurricane Ike, which shut down our operations in Houston and East Texas for several days in the third quarter. Dealership operations experienced business interruption resulting from mandatory evacuations, power outages, restricted traffic and reduced employee attendance. Although difficult to quantify, these storms had a negative impact to earnings in the third quarter.</w:t>
      </w:r>
    </w:p>
    <w:p>
      <w:pPr>
        <w:spacing w:after="0" w:line="18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Parts, service and body shop sales increased slightly in the third quarter of 2008 compared to the third quarter of 2007. The Company expects parts, service and body shop sales to slightly decline in the first half of 2009 compared to the same period in 2008 and begin to rebound in the latter half of 2009. This quarter’s increased absorption rate of 108.6%, compared to 105.1% in the third quarter of 2007, is due to significant reductions in the Company’s expense structure and the ability of its people to control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 xml:space="preserve">Revenues decreased $107.9 million, or 20.7%, in the third quarter of 2008 compared to the third quarter of 2007. Sales of new and used trucks decreased $97.9 million, or 27.4%, in the third quarter of 2008 compared to the third quarter of 2007. Uncertain economic conditions, the weak freight environment, slowing construction markets, historically high fuel prices and tight credit markets </w:t>
      </w:r>
      <w:r>
        <w:rPr>
          <w:rFonts w:ascii="Arial" w:cs="Arial" w:eastAsia="Arial" w:hAnsi="Arial"/>
          <w:sz w:val="17"/>
          <w:szCs w:val="17"/>
          <w:color w:val="auto"/>
        </w:rPr>
        <w:t>contributed to decreased demand for Class 8, medium-duty</w:t>
      </w:r>
      <w:r>
        <w:rPr>
          <w:rFonts w:ascii="Arial" w:cs="Arial" w:eastAsia="Arial" w:hAnsi="Arial"/>
          <w:sz w:val="18"/>
          <w:szCs w:val="18"/>
          <w:color w:val="auto"/>
        </w:rPr>
        <w:t xml:space="preserve"> </w:t>
      </w:r>
      <w:r>
        <w:rPr>
          <w:rFonts w:ascii="Arial" w:cs="Arial" w:eastAsia="Arial" w:hAnsi="Arial"/>
          <w:sz w:val="17"/>
          <w:szCs w:val="17"/>
          <w:color w:val="auto"/>
        </w:rPr>
        <w:t>and used trucks in the third quarter of 2008.</w:t>
      </w:r>
    </w:p>
    <w:p>
      <w:pPr>
        <w:spacing w:after="0" w:line="19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Unit sales of new Class 8 trucks decreased 25.8% in the third quarter of 2008 compared to the third quarter of 2007. New Class 8 truck sales revenue decreased approximately $61.0 million, or 27.3%, in the third quarter of 2008 compared to the third quarter of 2007. </w:t>
      </w:r>
      <w:r>
        <w:rPr>
          <w:rFonts w:ascii="Arial" w:cs="Arial" w:eastAsia="Arial" w:hAnsi="Arial"/>
          <w:sz w:val="17"/>
          <w:szCs w:val="17"/>
          <w:color w:val="auto"/>
        </w:rPr>
        <w:t>A.C.T. Research estimates that</w:t>
      </w:r>
      <w:r>
        <w:rPr>
          <w:rFonts w:ascii="Arial" w:cs="Arial" w:eastAsia="Arial" w:hAnsi="Arial"/>
          <w:sz w:val="18"/>
          <w:szCs w:val="18"/>
          <w:color w:val="auto"/>
        </w:rPr>
        <w:t xml:space="preserve"> </w:t>
      </w:r>
      <w:r>
        <w:rPr>
          <w:rFonts w:ascii="Arial" w:cs="Arial" w:eastAsia="Arial" w:hAnsi="Arial"/>
          <w:sz w:val="17"/>
          <w:szCs w:val="17"/>
          <w:color w:val="auto"/>
        </w:rPr>
        <w:t>unit sales of Class 8 trucks in the U.S. increased approximately 8% in the third quarter of 2008 compared to the third quarter of 2007. Historically, the Company’s share of the U.S. Class 8 truck market has ranged between 4.1% and 4.6%. Based on current Class 8 retail sales estimates of 138,000 units for 2008, the Company expects to sell approximately 5,600 to 5,800 Class 8 trucks in 2008.</w:t>
      </w:r>
    </w:p>
    <w:p>
      <w:pPr>
        <w:spacing w:after="0" w:line="18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Unit sales of new medium-duty trucks decreased 39.5</w:t>
      </w:r>
      <w:r>
        <w:rPr>
          <w:rFonts w:ascii="Arial" w:cs="Arial" w:eastAsia="Arial" w:hAnsi="Arial"/>
          <w:sz w:val="15"/>
          <w:szCs w:val="15"/>
          <w:color w:val="auto"/>
        </w:rPr>
        <w:t>% in the third quarter of 2008 compared to the third quarter of 2007.</w:t>
      </w:r>
      <w:r>
        <w:rPr>
          <w:rFonts w:ascii="Arial" w:cs="Arial" w:eastAsia="Arial" w:hAnsi="Arial"/>
          <w:sz w:val="16"/>
          <w:szCs w:val="16"/>
          <w:color w:val="auto"/>
        </w:rPr>
        <w:t xml:space="preserve"> New medium-duty truck sales revenue decreased approximately $21.5 million, or 28.4%, in the third quarter of 2008 compared to the third quarter of 2007. A.C.T. Research estimates</w:t>
      </w:r>
    </w:p>
    <w:p>
      <w:pPr>
        <w:sectPr>
          <w:pgSz w:w="11900" w:h="16962"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that unit sales of Class 4 through 7 trucks in the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decreased approximately 41% in the third quarter of 2008 compared to the third quarter of 2007. In 2007, the Company achieved a 2.2% share of the Class 4 through 7 truck sales market in the U.S. The Company expects its share to range between 1.9% to 1.95% of the U.S. Class 4 through 7 truck sales market in 2008, which would result in the sale of approximately 3,500 to 3,600 Class 4 through 7 trucks based on A.C.T. Research’s current 2008 U.S. retail sales estimates of 185,000 units.</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Unit sales of used trucks decreased 9.3% in the third quarter of 2008 compared to the third quarter of 2007. Used truck sales revenue decreased approximately $10.9 million, or 20.7%, in the third quarter of 2008 compared to the third quarter of 2007. During the third quarter of 2008, average revenue per used truck unit decreased by approximately 8.7% compared to the third quarter of 2007. For the remainder of 2008, used truck sales volumes and prices will be primarily driven by general economic conditions, fuel prices and the availability of credit, which collectively have had a severe impact on this market during the first nine months of 2008. The Company expects to sell approximately 3,400 to 3,600 used trucks in 2008.</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Parts and service sales increased $0.4 million, or 0.4%, in the third quarter of 2008 compared to the third quarter of 2007. The slight increase in parts and service sales was a result of acquisitions made in the first half of 2008. Parts and service sales, exclusive of acquisitions, decreased approximately 3.9% in the third quarter of 2008 compared to 2007 primarily due to weakening economic conditions. The Company expects parts and service sales to decrease slightly in the fourth quarter of 2008 compared to the same period in 2007.</w:t>
      </w:r>
    </w:p>
    <w:p>
      <w:pPr>
        <w:spacing w:after="0" w:line="187" w:lineRule="exact"/>
        <w:rPr>
          <w:sz w:val="20"/>
          <w:szCs w:val="20"/>
          <w:color w:val="auto"/>
        </w:rPr>
      </w:pPr>
    </w:p>
    <w:p>
      <w:pPr>
        <w:ind w:right="560" w:firstLine="648"/>
        <w:spacing w:after="0" w:line="276" w:lineRule="auto"/>
        <w:rPr>
          <w:sz w:val="20"/>
          <w:szCs w:val="20"/>
          <w:color w:val="auto"/>
        </w:rPr>
      </w:pPr>
      <w:r>
        <w:rPr>
          <w:rFonts w:ascii="Arial" w:cs="Arial" w:eastAsia="Arial" w:hAnsi="Arial"/>
          <w:sz w:val="17"/>
          <w:szCs w:val="17"/>
          <w:color w:val="auto"/>
        </w:rPr>
        <w:t>Sales of new and used construction equipment decreased $7.8 million, or 40.0%, in the third quarter of 2008 compared to the third quarter of 2007. This decrease was largely attributable to the weakening construction market in the Houston area. John Deere’s rolling twelve month average market share in the Houston area construction equipment market decreased to 16.8% as of September 30, 2008 from a rolling twelve month average of 18.6% as of September 30, 2007. In 2009, the Company expects new construction equipment unit sales in our area of responsibility to decrease approximately 10% to 18%, compared to 2008, to approximately 1,800 to 2,000 units.</w:t>
      </w:r>
    </w:p>
    <w:p>
      <w:pPr>
        <w:spacing w:after="0" w:line="173"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Truck lease and rental revenues increased $0.7 million in the third quarter of 2008 compared to the third quarter of 2007. The Company expects lease and rental revenue to increase slightly during the remainder of 2008 compared to 2007.</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Finance and insurance revenues decreased $2.7 million, or 50.1%, in the third quarter of 2008 compared to the third quarter of 2007. The decrease in finance and insurance revenue is a direct result of the overall decline in truck sales and the tight credit market. Finance and insurance revenues have limited direct costs and, therefore, contribute a disproportionate share of the Company’s operating profits.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income decreased $0.7 million, or 31.7%, in the third quarter of 2008 compared to the third quarter of 2007.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Gross profit decreased $13.4 million, or 14.9%, in the third quarter of 2008 compared to the third quarter of 2007. Gross profit as a percentage of total revenue increased to 18.5% in the third quarter of 2008 from 17.2% in the third quarter of 2007. This percentage increase is primarily a result of a change in our product sales mix. Truck sales, a lower margin revenue item, decreased as a percentage of total revenue to 62.7% in the third quarter of 2008 from 68.5% in the third quarter of 2007. Parts and service revenue, a higher margin revenue item, increased as a percentage of total revenue to 30.0% in the third quarter of 2008 from 23.7% in the third quarter of 2007.</w:t>
      </w:r>
    </w:p>
    <w:p>
      <w:pPr>
        <w:spacing w:after="0" w:line="18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Gross margins on Class 8 truck sales decreased to 6.8% in the third quarter of 2008 from 8.6% in the third quarter of 2007. For the remainder of 2008, the Company expects overall gross margins from Class 8 truck sales of approximately 6.5% to 8.0% due to the current weak Class 8 truck market.</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Gross margins on medium-duty truck sales decreased slightly to 5.2% in the third quarter of 2008 from 5.3% in the third quarter of 2007. For 2008, the Company expects overall gross margins from medium-duty truck sales of approximately 5.0% to 6.5%. The Company’s gross margins on medium-duty trucks are difficult to forecast accurately because gross margins vary significantly depending upon the mix of fleet and non-fleet purchasers and types of medium-duty trucks sold.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used truck sales increased slightly to 8.8% in the third quarter of 2008 from 8.7% in the third quarter of 2007. The Company believes it will be able to achieve margins of approximately 7.0% to 8.5% during the remainder of 2008, excluding adjustments for any valuation write-downs the Company may take.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increased to 41.4% in the third quarter of 2008 from 40.6% in the third quarter of 2007. Gross profit for the parts, service and body shop departments was $51.3 million in the third quarter of 2008 compared to $50.3 million in the third quarter of 2007. The Company expects gross margins on parts, service and body shop operations of approximately 38.0% to 41.0% for the remainder of 2008.</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Gross margins on new and used construction equipment sales decreased to 8.9% in the third quarter of 2008 compared to 10.1% in the third quarter of 2007. This decrease in gross margin is primarily attributable to decreased demand for construction equipment in the Houston market and our continued efforts to increase John Deere’s market share. The Company expects 2008 gross margins on new and used construction equipment sales to remain in a range of approximately 9.0% to 11.0% as the Company attempts to increase its market share.</w:t>
      </w:r>
    </w:p>
    <w:p>
      <w:pPr>
        <w:sectPr>
          <w:pgSz w:w="11900" w:h="16838" w:orient="portrait"/>
          <w:cols w:equalWidth="0" w:num="1">
            <w:col w:w="11420"/>
          </w:cols>
          <w:pgMar w:left="240" w:top="125" w:right="239" w:bottom="0" w:gutter="0" w:footer="0" w:header="0"/>
        </w:sectPr>
      </w:pPr>
    </w:p>
    <w:bookmarkStart w:id="13" w:name="page14"/>
    <w:bookmarkEnd w:id="13"/>
    <w:p>
      <w:pPr>
        <w:ind w:right="140" w:firstLine="648"/>
        <w:spacing w:after="0" w:line="293" w:lineRule="auto"/>
        <w:rPr>
          <w:sz w:val="20"/>
          <w:szCs w:val="20"/>
          <w:color w:val="auto"/>
        </w:rPr>
      </w:pPr>
      <w:r>
        <w:rPr>
          <w:rFonts w:ascii="Arial" w:cs="Arial" w:eastAsia="Arial" w:hAnsi="Arial"/>
          <w:sz w:val="16"/>
          <w:szCs w:val="16"/>
          <w:color w:val="auto"/>
        </w:rPr>
        <w:t>Gross margins from truck lease and rental sales decreased to 15.7% in the third quarter of 2008 from approximately 16.1% in the third quarter of 2007. The decrease in the gross margin from lease and rental sales is primarily due to the decreased utilization of crane-mounted trucks in the rental fleet of our crane division. The Company expects gross margins from lease and rental sales of approximately 13.0% to 16.0% during the remainder of 2008.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general and administrative (“SG&amp;A”) expenses decreased $3.4 million, or 5.5%, in the third quarter of 2008 compared to the third quarter of 2007. SG&amp;A expenses as a percentage of sales was 14.1% in the third quarter of 2008 and 11.8% in the third quarter of 2007. SG&amp;A expenses as a percentage of sales have historically ranged from 10.0% to 15.0%. In 2008, the Company expects the selling portion of SG&amp;A expenses to be approximately 23% to 25% of truck and construction equipment gross profit. The selling portion of SG&amp;A varies based on the gross profit derived from truck sales. The Company has taken action throughout 2008 to reduce overhead expenses to a level more appropriate to serve the current market. The Company expects the general and administrative portion of SG&amp;A to remain flat in the fourth quarter of 2008 compared to the same period in 2007 despite acquisitions made earlier in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Net interest expense decreased $1.6 million, or 46.8%, in the third quarter of 2008 compared to the third quarter of 2007. This decrease is primarily due to the decrease in floor plan notes payable and lower floor plan interest rates. The Company expects net interest expense for the fourth quarter of 2008 to decrease approximately 30.0% compared to the same period in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Income before income taxes decreased $8.7 million, or 41.6%, in the third quarter of 2008 compared to the third quarter of 2007. The Company believes that income from continuing operations in 2008 will decrease compared to 2007 based on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Income taxes decreased $3.5 million, or 46.0%, in the third quarter of 2008 compared to the third quarter of 2007. The Company provided for taxes at an effective rate of 34.25% in the third quarter of 2008 and 37.0% in the third quarter of 2007. The decrease in the Company’s effective tax rate results from the application of tax credits for sales of alternative fuel vehicles to tax-exempt municipalities that claim the tax credits. During the remainder of 2008, the Company expects to continue to apply for alternative fuel vehicle tax credits for sales of alternative fuel vehicles to tax-exempt municipalities. These transactions will increase the Company’s SG&amp;A expense because the Company passes a portion of these credits on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these tax-exempt municipalities in the form of a discretionary rebate. As a result, the Company’s effective tax rate may vary significantly depending on the number of alternative fuel vehicles sold to tax-exempt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2008 Compared to Nine Months Ended September 30, 2007</w:t>
      </w:r>
    </w:p>
    <w:p>
      <w:pPr>
        <w:spacing w:after="0" w:line="229"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Unless otherwise stated below, the Company’s variance explanations and future expectations with regard to the items discussed in this section are set forth in the discussion of the “Three Months Ended September 30, 2008 Compared to Three Months Ended September 30, 2007.”</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Revenues decreased $300.0 million, or 19.1%, in the first nine months of 2008 compared to the first nine months of 2007. Sales of new and used trucks decreased $283.4 million, or 26.0%, in the first nine months of 2008 compared to the first nine months of 2007.</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Unit sales of new Class 8 trucks decreased 25.1% in the first nine months of 2008 compared to the first nine months of 2007. New Class 8 truck sales revenue decreased approximately $173.9 million, or 25.2%, in the first nine months of 2008 compared to the first nine months of 2007. A.C.T. Research estimates that unit sales of Class 8 trucks in the U.S decreased approximately 15.0% in the first nine months of 2008 compared to the first nine months of 2007.</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Unit sales of new medium-duty trucks decreased 33.0% in the first nine months of 2008 compared to the first nine months of 2007. New medium-duty truck sales revenue decreased approximately $59.0 million, or 26.2%, in the first nine months of 2008 compared to the first nine months of 2007. A.C.T. Research estimates that unit sales of Class 4, 5, 6 and 7 medium-duty trucks in the U.S. decreased approximately 28.0% in the first nine months of 2008 compared to the first nine months of 2007.</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Unit sales of used trucks decreased 14.9% in the first nine months of 2008 compared to the first nine months of 2007. Used truck sales revenue decreased approximately $35.3 million, or 22.3%, in the first nine months of 2008 compared to the first nine months of 2007. Used truck average revenue per unit decreased by approximately 8.7%.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Parts and service sales increased $0.7 million, or 0.2%, in the first nine months of 2008 compared to the first nine months of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new and used construction equipment decreased $9.3 million, or 16.4%, in the first nine months of 2008 compared to the first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2007.</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Truck lease and rental revenues increased $1.8 million, or 4.7%, in the first nine months of 2008 compared to the first nine months of 2007.</w:t>
      </w:r>
    </w:p>
    <w:p>
      <w:pPr>
        <w:sectPr>
          <w:pgSz w:w="11900" w:h="16838" w:orient="portrait"/>
          <w:cols w:equalWidth="0" w:num="1">
            <w:col w:w="11420"/>
          </w:cols>
          <w:pgMar w:left="240" w:top="125" w:right="239" w:bottom="0" w:gutter="0" w:footer="0" w:header="0"/>
        </w:sectPr>
      </w:pPr>
    </w:p>
    <w:bookmarkStart w:id="14" w:name="page15"/>
    <w:bookmarkEnd w:id="14"/>
    <w:p>
      <w:pPr>
        <w:ind w:left="660"/>
        <w:spacing w:after="0"/>
        <w:rPr>
          <w:sz w:val="20"/>
          <w:szCs w:val="20"/>
          <w:color w:val="auto"/>
        </w:rPr>
      </w:pPr>
      <w:r>
        <w:rPr>
          <w:rFonts w:ascii="Arial" w:cs="Arial" w:eastAsia="Arial" w:hAnsi="Arial"/>
          <w:sz w:val="17"/>
          <w:szCs w:val="17"/>
          <w:color w:val="auto"/>
        </w:rPr>
        <w:t>Finance and insurance revenues decreased $7.7 million, or 44.8%, in the first nine months of 2008 compared to the first nine months of 2007.</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Other income decreased $2.1 million, or 33.2%, in the first nine months of 2008 compared to the first nine months of 2007.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Gross profit decreased $42.0 million, or 15.5%, in the first nine months of 2008 compared to the first nine months of 2007. Gross profit as a percentage of total revenue increased to 18.0% in the first nine months of 2008 from 17.2% in the first nine months of 2007. Truck sales, a lower margin revenue item, decreased as a percentage of total revenue to 63.5% in the first nine months of 2008 from 69.4% in the first nine months of 2007. Parts and service revenue, a higher margin revenue item, increased as a percentage of total revenue to 28.5% in the first nine months of 2008 from 23.0% in the first nine months of 2007. Gross profit was further reduced by the $5.4 million write-down of used truck inventory in the second quarter of 2008.</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decreased to 7.9% in the first nine months of 2008 from 8.5% in the first nine months of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medium-duty truck sales remained flat at 5.5% in the first nine months of 2008 and the first nine months of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Gross margins on used truck sales decreased to 3.4% in the first nine months of 2008 from 8.8% in the first nine months of 2007. The decrease in gross margins was the result of the $5.4 million write-down of used truck inventory in the second quarter of 2008. Excluding the write-down of used truck inventory, gross margins on used truck sales were 7.8%.</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remained flat at 41.6% in the first nine months of 2008 compared to 41.5% in the first nine months of 2007. Gross profit for the parts, service and body shop departments was $150.8 million in the first nine months of 2008 compared to $150.0 million in the first nine months of 2007.</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Gross margins on new and used construction equipment sales decreased to 9.6% in the first nine months of 2008 compared to 10.6% in the first nine months of 2007.</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14.8% in the first nine months of 2008 from approximately 15.7% in the first nine months of 2007.</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Selling, general and administrative (“SG&amp;A”) expenses decreased $10.4 million, or 5.6%, in the first nine months of 2008 compared to the first nine months of 2007. SG&amp;A expenses as a percentage of sales was 13.7% in the first nine months of 2008 and 11.8% in the first nine months of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$7.0 million, or 55.8%, in the first nine months of 2008 compared to the first nine months of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$25.5 million, or 40.6%, in the first nine months of 2008 compared to the first nine months of 2007.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taxes decreased $10.1 million, or 42.5%, in the first nine months of 2008 compared to the first nine months of 2007. The Company provided for taxes at an effective rate of 36.4% in the first nine months of 2008 and 37.7% in the first nine months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the construction of new facilities and technology improvements. Historically, these cash requirements have been met through the retention of profits and borrowings under our floor plan financing agreements. As of September 30, 2008, the Company had working capital of approximately $174.1 million, including $144.5 million in cash available to fund our operations.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due to GE Capital on the inventory. There were no working capital advances outstanding under this agreement at September 30, 2008.</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September 30, 2008, however, $6.2 million was pledged to secure various letters of credit related to self-insurance products, leaving $1.8 million available for future borrowings as of September 30, 2008.</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total cost of the SAP software and implementation is estimated to be approximately $20.0 million to $23.0 million. As of September 30, 2008, the Company had expenditures of $18.2 million related to the SAP project.</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is currently constructing a new facility for its Rush Truck Center location in Oklahoma City, Oklahoma at an estimated cost of $12.0 million.</w:t>
      </w:r>
    </w:p>
    <w:p>
      <w:pPr>
        <w:spacing w:after="0" w:line="170" w:lineRule="exact"/>
        <w:rPr>
          <w:sz w:val="20"/>
          <w:szCs w:val="20"/>
          <w:color w:val="auto"/>
        </w:rPr>
      </w:pPr>
    </w:p>
    <w:p>
      <w:pPr>
        <w:ind w:right="420" w:firstLine="648"/>
        <w:spacing w:after="0" w:line="270"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$.01 par value per share, and/or Class B common stock, $.01 par value per share.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September 30, 2008, the Company has repurchased 779,215 shares of its Class B common stock at a cost of $10.0 million.</w:t>
      </w:r>
    </w:p>
    <w:p>
      <w:pPr>
        <w:spacing w:after="0" w:line="182" w:lineRule="exact"/>
        <w:rPr>
          <w:sz w:val="20"/>
          <w:szCs w:val="20"/>
          <w:color w:val="auto"/>
        </w:rPr>
      </w:pPr>
    </w:p>
    <w:p>
      <w:pPr>
        <w:jc w:val="both"/>
        <w:ind w:right="460" w:firstLine="648"/>
        <w:spacing w:after="0" w:line="288" w:lineRule="auto"/>
        <w:rPr>
          <w:sz w:val="20"/>
          <w:szCs w:val="20"/>
          <w:color w:val="auto"/>
        </w:rPr>
      </w:pPr>
      <w:r>
        <w:rPr>
          <w:rFonts w:ascii="Arial" w:cs="Arial" w:eastAsia="Arial" w:hAnsi="Arial"/>
          <w:sz w:val="16"/>
          <w:szCs w:val="16"/>
          <w:color w:val="auto"/>
        </w:rPr>
        <w:t xml:space="preserve">The Company has no other material commitments for capital expenditures as of September 30, 2008, except that the Company will continue to purchase vehicles for its lease and rental division and authorize capital expenditures for improvement and expansion of its dealership facilities based on market opportunities. </w:t>
      </w:r>
      <w:r>
        <w:rPr>
          <w:rFonts w:ascii="Arial" w:cs="Arial" w:eastAsia="Arial" w:hAnsi="Arial"/>
          <w:sz w:val="15"/>
          <w:szCs w:val="15"/>
          <w:color w:val="auto"/>
        </w:rPr>
        <w:t>The Company expects to purchase trucks worth approximately $27.5 million for its leasing operations in 2008, depending on</w:t>
      </w:r>
    </w:p>
    <w:p>
      <w:pPr>
        <w:spacing w:after="0"/>
        <w:rPr>
          <w:sz w:val="20"/>
          <w:szCs w:val="20"/>
          <w:color w:val="auto"/>
        </w:rPr>
      </w:pPr>
      <w:r>
        <w:rPr>
          <w:rFonts w:ascii="Arial" w:cs="Arial" w:eastAsia="Arial" w:hAnsi="Arial"/>
          <w:sz w:val="18"/>
          <w:szCs w:val="18"/>
          <w:color w:val="auto"/>
        </w:rPr>
        <w:t>customer demand.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Cash and cash equivalents decreased by $42.5 million during the nine months ended September 30, 2008 and increased by $15.0 million during the nine months ended September 30, 2007.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2008, operating activities resulted in net cash provided by operations of $66.0 million. Cash provided by operating activities was primarily impacted by the decrease in accounts payable, the decrease in accrued expenses and the increase in inventories. During the first nine months of 2007, operating activities resulted in net cash provided by operations of $192.2 million.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Cash flows from operating activities as adjusted for all draws and (payments) on floor plan notes (“Adjusted Cash Flows from Operating Activities”) was $68.6 million for the nine months ended September 30, 2008 and $66.2 million for the nine months ended September 30, 2007.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7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Company’s 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Nine Months Ended</w:t>
      </w:r>
    </w:p>
    <w:p>
      <w:pPr>
        <w:jc w:val="center"/>
        <w:ind w:left="64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(GAAP)</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66,026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Draws (payments) on floor plan notes payable</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2,546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(126,003)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2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68,572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Cash flows used in investing activities consist primarily of cash used for capital expenditures, business acquisitions, and purchase of investments net of proceeds from the sale of investments. During the first nine months of 2008, the Company used $90.0 million in investing activities. The Company purchased investments of $355.6 million which was offset by proceeds from the sale of these investments of $348.0 million. See Note 7 - Investments of Notes to Consolidated Financial Statements for an explanation of these investments. Capital expenditures consisted of purchases of property and equipment, and improvements to our existing dealership facilities of $46.5 million. Property and equipment purchases during the first nine months of 2008 consisted of</w:t>
      </w:r>
    </w:p>
    <w:p>
      <w:pPr>
        <w:sectPr>
          <w:pgSz w:w="11900" w:h="16838" w:orient="portrait"/>
          <w:cols w:equalWidth="0" w:num="1">
            <w:col w:w="11400"/>
          </w:cols>
          <w:pgMar w:left="240" w:top="368" w:right="259" w:bottom="0" w:gutter="0" w:footer="0" w:header="0"/>
        </w:sectPr>
      </w:pPr>
    </w:p>
    <w:bookmarkStart w:id="16" w:name="page17"/>
    <w:bookmarkEnd w:id="16"/>
    <w:p>
      <w:pPr>
        <w:spacing w:after="0" w:line="1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$17.6 million for additional units for the rental and leasing operations, which was directly offset by borrowings of long-term debt. The Company expects to purchase trucks worth approximately $27.5 million for its leasing operations in 2008, depending on customer demand. Cash used in business acquisitions was $37.4 million during the first nine months of 2008 (See Note 6 - - Acquisitions of Notes to Consolidated Financial Statements). During the remainder of 2008, the Company expects to make capital expenditures for recurring items such as computers, shop equipment and vehicles of approximately $0.7 million to $1.0 million per month, an additional $2.0 million for the SAP software implementation described above and $2.0 million for the construction of the facility in Oklahoma City described above.</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first nine months of 2007, the Company used $54.3 million in investing activities. Capital expenditures consisted of purchases of property and equipment, and improvements to our existing dealership facilities of $51.0 million. Property and equipment purchases during the first nine months of 2007 consisted of $27.3 million for additional units for the rental and leasing operations, which was directly offset by borrowings of long-term debt. Cash used in business acquisitions was $7.9 million during the first nine months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400" w:firstLine="648"/>
        <w:spacing w:after="0" w:line="297"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used in financing activities was $18.5 million during the first nine months of 2008. The Company had borrowings of long-term debt of $21.1 million and repayments of long-term debt of $29.3 million during the first nine months of 2008. The Company had net draws of floor plan notes payable of $2.5 million during the first nine months of 2008. The borrowings of long-term debt were primarily related to refinancing of real estate and financing of the lease and rental fleet. The Company also repurchased 779,215 shares of Class B common stock for $10.0 million during the first nine months of 2008.</w:t>
      </w:r>
    </w:p>
    <w:p>
      <w:pPr>
        <w:spacing w:after="0" w:line="158"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Cash used in financing activities was $122.9 million during the first nine months of 2007. The Company had borrowings of long-term debt of $29.1 million and repayments of long-term debt of $27.0 million during the first nine months of 2007. The Company had net payments of floor plan notes payable of $126.0 million during the first nine months of 2007. The borrowings of long-term debt were primarily related to the increase in the lease and rental fleet.</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which expires July 31, 2010.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September 30, 2008, the Company had approximately $260.6 million outstanding under its floor plan financing agreement with GE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interest-free financing period after which time the amount financed is required to be paid in full. When construction equipment is sold prior to the expiration of the interest-free finance period, the Company is required to repay the principal within approximately ten days of the sale. If the construction equipment financed by John Deere is not sold within the interest-free finance period, it is transferred to the Chase floor plan. The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Company makes principal payments for sold inventory to Chase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Construction equipment is financed to a maximum of book value under the floor plan financing agreement with Chase. The Company makes monthly interest payments on the amount financed and is required to commence loan principal repayments on construction equipment as book value is reduced. Principal payments for sold used construction equipment are made</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The Company’s floor plan financing agreement with Chase permits financing of up to $20.0 million in construction equipment and expires in June 2009. On September 30, 2008, the Company had $3.7 million outstanding under its floor plan financing agreement with John Deere and $15.1 million outstanding under its floor plan financing agreement with 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On September 30, 2008, the Company’s backlog of truck orders was approximately $168.4 million compared to a backlog of truck orders of approximately $198.4 million on September 30, 2007.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 As a result, purchasers of heavy-duty trucks currently do not need to place orders several months in advance.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w:t>
      </w:r>
    </w:p>
    <w:p>
      <w:pPr>
        <w:sectPr>
          <w:pgSz w:w="11900" w:h="16989" w:orient="portrait"/>
          <w:cols w:equalWidth="0" w:num="1">
            <w:col w:w="11420"/>
          </w:cols>
          <w:pgMar w:left="240" w:top="125" w:right="239" w:bottom="0" w:gutter="0" w:footer="0" w:header="0"/>
        </w:sectPr>
      </w:pPr>
    </w:p>
    <w:bookmarkStart w:id="17" w:name="page18"/>
    <w:bookmarkEnd w:id="17"/>
    <w:p>
      <w:pPr>
        <w:spacing w:after="0" w:line="11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historically been subject to substantial cyclical variation based on these general economic conditions. According to data published by A.C.T. Research, in recent years total U.S. retail sales of new Class 8 trucks have ranged from a low of approximately 140,000 in 2001 to a high of approximately 291,000 in 2006.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w:t>
      </w:r>
    </w:p>
    <w:p>
      <w:pPr>
        <w:spacing w:after="0" w:line="261" w:lineRule="auto"/>
        <w:rPr>
          <w:sz w:val="20"/>
          <w:szCs w:val="20"/>
          <w:color w:val="auto"/>
        </w:rPr>
      </w:pPr>
      <w:r>
        <w:rPr>
          <w:rFonts w:ascii="Arial" w:cs="Arial" w:eastAsia="Arial" w:hAnsi="Arial"/>
          <w:sz w:val="18"/>
          <w:szCs w:val="18"/>
          <w:color w:val="auto"/>
        </w:rPr>
        <w:t>2007. The 2007 emission guidelines caused the heavy-duty truck industry to experience a significant increase in demand for trucks during 2005, 2006 and the first quarter of 2007 which has been followed by a decrease in demand for heavy-duty trucks.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Even stricter EPA emissions guidelines regarding nitrous oxides are scheduled to go into effect for all diesel engines built subsequent to January 1, 2010. Based on current economic and market conditions, the Company does not expect a strong pre-buy of Class 8 trucks to occur in 2009. The magnitude of any pre-buy will be largely dependent upon general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economic conditions in the U.S. The EPA has also proposed regulations requiring emissions controls systems on 2010 and later heavy- and medium-duty trucks to be monitored for malfunctions via an onboard diagnostic system similar to those required in passenger vehicles since the mid-1990s, which could also impact demand for trucks.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rates related to our floor plan financing agreements, variable rate debt and discount rates related to finance sales. Floor plan borrowings are based on LIBOR and are used to meet working capital needs. As of September 30, 2008, the Company had floor plan borrowings of approximately $279.4 million. Assuming an increase in LIBOR of 100 basis points, annual interest expense could increase by approximately $2.8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$144.5 million on September 30, 2008. These funds are generally invested in highly liquid money market accounts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$1.4 million.</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2008, the Company holds $7.6 million of auction rate securities with underlying tax-exempt municipal bonds with stated maturities of 22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7 – Investments of the Notes to Consolidated Financial Statements and Item 1A – Risk Factors to our Form 10-Q for the quarterly period ended March 31, 2008.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w:t>
      </w:r>
    </w:p>
    <w:p>
      <w:pPr>
        <w:sectPr>
          <w:pgSz w:w="11900" w:h="16952" w:orient="portrait"/>
          <w:cols w:equalWidth="0" w:num="1">
            <w:col w:w="11420"/>
          </w:cols>
          <w:pgMar w:left="240" w:top="125" w:right="239" w:bottom="0" w:gutter="0" w:footer="0" w:header="0"/>
        </w:sectPr>
      </w:pPr>
    </w:p>
    <w:bookmarkStart w:id="18" w:name="page19"/>
    <w:bookmarkEnd w:id="18"/>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2008 to provide reasonable assurance that information required to be disclosed in the reports filed or submitted under the Securities Exchange Act of 1934 is</w:t>
      </w:r>
    </w:p>
    <w:p>
      <w:pPr>
        <w:spacing w:after="0" w:line="46" w:lineRule="exact"/>
        <w:rPr>
          <w:sz w:val="20"/>
          <w:szCs w:val="20"/>
          <w:color w:val="auto"/>
        </w:rPr>
      </w:pPr>
    </w:p>
    <w:p>
      <w:pPr>
        <w:ind w:right="80" w:firstLine="8"/>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9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September 30, 2008 that has materially affected, or is reasonably likely to materially affect, the Company’s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position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2007 Annual Report on Form 10-K (the “2007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Except for the risk factor provided immediately below in this Item 1A and the risk factor set forth in Item 1A, Part II of our Form 10-Q for the quarter ended March 31, 2008, there have been no material changes in our risk factors disclosed in our 2007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is subject to a number of economic risks.</w:t>
      </w:r>
    </w:p>
    <w:p>
      <w:pPr>
        <w:spacing w:after="0" w:line="225" w:lineRule="exact"/>
        <w:rPr>
          <w:sz w:val="20"/>
          <w:szCs w:val="20"/>
          <w:color w:val="auto"/>
        </w:rPr>
      </w:pPr>
    </w:p>
    <w:p>
      <w:pPr>
        <w:ind w:right="620" w:firstLine="441"/>
        <w:spacing w:after="0" w:line="259" w:lineRule="auto"/>
        <w:rPr>
          <w:sz w:val="20"/>
          <w:szCs w:val="20"/>
          <w:color w:val="auto"/>
        </w:rPr>
      </w:pPr>
      <w:r>
        <w:rPr>
          <w:rFonts w:ascii="Arial" w:cs="Arial" w:eastAsia="Arial" w:hAnsi="Arial"/>
          <w:sz w:val="18"/>
          <w:szCs w:val="18"/>
          <w:color w:val="auto"/>
        </w:rPr>
        <w:t>During economic downturns, commercial vehicle and construction equipment retail sales tend to experience periods of decline characterized by oversupply and weak demand. The commercial vehicle and construction equipment retail industries may experience sustained periods of decline in commercial vehicle and construction equipments sales in the future. Any decline or change of this type could materially affect our business, financial condition and results of operations.</w:t>
      </w:r>
    </w:p>
    <w:p>
      <w:pPr>
        <w:spacing w:after="0" w:line="18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Our business is subject to the adverse economic conditions currently present in the United States, including, without limitation, decreased levels of business activity, decreased freight demand, decreased construction activity, interest rate volatility, and limited credit availability. These adverse economic conditions could materially affect our business, financial condition and results of operations.</w:t>
      </w:r>
    </w:p>
    <w:p>
      <w:pPr>
        <w:spacing w:after="0" w:line="181"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Our new commercial vehicle and construction equipment sales may differ from industry sales, due to particular economic conditions and other factors in the geographic markets in which we operate. Some of our dealerships are regionally concentrated such as those in Arizona, California, and Florida. Adverse regional economic and competitive conditions in these areas could materially affect our business, financial condition and results of operations.</w:t>
      </w:r>
    </w:p>
    <w:p>
      <w:pPr>
        <w:spacing w:after="0" w:line="14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used vehicles, finance and insurance products, and parts and repair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business requires inventories held for sale to be maintained at dealer locations in order to facilitate immediate sales to customers on demand. We generally purchase inventories with the assistance of floor plan financing agreements. Our floor plan financing agreements are with companies that have exposure to many different industries and counterparties, and routinely execute transactions with counterparties in the financial services industry, including brokers and dealers, commercial banks, investment banks and other institutional clients. Additionally, our floor plan providers may have exposure to financial institutions in the form of equity investments and unsecured debt instruments. Write-downs of mortgage-backed securities, credit default swaps and other derivative securities, have caused many financial institutions to seek additional capital, to merge with larger and stronger institutions and, in some cases, to fail. Many lenders and institutional investors have reduced, and in some cases, ceased to provide funding to borrowers including other financial institutions such as our floor plan providers.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22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Our floor plan financing agreements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and construction equipment sales, because many of our customers finance these large purchases. As a result, a</w:t>
      </w:r>
    </w:p>
    <w:p>
      <w:pPr>
        <w:sectPr>
          <w:pgSz w:w="11900" w:h="16952" w:orient="portrait"/>
          <w:cols w:equalWidth="0" w:num="1">
            <w:col w:w="11420"/>
          </w:cols>
          <w:pgMar w:left="240" w:top="125" w:right="239" w:bottom="0" w:gutter="0" w:footer="0" w:header="0"/>
        </w:sectPr>
      </w:pPr>
    </w:p>
    <w:bookmarkStart w:id="19" w:name="page20"/>
    <w:bookmarkEnd w:id="19"/>
    <w:p>
      <w:pPr>
        <w:ind w:right="300"/>
        <w:spacing w:after="0" w:line="264" w:lineRule="auto"/>
        <w:rPr>
          <w:sz w:val="20"/>
          <w:szCs w:val="20"/>
          <w:color w:val="auto"/>
        </w:rPr>
      </w:pPr>
      <w:r>
        <w:rPr>
          <w:rFonts w:ascii="Arial" w:cs="Arial" w:eastAsia="Arial" w:hAnsi="Arial"/>
          <w:sz w:val="18"/>
          <w:szCs w:val="18"/>
          <w:color w:val="auto"/>
        </w:rPr>
        <w:t>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dealerships are concentrated in states and regions in the United States in which actual or threatened natural disasters and severe weather events (such as hurricanes, earthquakes and hail storms) may disrupt our store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cannot assure you that we will not be exposed to uninsured or underinsured losses that could have a material adverse effect on our business, financial condition,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repurchase activity for the Company’s third quarter of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 Share</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 (1)</w:t>
            </w:r>
          </w:p>
        </w:tc>
        <w:tc>
          <w:tcPr>
            <w:tcW w:w="160" w:type="dxa"/>
            <w:vAlign w:val="bottom"/>
          </w:tcPr>
          <w:p>
            <w:pPr>
              <w:spacing w:after="0"/>
              <w:rPr>
                <w:sz w:val="14"/>
                <w:szCs w:val="14"/>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Programs (2)</w:t>
            </w: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Programs (3)</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2008</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August 1 – August 31, 2008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123,531</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12.75</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123,531</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18,424,836</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2008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655,684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655,684</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9,952,596</w:t>
            </w:r>
          </w:p>
        </w:tc>
        <w:tc>
          <w:tcPr>
            <w:tcW w:w="0" w:type="dxa"/>
            <w:vAlign w:val="bottom"/>
          </w:tcPr>
          <w:p>
            <w:pPr>
              <w:spacing w:after="0"/>
              <w:rPr>
                <w:sz w:val="1"/>
                <w:szCs w:val="1"/>
                <w:color w:val="auto"/>
              </w:rPr>
            </w:pPr>
          </w:p>
        </w:tc>
      </w:tr>
      <w:tr>
        <w:trPr>
          <w:trHeight w:val="224"/>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779,215</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779,215</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2740" w:firstLine="8"/>
        <w:spacing w:after="0" w:line="277"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225" w:lineRule="exact"/>
        <w:rPr>
          <w:rFonts w:ascii="Arial" w:cs="Arial" w:eastAsia="Arial" w:hAnsi="Arial"/>
          <w:sz w:val="18"/>
          <w:szCs w:val="18"/>
          <w:color w:val="auto"/>
        </w:rPr>
      </w:pPr>
    </w:p>
    <w:p>
      <w:pPr>
        <w:jc w:val="both"/>
        <w:ind w:right="80" w:firstLine="8"/>
        <w:spacing w:after="0" w:line="264"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repurchased shares under a program announced on July 23, 2008, which authorized the repurchase of up to $20,000,000 of its shares of Class A common stock, $.01 par value per share, and/or Class B common stock, $.01 par value per share. The stock repurchase program has no expiration date and may be suspended or discontinued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4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Restated Articles of Incorporation of Rush Enterprises, Inc. (incorporated herein by reference to Exhibit 3.1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of the Company’s Quarterly Report on Form 10-Q (File No. 000-20797) for the quarter ended June 30, 2008)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Rush Enterprises, Inc. Amended and Restated Bylaws (incorporated herein by reference to Exhibit 3.1 of the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Company’s Current Report on Form 8-K (File No. 000-20797) filed May 24, 2007).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Rush Enterprises, Inc. Executive Transition Plan (incorporated herein by reference to Exhibit 10.1 of the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Company’s Form 8-K (File No. 000-20797) filed July 25, 2008).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Certification of CEO pursuant to Rules 13a-14(a) and 15d-14(a) adopted pursuant to Section 302 of the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Certification of CFO pursuant to Rules 13a-14(a) and 15d-14(a) adopted pursuant to Section 302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w w:val="96"/>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0"/>
                <w:szCs w:val="20"/>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00" w:type="dxa"/>
            <w:vAlign w:val="bottom"/>
            <w:gridSpan w:val="2"/>
          </w:tcPr>
          <w:p>
            <w:pPr>
              <w:spacing w:after="0"/>
              <w:rPr>
                <w:sz w:val="20"/>
                <w:szCs w:val="20"/>
                <w:color w:val="auto"/>
              </w:rPr>
            </w:pPr>
            <w:r>
              <w:rPr>
                <w:rFonts w:ascii="Arial" w:cs="Arial" w:eastAsia="Arial" w:hAnsi="Arial"/>
                <w:sz w:val="18"/>
                <w:szCs w:val="18"/>
                <w:color w:val="auto"/>
              </w:rPr>
              <w:t>Date:</w:t>
            </w:r>
          </w:p>
        </w:tc>
        <w:tc>
          <w:tcPr>
            <w:tcW w:w="2840" w:type="dxa"/>
            <w:vAlign w:val="bottom"/>
            <w:gridSpan w:val="4"/>
          </w:tcPr>
          <w:p>
            <w:pPr>
              <w:ind w:left="20"/>
              <w:spacing w:after="0"/>
              <w:rPr>
                <w:sz w:val="20"/>
                <w:szCs w:val="20"/>
                <w:color w:val="auto"/>
              </w:rPr>
            </w:pPr>
            <w:r>
              <w:rPr>
                <w:rFonts w:ascii="Arial" w:cs="Arial" w:eastAsia="Arial" w:hAnsi="Arial"/>
                <w:sz w:val="18"/>
                <w:szCs w:val="18"/>
                <w:color w:val="auto"/>
              </w:rPr>
              <w:t>November 10, 2008</w:t>
            </w:r>
          </w:p>
        </w:tc>
        <w:tc>
          <w:tcPr>
            <w:tcW w:w="1940" w:type="dxa"/>
            <w:vAlign w:val="bottom"/>
            <w:vMerge w:val="restart"/>
          </w:tcPr>
          <w:p>
            <w:pPr>
              <w:ind w:left="162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40" w:type="dxa"/>
            <w:vAlign w:val="bottom"/>
            <w:gridSpan w:val="2"/>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00" w:type="dxa"/>
            <w:vAlign w:val="bottom"/>
            <w:gridSpan w:val="2"/>
          </w:tcPr>
          <w:p>
            <w:pPr>
              <w:spacing w:after="0"/>
              <w:rPr>
                <w:sz w:val="20"/>
                <w:szCs w:val="20"/>
                <w:color w:val="auto"/>
              </w:rPr>
            </w:pPr>
            <w:r>
              <w:rPr>
                <w:rFonts w:ascii="Arial" w:cs="Arial" w:eastAsia="Arial" w:hAnsi="Arial"/>
                <w:sz w:val="18"/>
                <w:szCs w:val="18"/>
                <w:color w:val="auto"/>
              </w:rPr>
              <w:t>Date:</w:t>
            </w:r>
          </w:p>
        </w:tc>
        <w:tc>
          <w:tcPr>
            <w:tcW w:w="2840" w:type="dxa"/>
            <w:vAlign w:val="bottom"/>
            <w:gridSpan w:val="4"/>
          </w:tcPr>
          <w:p>
            <w:pPr>
              <w:ind w:left="20"/>
              <w:spacing w:after="0"/>
              <w:rPr>
                <w:sz w:val="20"/>
                <w:szCs w:val="20"/>
                <w:color w:val="auto"/>
              </w:rPr>
            </w:pPr>
            <w:r>
              <w:rPr>
                <w:rFonts w:ascii="Arial" w:cs="Arial" w:eastAsia="Arial" w:hAnsi="Arial"/>
                <w:sz w:val="18"/>
                <w:szCs w:val="18"/>
                <w:color w:val="auto"/>
              </w:rPr>
              <w:t>November 10, 2008</w:t>
            </w:r>
          </w:p>
        </w:tc>
        <w:tc>
          <w:tcPr>
            <w:tcW w:w="1940" w:type="dxa"/>
            <w:vAlign w:val="bottom"/>
          </w:tcPr>
          <w:p>
            <w:pPr>
              <w:ind w:left="162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40" w:type="dxa"/>
            <w:vAlign w:val="bottom"/>
            <w:gridSpan w:val="2"/>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8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9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 2002.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5"/>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3"/>
          </w:tcPr>
          <w:p>
            <w:pPr>
              <w:ind w:left="3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5"/>
          </w:tcPr>
          <w:p>
            <w:pPr>
              <w:spacing w:after="0"/>
              <w:rPr>
                <w:sz w:val="20"/>
                <w:szCs w:val="20"/>
                <w:color w:val="auto"/>
              </w:rPr>
            </w:pPr>
            <w:r>
              <w:rPr>
                <w:rFonts w:ascii="Arial" w:cs="Arial" w:eastAsia="Arial" w:hAnsi="Arial"/>
                <w:sz w:val="18"/>
                <w:szCs w:val="18"/>
                <w:color w:val="auto"/>
                <w:w w:val="97"/>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3"/>
          </w:tcPr>
          <w:p>
            <w:pPr>
              <w:ind w:left="3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60" w:type="dxa"/>
            <w:vAlign w:val="bottom"/>
            <w:gridSpan w:val="5"/>
          </w:tcPr>
          <w:p>
            <w:pPr>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7665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17"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268"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7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268"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80" w:hanging="624"/>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220" w:type="dxa"/>
            <w:vAlign w:val="bottom"/>
          </w:tcPr>
          <w:p>
            <w:pPr>
              <w:ind w:left="200"/>
              <w:spacing w:after="0"/>
              <w:rPr>
                <w:sz w:val="20"/>
                <w:szCs w:val="20"/>
                <w:color w:val="auto"/>
              </w:rPr>
            </w:pPr>
            <w:r>
              <w:rPr>
                <w:rFonts w:ascii="Arial" w:cs="Arial" w:eastAsia="Arial" w:hAnsi="Arial"/>
                <w:sz w:val="18"/>
                <w:szCs w:val="18"/>
                <w:color w:val="auto"/>
              </w:rPr>
              <w:t>November 10, 2008</w:t>
            </w:r>
          </w:p>
        </w:tc>
        <w:tc>
          <w:tcPr>
            <w:tcW w:w="2120" w:type="dxa"/>
            <w:vAlign w:val="bottom"/>
          </w:tcPr>
          <w:p>
            <w:pPr>
              <w:ind w:left="16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268"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7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268"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80" w:hanging="624"/>
        <w:spacing w:after="0"/>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200" w:type="dxa"/>
            <w:vAlign w:val="bottom"/>
          </w:tcPr>
          <w:p>
            <w:pPr>
              <w:ind w:left="180"/>
              <w:spacing w:after="0"/>
              <w:rPr>
                <w:sz w:val="20"/>
                <w:szCs w:val="20"/>
                <w:color w:val="auto"/>
              </w:rPr>
            </w:pPr>
            <w:r>
              <w:rPr>
                <w:rFonts w:ascii="Arial" w:cs="Arial" w:eastAsia="Arial" w:hAnsi="Arial"/>
                <w:sz w:val="18"/>
                <w:szCs w:val="18"/>
                <w:color w:val="auto"/>
              </w:rPr>
              <w:t>November 10, 2008</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2008,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400" w:hanging="644"/>
        <w:spacing w:after="0" w:line="277" w:lineRule="auto"/>
        <w:tabs>
          <w:tab w:leader="none" w:pos="1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W.M. “RUSTY” RUSH</w:t>
            </w:r>
          </w:p>
        </w:tc>
      </w:tr>
      <w:tr>
        <w:trPr>
          <w:trHeight w:val="195"/>
        </w:trPr>
        <w:tc>
          <w:tcPr>
            <w:tcW w:w="540" w:type="dxa"/>
            <w:vAlign w:val="bottom"/>
            <w:gridSpan w:val="2"/>
          </w:tcPr>
          <w:p>
            <w:pPr>
              <w:spacing w:after="0" w:line="195" w:lineRule="exact"/>
              <w:rPr>
                <w:sz w:val="20"/>
                <w:szCs w:val="20"/>
                <w:color w:val="auto"/>
              </w:rPr>
            </w:pPr>
            <w:r>
              <w:rPr>
                <w:rFonts w:ascii="Arial" w:cs="Arial" w:eastAsia="Arial" w:hAnsi="Arial"/>
                <w:sz w:val="18"/>
                <w:szCs w:val="18"/>
                <w:color w:val="auto"/>
                <w:w w:val="98"/>
              </w:rPr>
              <w:t>Name:</w:t>
            </w:r>
          </w:p>
        </w:tc>
        <w:tc>
          <w:tcPr>
            <w:tcW w:w="6240" w:type="dxa"/>
            <w:vAlign w:val="bottom"/>
          </w:tcPr>
          <w:p>
            <w:pPr>
              <w:ind w:left="8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62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6240" w:type="dxa"/>
            <w:vAlign w:val="bottom"/>
          </w:tcPr>
          <w:p>
            <w:pPr>
              <w:ind w:left="80"/>
              <w:spacing w:after="0"/>
              <w:rPr>
                <w:sz w:val="20"/>
                <w:szCs w:val="20"/>
                <w:color w:val="auto"/>
              </w:rPr>
            </w:pPr>
            <w:r>
              <w:rPr>
                <w:rFonts w:ascii="Arial" w:cs="Arial" w:eastAsia="Arial" w:hAnsi="Arial"/>
                <w:sz w:val="18"/>
                <w:szCs w:val="18"/>
                <w:color w:val="auto"/>
              </w:rPr>
              <w:t>November 10, 2008</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2008,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right="2480" w:hanging="644"/>
        <w:spacing w:after="0" w:line="277" w:lineRule="auto"/>
        <w:tabs>
          <w:tab w:leader="none" w:pos="131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00" w:right="2400" w:hanging="644"/>
        <w:spacing w:after="0" w:line="277" w:lineRule="auto"/>
        <w:tabs>
          <w:tab w:leader="none" w:pos="131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60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6000" w:type="dxa"/>
            <w:vAlign w:val="bottom"/>
          </w:tcPr>
          <w:p>
            <w:pPr>
              <w:spacing w:after="0"/>
              <w:rPr>
                <w:sz w:val="20"/>
                <w:szCs w:val="20"/>
                <w:color w:val="auto"/>
              </w:rPr>
            </w:pPr>
            <w:r>
              <w:rPr>
                <w:rFonts w:ascii="Arial" w:cs="Arial" w:eastAsia="Arial" w:hAnsi="Arial"/>
                <w:sz w:val="18"/>
                <w:szCs w:val="18"/>
                <w:color w:val="auto"/>
              </w:rPr>
              <w:t>November 10, 2008</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2019-12-14T08:23:06Z</dcterms:created>
  <dcterms:modified xsi:type="dcterms:W3CDTF">2019-12-14T08:23:06Z</dcterms:modified>
</cp:coreProperties>
</file>