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right="1900" w:firstLine="8"/>
        <w:spacing w:after="0" w:line="530" w:lineRule="auto"/>
        <w:tabs>
          <w:tab w:leader="none" w:pos="64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p>
      <w:pPr>
        <w:ind w:left="2600"/>
        <w:spacing w:after="0"/>
        <w:tabs>
          <w:tab w:leader="none" w:pos="7980" w:val="left"/>
        </w:tabs>
        <w:rPr>
          <w:sz w:val="20"/>
          <w:szCs w:val="20"/>
          <w:color w:val="auto"/>
        </w:rPr>
      </w:pPr>
      <w:r>
        <w:rPr>
          <w:rFonts w:ascii="Arial" w:cs="Arial" w:eastAsia="Arial" w:hAnsi="Arial"/>
          <w:sz w:val="18"/>
          <w:szCs w:val="18"/>
          <w:color w:val="auto"/>
        </w:rPr>
        <w:t>Texas</w:t>
      </w:r>
      <w:r>
        <w:rPr>
          <w:sz w:val="20"/>
          <w:szCs w:val="20"/>
          <w:color w:val="auto"/>
        </w:rPr>
        <w:tab/>
      </w:r>
      <w:r>
        <w:rPr>
          <w:rFonts w:ascii="Arial" w:cs="Arial" w:eastAsia="Arial" w:hAnsi="Arial"/>
          <w:sz w:val="18"/>
          <w:szCs w:val="18"/>
          <w:color w:val="auto"/>
        </w:rPr>
        <w:t>74-1733016</w:t>
      </w:r>
    </w:p>
    <w:p>
      <w:pPr>
        <w:spacing w:after="0" w:line="23" w:lineRule="exact"/>
        <w:rPr>
          <w:sz w:val="24"/>
          <w:szCs w:val="24"/>
          <w:color w:val="auto"/>
        </w:rPr>
      </w:pPr>
    </w:p>
    <w:p>
      <w:pPr>
        <w:ind w:left="1780"/>
        <w:spacing w:after="0"/>
        <w:tabs>
          <w:tab w:leader="none" w:pos="710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incorporation or organization)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740"/>
        <w:spacing w:after="0" w:line="207" w:lineRule="exact"/>
        <w:tabs>
          <w:tab w:leader="none" w:pos="71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5740"/>
        <w:spacing w:after="0" w:line="207" w:lineRule="exact"/>
        <w:tabs>
          <w:tab w:leader="none" w:pos="71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340"/>
        <w:spacing w:after="0" w:line="207" w:lineRule="exact"/>
        <w:tabs>
          <w:tab w:leader="none" w:pos="2800" w:val="left"/>
          <w:tab w:leader="none" w:pos="560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1" w:lineRule="exact"/>
        <w:rPr>
          <w:sz w:val="24"/>
          <w:szCs w:val="24"/>
          <w:color w:val="auto"/>
        </w:rPr>
      </w:pPr>
    </w:p>
    <w:p>
      <w:pPr>
        <w:ind w:left="86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20"/>
        <w:spacing w:after="0" w:line="207" w:lineRule="exact"/>
        <w:tabs>
          <w:tab w:leader="none" w:pos="7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1, 2020.</w:t>
      </w:r>
    </w:p>
    <w:p>
      <w:pPr>
        <w:spacing w:after="0" w:line="22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800" w:type="dxa"/>
            <w:vAlign w:val="bottom"/>
            <w:gridSpan w:val="3"/>
          </w:tcPr>
          <w:p>
            <w:pPr>
              <w:jc w:val="center"/>
              <w:ind w:left="1410"/>
              <w:spacing w:after="0"/>
              <w:rPr>
                <w:sz w:val="20"/>
                <w:szCs w:val="20"/>
                <w:color w:val="auto"/>
              </w:rPr>
            </w:pPr>
            <w:r>
              <w:rPr>
                <w:rFonts w:ascii="Arial" w:cs="Arial" w:eastAsia="Arial" w:hAnsi="Arial"/>
                <w:sz w:val="18"/>
                <w:szCs w:val="18"/>
                <w:color w:val="auto"/>
                <w:w w:val="88"/>
              </w:rPr>
              <w:t>Number of Shares</w:t>
            </w:r>
          </w:p>
        </w:tc>
      </w:tr>
      <w:tr>
        <w:trPr>
          <w:trHeight w:val="190"/>
        </w:trPr>
        <w:tc>
          <w:tcPr>
            <w:tcW w:w="2860" w:type="dxa"/>
            <w:vAlign w:val="bottom"/>
          </w:tcPr>
          <w:p>
            <w:pPr>
              <w:ind w:left="720"/>
              <w:spacing w:after="0" w:line="190" w:lineRule="exact"/>
              <w:rPr>
                <w:sz w:val="20"/>
                <w:szCs w:val="20"/>
                <w:color w:val="auto"/>
              </w:rPr>
            </w:pPr>
            <w:r>
              <w:rPr>
                <w:rFonts w:ascii="Arial" w:cs="Arial" w:eastAsia="Arial" w:hAnsi="Arial"/>
                <w:sz w:val="18"/>
                <w:szCs w:val="18"/>
                <w:color w:val="auto"/>
              </w:rPr>
              <w:t>Class</w:t>
            </w:r>
          </w:p>
        </w:tc>
        <w:tc>
          <w:tcPr>
            <w:tcW w:w="2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28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Class A Common Stock, $.01 Par Value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27,550,553</w:t>
            </w:r>
          </w:p>
        </w:tc>
        <w:tc>
          <w:tcPr>
            <w:tcW w:w="220" w:type="dxa"/>
            <w:vAlign w:val="bottom"/>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Class B Common Stock, $.01 Par Value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8,410,440</w:t>
            </w:r>
          </w:p>
        </w:tc>
        <w:tc>
          <w:tcPr>
            <w:tcW w:w="2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093585" cy="439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3585" cy="439420"/>
                    </a:xfrm>
                    <a:prstGeom prst="rect">
                      <a:avLst/>
                    </a:prstGeom>
                    <a:noFill/>
                  </pic:spPr>
                </pic:pic>
              </a:graphicData>
            </a:graphic>
          </wp:anchor>
        </w:drawing>
      </w:r>
    </w:p>
    <w:p>
      <w:pPr>
        <w:sectPr>
          <w:pgSz w:w="11900" w:h="16838" w:orient="portrait"/>
          <w:cols w:equalWidth="0" w:num="1">
            <w:col w:w="11240"/>
          </w:cols>
          <w:pgMar w:left="320" w:top="692" w:right="339" w:bottom="775" w:gutter="0" w:footer="0" w:header="0"/>
        </w:sectPr>
      </w:pPr>
    </w:p>
    <w:p>
      <w:pPr>
        <w:spacing w:after="0" w:line="215"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580" w:right="740" w:hanging="4"/>
        <w:spacing w:after="0" w:line="341" w:lineRule="auto"/>
        <w:rPr>
          <w:sz w:val="20"/>
          <w:szCs w:val="20"/>
          <w:color w:val="auto"/>
        </w:rPr>
      </w:pPr>
      <w:r>
        <w:rPr>
          <w:rFonts w:ascii="Arial" w:cs="Arial" w:eastAsia="Arial" w:hAnsi="Arial"/>
          <w:sz w:val="16"/>
          <w:szCs w:val="16"/>
          <w:color w:val="auto"/>
        </w:rPr>
        <w:t>Class A Common Stock, $0.01 par value Class B Common Stock, $0.01 par value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ind w:left="380"/>
        <w:spacing w:after="0"/>
        <w:rPr>
          <w:sz w:val="20"/>
          <w:szCs w:val="20"/>
          <w:color w:val="auto"/>
        </w:rPr>
      </w:pPr>
      <w:r>
        <w:rPr>
          <w:rFonts w:ascii="Arial" w:cs="Arial" w:eastAsia="Arial" w:hAnsi="Arial"/>
          <w:sz w:val="18"/>
          <w:szCs w:val="18"/>
          <w:color w:val="auto"/>
        </w:rPr>
        <w:t>RUSHA</w:t>
      </w:r>
    </w:p>
    <w:p>
      <w:pPr>
        <w:spacing w:after="0" w:line="23"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RUSHB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-3156585</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NASDAQ Global Select Market</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NASDAQ Global Select Market</w:t>
      </w:r>
    </w:p>
    <w:p>
      <w:pPr>
        <w:sectPr>
          <w:pgSz w:w="11900" w:h="16838" w:orient="portrait"/>
          <w:cols w:equalWidth="0" w:num="3">
            <w:col w:w="4260" w:space="720"/>
            <w:col w:w="1940" w:space="720"/>
            <w:col w:w="3600"/>
          </w:cols>
          <w:pgMar w:left="320" w:top="692" w:right="339" w:bottom="7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rFonts w:ascii="Arial" w:cs="Arial" w:eastAsia="Arial" w:hAnsi="Arial"/>
                <w:sz w:val="18"/>
                <w:szCs w:val="18"/>
                <w:u w:val="single" w:color="auto"/>
                <w:color w:val="0000EE"/>
                <w:w w:val="94"/>
              </w:rPr>
            </w:pPr>
            <w:hyperlink w:anchor="page2">
              <w:r>
                <w:rPr>
                  <w:rFonts w:ascii="Arial" w:cs="Arial" w:eastAsia="Arial" w:hAnsi="Arial"/>
                  <w:sz w:val="18"/>
                  <w:szCs w:val="18"/>
                  <w:u w:val="single" w:color="auto"/>
                  <w:color w:val="0000EE"/>
                  <w:w w:val="94"/>
                </w:rPr>
                <w:t>Table of Contents</w:t>
              </w:r>
            </w:hyperlink>
          </w:p>
        </w:tc>
        <w:tc>
          <w:tcPr>
            <w:tcW w:w="8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18"/>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8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8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0"/>
        </w:trPr>
        <w:tc>
          <w:tcPr>
            <w:tcW w:w="10860" w:type="dxa"/>
            <w:vAlign w:val="bottom"/>
            <w:gridSpan w:val="4"/>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453"/>
        </w:trPr>
        <w:tc>
          <w:tcPr>
            <w:tcW w:w="1360" w:type="dxa"/>
            <w:vAlign w:val="bottom"/>
          </w:tcPr>
          <w:p>
            <w:pPr>
              <w:ind w:left="660"/>
              <w:spacing w:after="0"/>
              <w:rPr>
                <w:sz w:val="20"/>
                <w:szCs w:val="20"/>
                <w:color w:val="auto"/>
              </w:rPr>
            </w:pPr>
            <w:r>
              <w:rPr>
                <w:rFonts w:ascii="Arial" w:cs="Arial" w:eastAsia="Arial" w:hAnsi="Arial"/>
                <w:sz w:val="18"/>
                <w:szCs w:val="18"/>
                <w:color w:val="auto"/>
              </w:rPr>
              <w:t>Item 1.</w:t>
            </w:r>
          </w:p>
        </w:tc>
        <w:tc>
          <w:tcPr>
            <w:tcW w:w="95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Financial Statements</w:t>
              </w:r>
            </w:hyperlink>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5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March 31, 2020 (unaudited) and December 31, 2019</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92"/>
        </w:trPr>
        <w:tc>
          <w:tcPr>
            <w:tcW w:w="1360" w:type="dxa"/>
            <w:vAlign w:val="bottom"/>
          </w:tcPr>
          <w:p>
            <w:pPr>
              <w:spacing w:after="0"/>
              <w:rPr>
                <w:sz w:val="24"/>
                <w:szCs w:val="24"/>
                <w:color w:val="auto"/>
              </w:rPr>
            </w:pPr>
          </w:p>
        </w:tc>
        <w:tc>
          <w:tcPr>
            <w:tcW w:w="87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and Comprehensive Income - For the Three Months Ended March 31, 2020 and 2019</w:t>
              </w:r>
            </w:hyperlink>
          </w:p>
        </w:tc>
        <w:tc>
          <w:tcPr>
            <w:tcW w:w="7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196"/>
        </w:trPr>
        <w:tc>
          <w:tcPr>
            <w:tcW w:w="1360" w:type="dxa"/>
            <w:vAlign w:val="bottom"/>
          </w:tcPr>
          <w:p>
            <w:pPr>
              <w:spacing w:after="0"/>
              <w:rPr>
                <w:sz w:val="17"/>
                <w:szCs w:val="17"/>
                <w:color w:val="auto"/>
              </w:rPr>
            </w:pPr>
          </w:p>
        </w:tc>
        <w:tc>
          <w:tcPr>
            <w:tcW w:w="9500" w:type="dxa"/>
            <w:vAlign w:val="bottom"/>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6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453"/>
        </w:trPr>
        <w:tc>
          <w:tcPr>
            <w:tcW w:w="1360" w:type="dxa"/>
            <w:vAlign w:val="bottom"/>
          </w:tcPr>
          <w:p>
            <w:pPr>
              <w:spacing w:after="0"/>
              <w:rPr>
                <w:sz w:val="24"/>
                <w:szCs w:val="24"/>
                <w:color w:val="auto"/>
              </w:rPr>
            </w:pPr>
          </w:p>
        </w:tc>
        <w:tc>
          <w:tcPr>
            <w:tcW w:w="950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Three Months Ended March 31, 2020 and 2019 (unaudited)</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432"/>
        </w:trPr>
        <w:tc>
          <w:tcPr>
            <w:tcW w:w="1360" w:type="dxa"/>
            <w:vAlign w:val="bottom"/>
          </w:tcPr>
          <w:p>
            <w:pPr>
              <w:spacing w:after="0"/>
              <w:rPr>
                <w:sz w:val="24"/>
                <w:szCs w:val="24"/>
                <w:color w:val="auto"/>
              </w:rPr>
            </w:pPr>
          </w:p>
        </w:tc>
        <w:tc>
          <w:tcPr>
            <w:tcW w:w="950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Consolidated Financial Statements (unaudited)</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2.</w:t>
            </w:r>
          </w:p>
        </w:tc>
        <w:tc>
          <w:tcPr>
            <w:tcW w:w="9500" w:type="dxa"/>
            <w:vAlign w:val="bottom"/>
            <w:gridSpan w:val="3"/>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3.</w:t>
            </w:r>
          </w:p>
        </w:tc>
        <w:tc>
          <w:tcPr>
            <w:tcW w:w="950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Quantitative and Qualitative Disclosures About Market Risk</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4.</w:t>
            </w:r>
          </w:p>
        </w:tc>
        <w:tc>
          <w:tcPr>
            <w:tcW w:w="950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Controls and Procedures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864"/>
        </w:trPr>
        <w:tc>
          <w:tcPr>
            <w:tcW w:w="10860" w:type="dxa"/>
            <w:vAlign w:val="bottom"/>
            <w:gridSpan w:val="4"/>
          </w:tcPr>
          <w:p>
            <w:pPr>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PART II. OTHER INFORMATION</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1.</w:t>
            </w:r>
          </w:p>
        </w:tc>
        <w:tc>
          <w:tcPr>
            <w:tcW w:w="950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1A.</w:t>
            </w:r>
          </w:p>
        </w:tc>
        <w:tc>
          <w:tcPr>
            <w:tcW w:w="9500" w:type="dxa"/>
            <w:vAlign w:val="bottom"/>
            <w:gridSpan w:val="3"/>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2.</w:t>
            </w:r>
          </w:p>
        </w:tc>
        <w:tc>
          <w:tcPr>
            <w:tcW w:w="950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Unregistered Sales of Equity Securities and Use of Proceeds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3.</w:t>
            </w:r>
          </w:p>
        </w:tc>
        <w:tc>
          <w:tcPr>
            <w:tcW w:w="950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4.</w:t>
            </w:r>
          </w:p>
        </w:tc>
        <w:tc>
          <w:tcPr>
            <w:tcW w:w="950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5.</w:t>
            </w:r>
          </w:p>
        </w:tc>
        <w:tc>
          <w:tcPr>
            <w:tcW w:w="950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432"/>
        </w:trPr>
        <w:tc>
          <w:tcPr>
            <w:tcW w:w="1360" w:type="dxa"/>
            <w:vAlign w:val="bottom"/>
          </w:tcPr>
          <w:p>
            <w:pPr>
              <w:ind w:left="660"/>
              <w:spacing w:after="0"/>
              <w:rPr>
                <w:sz w:val="20"/>
                <w:szCs w:val="20"/>
                <w:color w:val="auto"/>
              </w:rPr>
            </w:pPr>
            <w:r>
              <w:rPr>
                <w:rFonts w:ascii="Arial" w:cs="Arial" w:eastAsia="Arial" w:hAnsi="Arial"/>
                <w:sz w:val="18"/>
                <w:szCs w:val="18"/>
                <w:color w:val="auto"/>
              </w:rPr>
              <w:t>Item 6.</w:t>
            </w:r>
          </w:p>
        </w:tc>
        <w:tc>
          <w:tcPr>
            <w:tcW w:w="950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432"/>
        </w:trPr>
        <w:tc>
          <w:tcPr>
            <w:tcW w:w="1360" w:type="dxa"/>
            <w:vAlign w:val="bottom"/>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SIGNATURES</w:t>
              </w:r>
            </w:hyperlink>
          </w:p>
        </w:tc>
        <w:tc>
          <w:tcPr>
            <w:tcW w:w="8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432"/>
        </w:trPr>
        <w:tc>
          <w:tcPr>
            <w:tcW w:w="1360" w:type="dxa"/>
            <w:vAlign w:val="bottom"/>
          </w:tcPr>
          <w:p>
            <w:pPr>
              <w:spacing w:after="0"/>
              <w:rPr>
                <w:sz w:val="24"/>
                <w:szCs w:val="24"/>
                <w:color w:val="auto"/>
              </w:rPr>
            </w:pPr>
          </w:p>
        </w:tc>
        <w:tc>
          <w:tcPr>
            <w:tcW w:w="8760" w:type="dxa"/>
            <w:vAlign w:val="bottom"/>
            <w:gridSpan w:val="2"/>
          </w:tcPr>
          <w:p>
            <w:pPr>
              <w:jc w:val="center"/>
              <w:ind w:right="150"/>
              <w:spacing w:after="0"/>
              <w:rPr>
                <w:sz w:val="20"/>
                <w:szCs w:val="20"/>
                <w:color w:val="auto"/>
              </w:rPr>
            </w:pPr>
            <w:r>
              <w:rPr>
                <w:rFonts w:ascii="Arial" w:cs="Arial" w:eastAsia="Arial" w:hAnsi="Arial"/>
                <w:sz w:val="18"/>
                <w:szCs w:val="18"/>
                <w:color w:val="auto"/>
                <w:w w:val="79"/>
              </w:rPr>
              <w:t>2</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9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324"/>
        </w:trPr>
        <w:tc>
          <w:tcPr>
            <w:tcW w:w="1360" w:type="dxa"/>
            <w:vAlign w:val="bottom"/>
          </w:tcPr>
          <w:p>
            <w:pPr>
              <w:spacing w:after="0"/>
              <w:rPr>
                <w:rFonts w:ascii="Arial" w:cs="Arial" w:eastAsia="Arial" w:hAnsi="Arial"/>
                <w:sz w:val="18"/>
                <w:szCs w:val="18"/>
                <w:u w:val="single" w:color="auto"/>
                <w:color w:val="0000EE"/>
                <w:w w:val="94"/>
              </w:rPr>
            </w:pPr>
            <w:hyperlink w:anchor="page2">
              <w:r>
                <w:rPr>
                  <w:rFonts w:ascii="Arial" w:cs="Arial" w:eastAsia="Arial" w:hAnsi="Arial"/>
                  <w:sz w:val="18"/>
                  <w:szCs w:val="18"/>
                  <w:u w:val="single" w:color="auto"/>
                  <w:color w:val="0000EE"/>
                  <w:w w:val="94"/>
                </w:rPr>
                <w:t>Table of Contents</w:t>
              </w:r>
            </w:hyperlink>
          </w:p>
        </w:tc>
        <w:tc>
          <w:tcPr>
            <w:tcW w:w="8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-213995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181,620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 (less allowances for credit losses of $1,679 and $1,424, respectively)</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214,597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183,704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1,326,080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14,726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20,728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1,557,601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1,712,551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1,276,055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1,279,931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57,197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r>
    </w:tbl>
    <w:p>
      <w:pPr>
        <w:sectPr>
          <w:pgSz w:w="11900" w:h="16838" w:orient="portrait"/>
          <w:cols w:equalWidth="0" w:num="1">
            <w:col w:w="11240"/>
          </w:cols>
          <w:pgMar w:left="320" w:top="125"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Other assets, net</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65,508</w:t>
            </w:r>
          </w:p>
        </w:tc>
        <w:tc>
          <w:tcPr>
            <w:tcW w:w="100" w:type="dxa"/>
            <w:vAlign w:val="bottom"/>
          </w:tcPr>
          <w:p>
            <w:pPr>
              <w:spacing w:after="0"/>
              <w:rPr>
                <w:sz w:val="20"/>
                <w:szCs w:val="20"/>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3,242,658</w:t>
            </w: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3,407,329</w:t>
            </w:r>
          </w:p>
        </w:tc>
      </w:tr>
      <w:tr>
        <w:trPr>
          <w:trHeight w:val="197"/>
        </w:trPr>
        <w:tc>
          <w:tcPr>
            <w:tcW w:w="7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Floor plan notes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888,680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996,336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debt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183,727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189,265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10,114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133,697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Customer deposits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42,695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1,351,844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1,507,389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438,413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Finance lease obligations, net of current maturities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69,478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20,704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164,297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2020 and</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authorized; 27,532,890 Class A shares and 8,410,440 Class B shares outstanding in 2020; and</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27,953,648 Class A shares and 8,240,486 Class B shares outstanding in 2019</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397,267</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Treasury stock, at cost: 5,610,906 Class A shares and 5,360,832 Class B shares in 2020 and 5,055,783</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Class A shares and 5,306,341 Class B shares in 2019</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(324,031)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(304,129)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1,083,906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1,065,553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1,165,476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3,242,658</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3,407,329</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New and used commercial vehicle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789,554</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838,283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Parts and service sales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438,354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 and rental</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60,781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59,433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1,348,317</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728,539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768,417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Parts and service sales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271,415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273,189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and rental</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cost of products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185,074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187,181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56,867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entities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12,454</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37,104</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r>
    </w:tbl>
    <w:p>
      <w:pPr>
        <w:sectPr>
          <w:pgSz w:w="11900" w:h="16900" w:orient="portrait"/>
          <w:cols w:equalWidth="0" w:num="1">
            <w:col w:w="11240"/>
          </w:cols>
          <w:pgMar w:left="320" w:top="125" w:right="339" w:bottom="0" w:gutter="0" w:footer="0" w:header="0"/>
        </w:sectPr>
      </w:pPr>
    </w:p>
    <w:bookmarkStart w:id="3" w:name="page4"/>
    <w:bookmarkEnd w:id="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36,485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36,817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37,834</w:t>
            </w:r>
          </w:p>
        </w:tc>
      </w:t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7"/>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7"/>
          </w:tcPr>
          <w:p>
            <w:pPr>
              <w:jc w:val="center"/>
              <w:ind w:right="22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right="50"/>
              <w:spacing w:after="0"/>
              <w:rPr>
                <w:sz w:val="20"/>
                <w:szCs w:val="20"/>
                <w:color w:val="auto"/>
              </w:rPr>
            </w:pPr>
            <w:r>
              <w:rPr>
                <w:rFonts w:ascii="Arial" w:cs="Arial" w:eastAsia="Arial" w:hAnsi="Arial"/>
                <w:sz w:val="18"/>
                <w:szCs w:val="18"/>
                <w:color w:val="auto"/>
                <w:w w:val="88"/>
              </w:rPr>
              <w:t>$0.01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auto"/>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7"/>
          </w:tcPr>
          <w:p>
            <w:pPr>
              <w:jc w:val="center"/>
              <w:ind w:right="22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right="360"/>
              <w:spacing w:after="0"/>
              <w:rPr>
                <w:sz w:val="20"/>
                <w:szCs w:val="20"/>
                <w:color w:val="auto"/>
              </w:rPr>
            </w:pPr>
            <w:r>
              <w:rPr>
                <w:rFonts w:ascii="Arial" w:cs="Arial" w:eastAsia="Arial" w:hAnsi="Arial"/>
                <w:sz w:val="18"/>
                <w:szCs w:val="18"/>
                <w:color w:val="auto"/>
                <w:w w:val="85"/>
              </w:rPr>
              <w:t>Par</w:t>
            </w:r>
          </w:p>
        </w:tc>
        <w:tc>
          <w:tcPr>
            <w:tcW w:w="60" w:type="dxa"/>
            <w:vAlign w:val="bottom"/>
          </w:tcPr>
          <w:p>
            <w:pPr>
              <w:spacing w:after="0"/>
              <w:rPr>
                <w:sz w:val="20"/>
                <w:szCs w:val="20"/>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Paid-In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84"/>
              </w:rPr>
              <w:t>Treasury</w:t>
            </w:r>
          </w:p>
        </w:tc>
        <w:tc>
          <w:tcPr>
            <w:tcW w:w="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Retained</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Comprehensive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0"/>
              </w:rPr>
              <w:t>Class A</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Class B</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18"/>
                <w:szCs w:val="18"/>
                <w:color w:val="auto"/>
              </w:rPr>
            </w:pPr>
          </w:p>
        </w:tc>
        <w:tc>
          <w:tcPr>
            <w:tcW w:w="880" w:type="dxa"/>
            <w:vAlign w:val="bottom"/>
            <w:gridSpan w:val="4"/>
          </w:tcPr>
          <w:p>
            <w:pPr>
              <w:jc w:val="right"/>
              <w:ind w:right="300"/>
              <w:spacing w:after="0"/>
              <w:rPr>
                <w:sz w:val="20"/>
                <w:szCs w:val="20"/>
                <w:color w:val="auto"/>
              </w:rPr>
            </w:pPr>
            <w:r>
              <w:rPr>
                <w:rFonts w:ascii="Arial" w:cs="Arial" w:eastAsia="Arial" w:hAnsi="Arial"/>
                <w:sz w:val="18"/>
                <w:szCs w:val="18"/>
                <w:color w:val="auto"/>
                <w:w w:val="99"/>
              </w:rPr>
              <w:t>Capital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Earnings</w:t>
            </w: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10"/>
        </w:trPr>
        <w:tc>
          <w:tcPr>
            <w:tcW w:w="3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27,954</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8,240</w:t>
            </w:r>
          </w:p>
        </w:tc>
        <w:tc>
          <w:tcPr>
            <w:tcW w:w="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397,267</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(304,129)</w:t>
            </w:r>
          </w:p>
        </w:tc>
        <w:tc>
          <w:tcPr>
            <w:tcW w:w="1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$ 1,065,553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$ 1,159,493</w:t>
            </w:r>
          </w:p>
        </w:tc>
      </w:tr>
      <w:tr>
        <w:trPr>
          <w:trHeight w:val="216"/>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5"/>
              </w:rPr>
              <w:t>Stock options exercised and stock awards</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related to stock</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w w:val="94"/>
              </w:rPr>
              <w:t>options, restricted shares and employee</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4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8,553</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(2,414)</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(19,902)</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Dividend Class A common stock</w:t>
            </w:r>
          </w:p>
        </w:tc>
        <w:tc>
          <w:tcPr>
            <w:tcW w:w="4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(3,646)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(3,646)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B common stock</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(1,930)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(1,930)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23,107</w:t>
            </w:r>
          </w:p>
        </w:tc>
      </w:tr>
      <w:tr>
        <w:trPr>
          <w:trHeight w:val="210"/>
        </w:trPr>
        <w:tc>
          <w:tcPr>
            <w:tcW w:w="32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27,533</w:t>
            </w:r>
          </w:p>
        </w:tc>
        <w:tc>
          <w:tcPr>
            <w:tcW w:w="1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8,410</w:t>
            </w:r>
          </w:p>
        </w:tc>
        <w:tc>
          <w:tcPr>
            <w:tcW w:w="12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469</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406,725</w:t>
            </w:r>
          </w:p>
        </w:tc>
        <w:tc>
          <w:tcPr>
            <w:tcW w:w="10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(324,031)</w:t>
            </w:r>
          </w:p>
        </w:tc>
        <w:tc>
          <w:tcPr>
            <w:tcW w:w="16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$ 1,083,906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$ 1,165,476</w:t>
            </w:r>
          </w:p>
        </w:tc>
      </w:tr>
      <w:tr>
        <w:trPr>
          <w:trHeight w:val="614"/>
        </w:trPr>
        <w:tc>
          <w:tcPr>
            <w:tcW w:w="32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7"/>
          </w:tcPr>
          <w:p>
            <w:pPr>
              <w:jc w:val="center"/>
              <w:ind w:right="120"/>
              <w:spacing w:after="0"/>
              <w:rPr>
                <w:sz w:val="20"/>
                <w:szCs w:val="20"/>
                <w:color w:val="auto"/>
              </w:rPr>
            </w:pPr>
            <w:r>
              <w:rPr>
                <w:rFonts w:ascii="Arial" w:cs="Arial" w:eastAsia="Arial" w:hAnsi="Arial"/>
                <w:sz w:val="18"/>
                <w:szCs w:val="18"/>
                <w:color w:val="auto"/>
                <w:w w:val="92"/>
              </w:rPr>
              <w:t>Common Stock</w:t>
            </w: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7"/>
          </w:tcPr>
          <w:p>
            <w:pPr>
              <w:jc w:val="center"/>
              <w:ind w:right="100"/>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ind w:left="60"/>
              <w:spacing w:after="0"/>
              <w:rPr>
                <w:sz w:val="20"/>
                <w:szCs w:val="20"/>
                <w:color w:val="auto"/>
              </w:rPr>
            </w:pPr>
            <w:r>
              <w:rPr>
                <w:rFonts w:ascii="Arial" w:cs="Arial" w:eastAsia="Arial" w:hAnsi="Arial"/>
                <w:sz w:val="18"/>
                <w:szCs w:val="18"/>
                <w:color w:val="auto"/>
              </w:rPr>
              <w:t>Additional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8"/>
                <w:szCs w:val="18"/>
                <w:color w:val="auto"/>
                <w:w w:val="85"/>
              </w:rPr>
              <w:t>Par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Paid-In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Treasury</w:t>
            </w:r>
          </w:p>
        </w:tc>
        <w:tc>
          <w:tcPr>
            <w:tcW w:w="6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Retained</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Comprehensive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96"/>
              </w:rPr>
              <w:t>Class A</w:t>
            </w: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3"/>
              </w:rPr>
              <w:t>Class B</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Capital</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Earnings</w:t>
            </w: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09"/>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28,710</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8,290</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370,025</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 (245,842)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942,287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$ 1,066,928</w:t>
            </w:r>
          </w:p>
        </w:tc>
      </w:tr>
      <w:tr>
        <w:trPr>
          <w:trHeight w:val="216"/>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5"/>
              </w:rPr>
              <w:t>Stock options exercised and stock awards</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related to stock</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20" w:type="dxa"/>
            <w:vAlign w:val="bottom"/>
          </w:tcPr>
          <w:p>
            <w:pPr>
              <w:ind w:left="180"/>
              <w:spacing w:after="0"/>
              <w:rPr>
                <w:sz w:val="20"/>
                <w:szCs w:val="20"/>
                <w:color w:val="auto"/>
              </w:rPr>
            </w:pPr>
            <w:r>
              <w:rPr>
                <w:rFonts w:ascii="Arial" w:cs="Arial" w:eastAsia="Arial" w:hAnsi="Arial"/>
                <w:sz w:val="18"/>
                <w:szCs w:val="18"/>
                <w:color w:val="auto"/>
                <w:w w:val="94"/>
              </w:rPr>
              <w:t>options, restricted shares and employee</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4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8,836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(2,315)</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w w:val="92"/>
              </w:rPr>
              <w:t>Issuance of common stock under employee</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stock purchase plan</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(26,048)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(26,048)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Dividend Class A common stock</w:t>
            </w:r>
          </w:p>
        </w:tc>
        <w:tc>
          <w:tcPr>
            <w:tcW w:w="4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(3,389)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(3,389)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Dividend Class B common stock</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37,104</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56"/>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2019</w:t>
            </w:r>
          </w:p>
        </w:tc>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28,187</w:t>
            </w:r>
          </w:p>
        </w:tc>
        <w:tc>
          <w:tcPr>
            <w:tcW w:w="82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8,463</w:t>
            </w:r>
          </w:p>
        </w:tc>
        <w:tc>
          <w:tcPr>
            <w:tcW w:w="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462</w:t>
            </w:r>
          </w:p>
        </w:tc>
        <w:tc>
          <w:tcPr>
            <w:tcW w:w="18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379,454</w:t>
            </w:r>
          </w:p>
        </w:tc>
        <w:tc>
          <w:tcPr>
            <w:tcW w:w="10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 (271,890)</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975,011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$ 1,083,421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ectPr>
          <w:pgSz w:w="11900" w:h="16841" w:orient="portrait"/>
          <w:cols w:equalWidth="0" w:num="1">
            <w:col w:w="11240"/>
          </w:cols>
          <w:pgMar w:left="320" w:top="356" w:right="3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23,107</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37,104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45,192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41,764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sale of property and equipment,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w w:val="91"/>
              </w:rPr>
              <w:t>Stock-based compensation expense related to employee stock options and employee stock purchases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deferred income tax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accounts receivable,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(30,893)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(10,214)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inventories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(106,323)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(Payments) draws on floor plan notes payable – trade,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(15,077)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customer deposits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accrued expenses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(15,257)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(21,233)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(39,255)</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(59,853)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acquisitions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equity method investment and call option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(22,567)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(47,333)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(89,240)</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draws on floor plan notes payable – non-trade,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28,226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37,858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line of credit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(45,450)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(43,024)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w w:val="97"/>
              </w:rPr>
              <w:t>Proceeds from issuance of shares relating to employee stock options and employee stock purchases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cash dividends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Common stock repurchased</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(19,902)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(25,616)</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123,341</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(44,080)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(5,154)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131,726</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137,540</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126,572</w:t>
            </w:r>
          </w:p>
        </w:tc>
      </w:tr>
      <w:tr>
        <w:trPr>
          <w:trHeight w:val="196"/>
        </w:trPr>
        <w:tc>
          <w:tcPr>
            <w:tcW w:w="8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12,556</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Income taxes paid (refunded),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6,589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Assets acquired under finance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12,673</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5,750</w:t>
            </w:r>
          </w:p>
        </w:tc>
      </w:tr>
    </w:tbl>
    <w:p>
      <w:pPr>
        <w:spacing w:after="0" w:line="18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2019. Results of operations for interim periods are not necessarily indicative of results that may be expected for any other interim periods or the full fiscal year.</w:t>
      </w:r>
    </w:p>
    <w:p>
      <w:pPr>
        <w:sectPr>
          <w:pgSz w:w="11900" w:h="16838" w:orient="portrait"/>
          <w:cols w:equalWidth="0" w:num="1">
            <w:col w:w="11240"/>
          </w:cols>
          <w:pgMar w:left="320" w:top="125"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Accounting Standards Update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was issued in June 2016. Under Topic 326, existing guidance on reporting credit losses for trade and other receivables, held-to-maturity debt securities, and other instruments have been replaced with a new forward-looking "expected loss" model that has resulted in the earlier recognition of allowances for losses. Under Topic 326, the Company is required to use a current expected credit loss (“CECL”) model that immediately recognizes an estimate of credit losses that are expected to occur over the life of the financial instruments that are in the scope of the update. The CECL model uses a broader range of reasonable and supportable information in the development of credit loss estimates. The Company adopted Topic 326 during the quarter ended March 31, 2020, and the new standard did not result in a material impact on its consolidated financial statements. For a complete discussion of accounting for credit losses, see Note 13 – Accounts Receivable and Allowance for Credit Losses of the Notes to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2020, the World Health Organization declared the disease caused by the novel strain of coronavirus (“COVID-19”) a global pandemic, and the President of the United States declared the COVID-19 outbreak a national emergency. The Company’s nationwide network of commercial vehicle dealerships are classified as “essential businesses” and have remained operational across the Company’s dealership network. The Company is monitoring the COVID-19 pandemic, and although operations were not materially affected as of the quarter ended March 31, 2020, the Company is unable to predict the impact that the COVID-19 pandemic will have on its future business and operating results due to numerous uncertainties, including the duration and severity of the outbreak.</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total capitalized costs of the Company’s SAP enterprise resource planning software platform (“the ERP Platform”) of $8.4 million are recorded on the Consolidated Balance Sheet in Other Assets. Amortization expense relating to the ERP Platform, which is recognized in depreciation and amortization expense in the Consolidated Statements of Income and Comprehensive Income, was $0.5 million for the three months ended March 31, 2020 and $0.5 million for the three months ended March 31, 2019. The Company estimates that amortization expense relating to the ERP Platform will be approximately $1.5 million for the next year and $1.2 million for each of the next four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as of March 31, 2020 and December 31, 2019,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impairment write 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March 31, 2020, and is reported in Other Assets on the Consolidated Balance Sheet.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$4.7 million as of March 31, 2020 and December 31, 2019 and is included in the investment in RTC Canada. As of March 31, 2020, the Company’s investment in RTC Canada is $24.4 million. The Company’s equity income in RTC Canada is included in Other income on the Consolidated Statements of Income.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Goodwill</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applies a fair value-based impairment test to the carrying value of goodwill on an annual basis in the fourth quarter, and if certain events or circumstances indicate that an impairment loss may have been incurred, on an interim basis. Due to the COVID-19 pandemic, the Company quantitatively assessed whether it was more likely than not that goodwill was impaired as of March 31, 2020. The Company reviewed its previous estimates and assumptions based on its current projections that are subject to various risks and uncertainties, including estimated revenues, expenses and cash flows, in addition to the duration of the COVID-19 pandemic. Based on the Company’s interim impairment assessment as of March 31, 2020, it has determined that its goodwill is not impaired. However, the Company is unable to predict how long its business will be affected by the COVID-19 pandemic, what additional measures may be introduced by governments or what effect any such additional measures may have on its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Commitments and Contingencies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72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 –</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available to common shareholders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23,107</w:t>
            </w:r>
          </w:p>
        </w:tc>
        <w:tc>
          <w:tcPr>
            <w:tcW w:w="11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37,104</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Denominator for basic earnings per share – weighted average shares outstanding</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36,485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36,817</w:t>
            </w:r>
          </w:p>
        </w:tc>
        <w:tc>
          <w:tcPr>
            <w:tcW w:w="0" w:type="dxa"/>
            <w:vAlign w:val="bottom"/>
          </w:tcPr>
          <w:p>
            <w:pPr>
              <w:spacing w:after="0"/>
              <w:rPr>
                <w:sz w:val="1"/>
                <w:szCs w:val="1"/>
                <w:color w:val="auto"/>
              </w:rPr>
            </w:pP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00" w:type="dxa"/>
            <w:vAlign w:val="bottom"/>
          </w:tcPr>
          <w:p>
            <w:pPr>
              <w:ind w:left="160"/>
              <w:spacing w:after="0" w:line="195" w:lineRule="exact"/>
              <w:rPr>
                <w:sz w:val="20"/>
                <w:szCs w:val="20"/>
                <w:color w:val="auto"/>
              </w:rPr>
            </w:pPr>
            <w:r>
              <w:rPr>
                <w:rFonts w:ascii="Arial" w:cs="Arial" w:eastAsia="Arial" w:hAnsi="Arial"/>
                <w:sz w:val="18"/>
                <w:szCs w:val="18"/>
                <w:color w:val="auto"/>
                <w:w w:val="94"/>
              </w:rPr>
              <w:t>Denominator for diluted earnings per share – adjusted weighted average shares</w:t>
            </w:r>
          </w:p>
        </w:tc>
        <w:tc>
          <w:tcPr>
            <w:tcW w:w="10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37,326</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4"/>
              </w:rPr>
              <w:t>37,834</w:t>
            </w:r>
          </w:p>
        </w:tc>
        <w:tc>
          <w:tcPr>
            <w:tcW w:w="0" w:type="dxa"/>
            <w:vAlign w:val="bottom"/>
          </w:tcPr>
          <w:p>
            <w:pPr>
              <w:spacing w:after="0"/>
              <w:rPr>
                <w:sz w:val="1"/>
                <w:szCs w:val="1"/>
                <w:color w:val="auto"/>
              </w:rPr>
            </w:pPr>
          </w:p>
        </w:tc>
      </w:tr>
      <w:tr>
        <w:trPr>
          <w:trHeight w:val="190"/>
        </w:trPr>
        <w:tc>
          <w:tcPr>
            <w:tcW w:w="6200" w:type="dxa"/>
            <w:vAlign w:val="bottom"/>
          </w:tcPr>
          <w:p>
            <w:pPr>
              <w:ind w:left="320"/>
              <w:spacing w:after="0" w:line="190" w:lineRule="exact"/>
              <w:rPr>
                <w:sz w:val="20"/>
                <w:szCs w:val="20"/>
                <w:color w:val="auto"/>
              </w:rPr>
            </w:pPr>
            <w:r>
              <w:rPr>
                <w:rFonts w:ascii="Arial" w:cs="Arial" w:eastAsia="Arial" w:hAnsi="Arial"/>
                <w:sz w:val="18"/>
                <w:szCs w:val="18"/>
                <w:color w:val="auto"/>
              </w:rPr>
              <w:t>outstanding and assumed conversions</w:t>
            </w:r>
          </w:p>
        </w:tc>
        <w:tc>
          <w:tcPr>
            <w:tcW w:w="10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000" w:type="dxa"/>
            <w:vAlign w:val="bottom"/>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1000" w:type="dxa"/>
            <w:vAlign w:val="bottom"/>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0.62</w:t>
            </w:r>
          </w:p>
        </w:tc>
        <w:tc>
          <w:tcPr>
            <w:tcW w:w="180" w:type="dxa"/>
            <w:vAlign w:val="bottom"/>
          </w:tcPr>
          <w:p>
            <w:pPr>
              <w:spacing w:after="0"/>
              <w:rPr>
                <w:sz w:val="17"/>
                <w:szCs w:val="17"/>
                <w:color w:val="auto"/>
              </w:rPr>
            </w:pPr>
          </w:p>
        </w:tc>
        <w:tc>
          <w:tcPr>
            <w:tcW w:w="1000" w:type="dxa"/>
            <w:vAlign w:val="bottom"/>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three months ended March 31, 2020 and 2019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March 31,</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31,</w:t>
            </w:r>
          </w:p>
        </w:tc>
      </w:tr>
      <w:tr>
        <w:trPr>
          <w:trHeight w:val="230"/>
        </w:trPr>
        <w:tc>
          <w:tcPr>
            <w:tcW w:w="620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anti-dilutive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w:t>
            </w:r>
          </w:p>
        </w:tc>
      </w:tr>
      <w:tr>
        <w:trPr>
          <w:trHeight w:val="20"/>
        </w:trPr>
        <w:tc>
          <w:tcPr>
            <w:tcW w:w="62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ASC 718-10,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the measurement and recognition of compensation expense for all share-based payment awards made to our employees and directors, including employee stock options, restricted stock unit awards, restricted stock awards and employee stock purchases related to the Employee Stock Purchase Plan based on estimated fair values.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$8.6 million for the three months ended March 31, 2020, and $8.8 million for the three months ended March 31, 2019.</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2020, the Company had $11.0 million of unrecognized compensation cost related to non-vested employee stock options to be recognized over a weighted-average period of 2.5 years and $13.4 million of unrecognized compensation cost related to non-vested restricted stock units and restricted stock awards to be recognized over a weighted-average period of 1.6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Financial Instruments and Fair Value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March 31, 2020, and December 31, 2019. The carrying value of current assets and current liabilities approximates the fair value due to the short maturity of these items.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Segment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March 31, 2020 and 2019 (in thousands):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Truck</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Segment</w:t>
            </w:r>
          </w:p>
        </w:tc>
        <w:tc>
          <w:tcPr>
            <w:tcW w:w="2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Totals</w:t>
            </w:r>
          </w:p>
        </w:tc>
      </w:tr>
      <w:tr>
        <w:trPr>
          <w:trHeight w:val="209"/>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2020</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1,283,379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3,284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1,286,663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35,451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31,993</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31,669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3,203,704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3,242,658</w:t>
            </w:r>
          </w:p>
        </w:tc>
      </w:tr>
      <w:tr>
        <w:trPr>
          <w:trHeight w:val="216"/>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March 31, 2019</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1,344,449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3,868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1,348,317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56,742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56,867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49,505</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49,558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3,384,441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3,422,026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$3.0 million as a component of accrued liabilities as of March 31, 2020 and December 31, 2019, the total of which, if recognized, would impact the Company’s effective tax rate. An unfavorable settlement may require a charge to income tax expense and a favorable resolution would be recognized as a reduction to income tax expense. The Company recognizes interest accrued related to unrecognized tax benefits in income tax expense. The Company had approximately $144,000 accrued for the payment of interest as of March 31, 2020 and December 31, 2019. No amounts were accrued for penalties.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March 31, 2020, the tax years ended December 31, 2016 through 2019 remained subject to audit by federal tax authorities, and the tax years ended December 31, 2015 through 2019 remained subject to audit by state tax authorities.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Coronavirus Aid, Relief, and Economic Security Act (the CARES Act)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response to the COVID-19 pandemic, on March 27, 2020, President Donald Trump signed into law the CARES Act. The Company evaluated the provisions of the CARES Act as of March 31, 2020, with no material effect on the financial statements. Certain tax provisions may result in deferral of payment of certain taxes.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Revenue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for the three months ended March 31, 2020 and 2019 (in thousands):</w:t>
      </w:r>
    </w:p>
    <w:p>
      <w:pPr>
        <w:spacing w:after="0" w:line="170"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w w:val="91"/>
              </w:rPr>
              <w:t>Three Months</w:t>
            </w:r>
          </w:p>
        </w:tc>
        <w:tc>
          <w:tcPr>
            <w:tcW w:w="2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w:t>
            </w:r>
          </w:p>
        </w:tc>
      </w:t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color w:val="auto"/>
                <w:w w:val="88"/>
              </w:rPr>
              <w:t>Ended</w:t>
            </w:r>
          </w:p>
        </w:tc>
        <w:tc>
          <w:tcPr>
            <w:tcW w:w="2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r>
      <w:tr>
        <w:trPr>
          <w:trHeight w:val="230"/>
        </w:trPr>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March 31, 2020</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March 31, 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838,283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Parts revenue</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236,597</w:t>
            </w:r>
          </w:p>
        </w:tc>
        <w:tc>
          <w:tcPr>
            <w:tcW w:w="2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247,317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191,037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Finance revenue</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2,355</w:t>
            </w:r>
          </w:p>
        </w:tc>
        <w:tc>
          <w:tcPr>
            <w:tcW w:w="2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4,095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2,515</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3,883</w:t>
            </w:r>
          </w:p>
        </w:tc>
        <w:tc>
          <w:tcPr>
            <w:tcW w:w="2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5,637</w:t>
            </w: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1,288,884</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does not have any material contract assets or contract liabilities on the balance sheet as of March 31, 2020. Revenues related to commercial vehicle sales, parts sales, commercial vehicle repair service, finance and the majority of other revenues are related to the Truck Segment.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4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as of March 31, 2020, in the amount of $5.2 million and as of December 31, 2019, in the amount of $5.6 million is reflected in Other Assets on the Consolidated Balance Sheet.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income during the three months ended March 31, 2020 and March 31, 2019 consisted of the following (in thousands):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w:t>
            </w:r>
          </w:p>
        </w:tc>
      </w:t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r>
      <w:tr>
        <w:trPr>
          <w:trHeight w:val="230"/>
        </w:trPr>
        <w:tc>
          <w:tcPr>
            <w:tcW w:w="5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March 31, 2020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March 31, 2019</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51,743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Nonlease payments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7,690</w:t>
            </w: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59,433</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12 – Accumulated Other Comprehensive Income</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gridSpan w:val="2"/>
          </w:tcPr>
          <w:p>
            <w:pPr>
              <w:ind w:left="660"/>
              <w:spacing w:after="0"/>
              <w:rPr>
                <w:sz w:val="20"/>
                <w:szCs w:val="20"/>
                <w:color w:val="auto"/>
              </w:rPr>
            </w:pPr>
            <w:r>
              <w:rPr>
                <w:rFonts w:ascii="Arial" w:cs="Arial" w:eastAsia="Arial" w:hAnsi="Arial"/>
                <w:sz w:val="18"/>
                <w:szCs w:val="18"/>
                <w:color w:val="auto"/>
                <w:w w:val="97"/>
              </w:rPr>
              <w:t>The following table shows the components of accumulated other comprehensive loss (in thousands):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w:t>
            </w: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(1,930)</w:t>
            </w: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112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r>
      <w:tr>
        <w:trPr>
          <w:trHeight w:val="20"/>
        </w:trPr>
        <w:tc>
          <w:tcPr>
            <w:tcW w:w="11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equity method investment in RTC Canada was valued using the exchange rate of one US Dollar equals 1.4191 Canadian dollars as of March 31, 2020. The adjustment is reflected in Other Assets on the Consolidated Balance Sheet.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 Accounts Receivable and Allowance for Credit Losses</w:t>
      </w:r>
    </w:p>
    <w:p>
      <w:pPr>
        <w:spacing w:after="0" w:line="229"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 Company adopted Topic 326 on January 1, 2020. The Company did not recognize an adjustment to the beginning balance of retained earnings because the new accounting standard did not have a material impact on its consolidated financial statements. The Company establishes an allowance for credit losses to present the net amount of accounts receivable expected to be collected. Under Topic 326, the Company is required to remeasure expected credit losses for financial instruments held on the reporting date based on historical experience, current conditions and reasonable forecasts.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Accounts receivable consists primarily of commercial vehicle sales, manufacturers’ receivables, leasing and parts and service receivables and other trade receivables. The Company maintains an allowance for credit losses based on probability of default, historical rate losses, aging and economic conditions. The Company’s assessment of future losses in the first quarter of 2020 considered the impact of the COVID-19 pandemic on forecasted economic trends. The Company writes off account balances when it has exhausted reasonable collection efforts and determined that the likelihood of collection is remote. These write-offs are charged against the allowance for credit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Write offs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Against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Allowance,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Current Period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net of</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r>
      <w:tr>
        <w:trPr>
          <w:trHeight w:val="230"/>
        </w:trPr>
        <w:tc>
          <w:tcPr>
            <w:tcW w:w="4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9"/>
              </w:rPr>
              <w:t>Provision</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Recoveries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r>
        <w:trPr>
          <w:trHeight w:val="209"/>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receivables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0"/>
        </w:trPr>
        <w:tc>
          <w:tcPr>
            <w:tcW w:w="4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r>
      <w:tr>
        <w:trPr>
          <w:trHeight w:val="425"/>
        </w:trPr>
        <w:tc>
          <w:tcPr>
            <w:tcW w:w="416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2019, as supplemented by Item 1A. Risk Factors within this Quarterly Report on Form 10-Q,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Navistar International Corporation. International</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IC Bus, LLC. FUSO</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Mitsubishi Fuso Truck and Bus Corporation. Hino</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Isuzu Motors Limited. Ford Motor Credit Company</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Ford Motor Company. Ford</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Ford Motor Company. SAP</w:t>
      </w:r>
      <w:r>
        <w:rPr>
          <w:rFonts w:ascii="Arial" w:cs="Arial" w:eastAsia="Arial" w:hAnsi="Arial"/>
          <w:sz w:val="13"/>
          <w:szCs w:val="13"/>
          <w:i w:val="1"/>
          <w:iCs w:val="1"/>
          <w:color w:val="auto"/>
        </w:rPr>
        <w:t>®</w:t>
      </w:r>
      <w:r>
        <w:rPr>
          <w:rFonts w:ascii="Arial" w:cs="Arial" w:eastAsia="Arial" w:hAnsi="Arial"/>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Rush Truck Centers are classified as “essential businesses” and have remained operational across the Company’s dealership network since the beginning of the COVID-19 pandemic, although though some hours of operation have been modified and in-person truck sales have been curtailed. Though the effects of the COVID-19 pandemic on our revenues were limited in the first quarter of 2020, we expect that the negative impact on our revenues, and business in general, will be substantial for the foreseeable future.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monitoring and complying with CDC guidelines for limiting the spread of COVID-19 and complying with all applicable federal, state and local executive orders. We also provided employees who are unable to work as a direct result of COVID-19 with up to two weeks of additional sick leave. In accordance with CDC guidelines, we have mandated that all employees stay at least 6 feet away from each other and our customers. In addition, we are requiring employees throughout the Company to wear facemasks when required to do so by applicable orders or whenever they cannot maintain safe social distancing from customers or other employees, and we are cleaning and disinfecting our facilities on a regular basis. We are also providing curbside parts</w:t>
      </w:r>
    </w:p>
    <w:p>
      <w:pPr>
        <w:sectPr>
          <w:pgSz w:w="11900" w:h="16838" w:orient="portrait"/>
          <w:cols w:equalWidth="0" w:num="1">
            <w:col w:w="11240"/>
          </w:cols>
          <w:pgMar w:left="320" w:top="125" w:right="339" w:bottom="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pick-up, online parts ordering and web-based vehicle service communication to reduce in-person interactions. Our service teams are minimizing contact with customers and taking extra precautions to keep high-touch areas on customer vehicles clean and disinfected.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Vehicle Sales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of the commercial vehicle manufacturers that we represent have currently suspended production of vehicles or have previously suspended production. Peterbilt suspended global production of trucks and engines from March 24, 2020 until May 4, 2020. Navistar shut down its plant in Ohio from March 23, 2020 until May 11, 2020. Although Navistar also suspended manufacturing operations at its plants in Alabama and Mexico, production resumed at both locations on April 13, 2020. Additionally, Hino, Isuzu and Ford have each suspended manufacturing operations at their respective plants, but Isuzu and Ford are expected to reopen by mid-May 2020 and Hino is expected to reopen June 1,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Aftermarket Products and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our parts, service and collision center operations (collectively, “Aftermarket Products and Services”), with only a few minor exceptions, our parts supply chain has remained uninterrupted to-date. However, we increased our parts inventories at all our stores to support an estimated extra 30 days of demand in case of any temporary supplier-related warehousing or logistics challenges. We believe that the investments we have made over the years in our aftermarket strategic initiatives will help mitigate the impact of the COVID-19 pandemic on our Aftermarket Products and Service business.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and Leasing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our rental and leasing operations, we have allowed certain credit-worthy customers that serve industries that have been dramatically impacted by the COVID-19 pandemic to skip up to three months of lease payments and either extend the lease term by three months or increase the remaining payments and keep the same lease term.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March 31, 2020, our total net liquidity was approximately $243.2 million, including $137.5 million in cash and $105.7 million available under our various credit agreements, excluding our floor plan credit agreements. In March 2020, we extended the term of our working capital facility (“the Working Capital Facility”) with BMO Harris Bank N.A. (“BMO Harris”) that includes up to $100.0 million of revolving credit loans available to us for working capital, capital expenditures and other general corporate purposes, to June 2022. We currently have no outstanding draws on this line of credit. We believe that we are well positioned to navigate the economic and industry challenges that lie ahead as a result of the COVID-19 pandemic. Notwithstanding the strength of our balance sheet, we are taking steps to conserve cash and reduce expenses. For example, once the magnitude of the COVID-19 pandemic became apparent, we suspended our stock repurchase program. In addition, W.M. “Rusty” Rush, Chairman, Chief Executive Officer and President of the Company, has reduced his salary by 25 percent, other members of his senior executive team also reduced their salaries by 10 percent, and the members of the Board of Directors voted to reduce the amount of their annual cash retainer by 10 percent. We are currently identifying other potential expense reductions and delaying capital expenditures where appropriate. For further discussion of our liquidity, see the Liquidity and Capital Resources discussion set forth herein.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2020 was already predicted to be a challenging year for the new Class 8 truck market due to excess truck capacity in the market resulting from exceptionally high new Class 8 unit sales volumes in 2018 and 2019. As a result of the COVID-19 pandemic, A.C.T. Research Co., LLC (“A.C.T. Research”), a commercial vehicle industry data and forecasting service provider, is currently forecasting new U.S. Class 8 retail sales to be 127,500 units in 2020, which would represent a 54.7% decrease compared to 2019. We expect that the pandemic will have a significant negative impact on new Class 8 truck sales in the second and third quarters, but it is not clear just how significant the impact will be. Many customers are delaying purchases due to the tremendous uncertainty right now about the economy and the impact of the pandemic. With respect to new U.S. Class 4-7 retail sales, A.C.T. Research is currently forecasting retail sales to be 147,400 units in 2020, which would represent a 44.8% decrease compared to 2019. We also expect that our medium-duty truck sales will be negatively impacted by the pandemic in the second and third quarters, as medium-duty commercial vehicle sales usually track closely to the general economy. We are writing down the values of new and used commercial vehicle in inventory more aggressively than in the past, and we believe our new and used commercial vehicle inventories are appropriately valued for the current market conditions.</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respect to our Aftermarket Products and Services business, many of our customers have significantly reduced their operations due to the COVID-19 pandemic and it remains unknown when the national economy, or society in general, will reopen in any meaningful way. As a result, as we look ahead to the second quarter, we anticipate our aftermarket products and services revenues will be negatively impacted by the pandemic.</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Until we have more clarity around the full economic impact of the COVID-19 pandemic, we cannot provide an outlook for the full year 2020, other than to reiterate that we expect that the negative impact on our revenues, and business in general, will be substantial for the foreseeable future. In addition, we are withdrawing all 2020 estimates that were provided in our Annual Report on Form 10-K for the year ended December 31, 2019 with respect to: (i) the number of commercial vehicles we may sell, market share percentages, revenues and gross margins associated therewith; (ii) revenues and gross margins associated with our Aftermarket Products and Services business; and (iii) revenues and gross margins associated with our commercial vehicle rental and leasing business. As soon as we believe we can make reasonable assumptions regarding our business outlook for 2020, we intend to start disclosing the above-described estimates, as we have historically done in the past, in our annual and quarterly reports filed with the SEC. These are unprecedented times, and we are focused on monitoring the impacts of the pandemic on our business and throughout our industry, while taking appropriate action to preserve the financial stability of the Company. We will continue to follow best practices to protect the health of our employees, customers, and the public, while responding to changing customer demand, making adjustments based on our manufacturers’ plant closures and remaining focused on maximizing the strength of our balance sheet to ensure the long-term financial strength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ectPr>
          <w:pgSz w:w="11900" w:h="16838" w:orient="portrait"/>
          <w:cols w:equalWidth="0" w:num="1">
            <w:col w:w="11240"/>
          </w:cols>
          <w:pgMar w:left="320" w:top="125" w:right="339" w:bottom="15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was tested for impairment during the fourth quarter of 2019 and no impairment was required. The fair value of our reporting unit exceeded the carrying value of its net assets. As a result, we were not required to conduct the second step of the impairment test.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the COVID-19 pandemic, we reviewed the estimates in our fourth quarter 2019 goodwill model and have updated the projections for 2020 through 2024. Based on the revised projections, it was determined that no impairment of the Truck Segment goodwill is required. While we have concluded that an impairment did not occur during the quarter ended March 31, 2020, the duration and severity of the COVID-19 pandemic could result in future impairment charges for the Truck Segment. A prolonged pandemic could impact the results of operations due to changes to assumptions utilized in the determination of the estimated fair values of the Truck Segment reporting unit. Sales and earnings growth rates could be negatively impacted by reductions or changes in demand for our products.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ectPr>
          <w:pgSz w:w="11900" w:h="16838" w:orient="portrait"/>
          <w:cols w:equalWidth="0" w:num="1">
            <w:col w:w="11240"/>
          </w:cols>
          <w:pgMar w:left="320" w:top="125" w:right="339" w:bottom="0" w:gutter="0" w:footer="0" w:header="0"/>
        </w:sectPr>
      </w:pPr>
    </w:p>
    <w:bookmarkStart w:id="14" w:name="page15"/>
    <w:bookmarkEnd w:id="14"/>
    <w:p>
      <w:pPr>
        <w:spacing w:after="0" w:line="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Effective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All trade receivables are reported on the consolidated balance sheet at their cost basis adjusted for any write-offs and net of allowances for credit losses. The Company maintains allowances for credit losses, which represent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each of its receivable portfolios (commercial vehicle receivables, manufacturers’ receivables, parts and service and leasing receivables and other trade receivables). For trade receivables, the Company uses probability of default and historical loss experience rates by portfolio and applies them to a related aging analysis while also considering customer and/or economic risk where appropriate. Determination of the proper amount of allowances by portfolio requires management to exercise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discussion and analysis includes our historical results of operations for the three months ended March 31, 2020 and 2019.</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p>
      <w:pPr>
        <w:jc w:val="center"/>
        <w:ind w:left="5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4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5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and used commercial vehicle sales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Parts and service sales</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33.3</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and rental</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Finance and insurance</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5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81.8</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w:t>
            </w:r>
          </w:p>
        </w:tc>
      </w:tr>
      <w:tr>
        <w:trPr>
          <w:trHeight w:val="20"/>
        </w:trPr>
        <w:tc>
          <w:tcPr>
            <w:tcW w:w="5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 of assets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ectPr>
          <w:pgSz w:w="11900" w:h="16851" w:orient="portrait"/>
          <w:cols w:equalWidth="0" w:num="1">
            <w:col w:w="11240"/>
          </w:cols>
          <w:pgMar w:left="320" w:top="341" w:right="339" w:bottom="0" w:gutter="0" w:footer="0" w:header="0"/>
        </w:sectPr>
      </w:pPr>
    </w:p>
    <w:bookmarkStart w:id="15" w:name="page16"/>
    <w:bookmarkEnd w:id="15"/>
    <w:p>
      <w:pPr>
        <w:spacing w:after="0" w:line="133"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Equity in earnings of unconsolidated entities</w:t>
            </w: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7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0.3</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7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0.7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0"/>
        </w:trPr>
        <w:tc>
          <w:tcPr>
            <w:tcW w:w="55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740" w:type="dxa"/>
            <w:vAlign w:val="bottom"/>
            <w:gridSpan w:val="2"/>
          </w:tcPr>
          <w:p>
            <w:pPr>
              <w:ind w:left="1280"/>
              <w:spacing w:after="0"/>
              <w:rPr>
                <w:sz w:val="20"/>
                <w:szCs w:val="20"/>
                <w:color w:val="auto"/>
              </w:rPr>
            </w:pPr>
            <w:r>
              <w:rPr>
                <w:rFonts w:ascii="Arial" w:cs="Arial" w:eastAsia="Arial" w:hAnsi="Arial"/>
                <w:sz w:val="18"/>
                <w:szCs w:val="18"/>
                <w:color w:val="auto"/>
              </w:rPr>
              <w:t>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5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21" w:lineRule="exact"/>
        <w:rPr>
          <w:sz w:val="20"/>
          <w:szCs w:val="20"/>
          <w:color w:val="auto"/>
        </w:rPr>
      </w:pPr>
    </w:p>
    <w:p>
      <w:pPr>
        <w:jc w:val="center"/>
        <w:ind w:left="5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4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9"/>
        </w:trPr>
        <w:tc>
          <w:tcPr>
            <w:tcW w:w="55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New and used commercial vehicle sales</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Parts and service sales</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66.8</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Lease and rental</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and insurance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
        </w:trPr>
        <w:tc>
          <w:tcPr>
            <w:tcW w:w="5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profit</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26"/>
        </w:trPr>
        <w:tc>
          <w:tcPr>
            <w:tcW w:w="5580" w:type="dxa"/>
            <w:vAlign w:val="bottom"/>
            <w:tcBorders>
              <w:top w:val="single" w:sz="8" w:color="CCEEFF"/>
            </w:tcBorders>
          </w:tcPr>
          <w:p>
            <w:pPr>
              <w:ind w:left="4420"/>
              <w:spacing w:after="0"/>
              <w:rPr>
                <w:sz w:val="20"/>
                <w:szCs w:val="20"/>
                <w:color w:val="auto"/>
              </w:rPr>
            </w:pPr>
            <w:r>
              <w:rPr>
                <w:rFonts w:ascii="Arial" w:cs="Arial" w:eastAsia="Arial" w:hAnsi="Arial"/>
                <w:sz w:val="18"/>
                <w:szCs w:val="18"/>
                <w:color w:val="auto"/>
              </w:rPr>
              <w:t>18</w:t>
            </w:r>
          </w:p>
        </w:tc>
        <w:tc>
          <w:tcPr>
            <w:tcW w:w="10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the absorption ratio (revenue in millions):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470"/>
              <w:spacing w:after="0" w:line="19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4"/>
        </w:trPr>
        <w:tc>
          <w:tcPr>
            <w:tcW w:w="4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Vehicle unit sales:</w:t>
            </w: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New heavy-duty vehicles</w:t>
            </w:r>
          </w:p>
        </w:tc>
        <w:tc>
          <w:tcPr>
            <w:tcW w:w="8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3,078</w:t>
            </w:r>
          </w:p>
        </w:tc>
        <w:tc>
          <w:tcPr>
            <w:tcW w:w="9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3,558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medium-duty vehicles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3,264</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2,614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New light-duty vehicles</w:t>
            </w:r>
          </w:p>
        </w:tc>
        <w:tc>
          <w:tcPr>
            <w:tcW w:w="8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9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-50.5%</w:t>
            </w:r>
          </w:p>
        </w:tc>
      </w:tr>
      <w:tr>
        <w:trPr>
          <w:trHeight w:val="20"/>
        </w:trPr>
        <w:tc>
          <w:tcPr>
            <w:tcW w:w="4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new vehicle unit sales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6,609</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6,711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Used vehicles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1,558</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Vehicle revenues: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New heavy-duty vehicles</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470.8</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530.9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medium-duty vehicles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244.0</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199.7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New light-duty vehicles</w:t>
            </w:r>
          </w:p>
        </w:tc>
        <w:tc>
          <w:tcPr>
            <w:tcW w:w="8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9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4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new vehicle revenue</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726.3</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752.6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Used vehicle revenue</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59.7</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Other vehicle revenues:</w:t>
            </w:r>
            <w:r>
              <w:rPr>
                <w:rFonts w:ascii="Arial" w:cs="Arial" w:eastAsia="Arial" w:hAnsi="Arial"/>
                <w:sz w:val="25"/>
                <w:szCs w:val="25"/>
                <w:color w:val="auto"/>
                <w:vertAlign w:val="superscript"/>
              </w:rPr>
              <w:t>(1)</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Dealership absorption ratio:</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114.3%</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121.5%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bl>
    <w:p>
      <w:pPr>
        <w:ind w:left="114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114.3% absorption ratio for the first quarter of 2020 and a 121.5% absorption ratio for the first quarter of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decreased $61.7 million, or 4.6%, in the first quarter of 2020, compared to the first quarter of 2019.</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Aftermarket Products and Services revenues decreased $10.4 million, or 2.4%, in the first quarter of 2020, compared to the first quarter of 2019. Our first quarter 2020 results declined slightly compared to 2019, primarily due to overall softness in demand for aftermarket products and services, which is a continuation of results we experienced in the fourth quarter of 2019. The COVID-19 pandemic had a slight negative impact on our Aftermarket Product and Services revenues in the second half of March, but is likely to have a significant negative impact for the remainder of the year.</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Revenues from sales of new and used commercial vehicles decreased $48.7 million, or 5.8%, in the first quarter of 2020, compared to the first quarter of 2019. Our new Class 8 truck sales were the result of solid business from customers in the refuse and construction sectors, as well as healthy sales of stock trucks across the country. The COVID-19 pandemic had little impact on our first quarter new Class 8 truck sales results, though this will change</w:t>
      </w:r>
    </w:p>
    <w:p>
      <w:pPr>
        <w:sectPr>
          <w:pgSz w:w="11900" w:h="16971" w:orient="portrait"/>
          <w:cols w:equalWidth="0" w:num="1">
            <w:col w:w="11240"/>
          </w:cols>
          <w:pgMar w:left="320" w:top="125" w:right="339" w:bottom="0" w:gutter="0" w:footer="0" w:header="0"/>
        </w:sectPr>
      </w:pPr>
    </w:p>
    <w:bookmarkStart w:id="16" w:name="page17"/>
    <w:bookmarkEnd w:id="16"/>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going forward. Customers are delaying purchases of new Class 8 trucks due to economic uncertainty. Temporary production suspensions by Peterbilt and Navistar may make it difficult for customers to obtain new Class 8 trucks that are not already in our inventory. Our Class 4 through 7 new commercial vehicle sales results were strong in the first quarter and were minimally impacted by the COVID-19 pandemic, though this will also change going forward. Our strong medium-duty results were primarily driven by solid activity from our grocery and food service customers, as well as strong stock truck sales throughout our dealership network.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3,078 new Class 8 trucks in the first quarter of 2020, a 13.5% decrease compared to 3,558 new Class 8 trucks in the first quarter of 2019. The decrease in new Class 8 truck sales was primarily the result of an industry-wide slowdown in new Class 8 trucks sales, which began in the fourth quarter of 2019. According to A.C.T. Research, new U. S. Class 8 truck retail sales are estimated to total 127,500 truck units in 2020, a 54.7% decrease compared to 281,440 units sold in 2019.</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sold 3,264 new Class 4 through 7 commercial vehicles, including 216 buses, in the first quarter of 2020, a 24.9% increase compared to 2,614 new medium-duty commercial vehicles, including 160 buses, in the first quarter of 2019. The increase in Class 4 through 7 commercial vehicle sales in the first quarter of 2020 was primarily due to increased sales to our customers in the grocery and food service industries, as well as strong new Class 4 through 7 commercial vehicle sales throughout our dealership network. According to A.C.T. Research, new U. S. Class 4 through 7 commercial vehicle retail sales are estimated to total 147,400 units in 2020, a 44.8% decrease compared to 266,977 units sold in 2019.</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sold 267 new light-duty vehicles in the first quarter of 2020, a 50.5% decrease compared to 539 new light-duty vehicles in the first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1,558 used commercial vehicles in the first quarter of 2020, a 15.3% decrease compared to 1,840 used commercial vehicles in the first quarter of 2019. The decrease in used truck sales in the first quarter of 2020 was primarily due to the significant decline in used truck sales in March, which we attribute to the COVID-19 pandemic.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Commercial vehicle lease and rental revenues increased $1.3 million, or 2.3%, in the first quarter of 2020, compared to the first quarter of 2019.</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Finance and insurance revenues decreased $2.1 million, or 32.4%, in the first quarter of 2020, compared to the first quarter of 2019. We expect finance and insurance revenues to fluctuate proportionately with our new and used commercial vehicle sales in 2020. Finance and insurance revenues have limited direct costs and, therefore, contribute a disproportionate share of our operating profits.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decreased $1.8 million, or 31.1%, in the first quarter of 2020, compared to the first quarter of 2019. Other income consists primarily of document fees related to commercial vehicle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Gross profit decreased $22.4 million, or 8.7%, in the first quarter of 2020, compared to the first quarter of 2019. Gross profit as a percentage of sales decreased to 18.2% in the first quarter of 2020, from 19.1% in the first quarter of 2019. The decrease in gross profit as a percentage of sales is a result of decreased gross margins in our Aftermarket Products and Services operations, commercial vehicle sales and truck lease and rental sales.</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margins from our Aftermarket Products and Services operations decreased to 36.6% in the first quarter of 2020, compared to 37.7% in the first quarter of 2019. Gross profit from our Aftermarket Products and Services operations decreased to $156.6 million in the first quarter of 2020, from $165.2 million in the first quarter of 2019. Historically, gross margins on parts sales range from 27% to 28% and gross margins on service and collision center operations range from 67% to 68%. Gross profits from parts sales represented 58.8% of total gross profit for Aftermarket Products and Services operations in the first quarter of 2020 and 60.3% in the first quarter of 2019. Service and collision center operations represented 41.2% of total gross profit for Aftermarket Products and Services operations in the first quarter of 2020 and 39.7% in the first quarter of 2019.</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on new Class 8 truck sales were 8.9% in the first quarter of 2020 and in the first quarter of 2019.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Class 4 through 7 commercial vehicle sales increased to 6.1% in the first quarter of 2020, from 5.9% in the first quarter of 2019. This increase is primarily due to the mix of purchasers during the first quarter of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used commercial vehicle sales decreased to 5.7% in the first quarter of 2020, from 10.6% in the first quarter of 2019. This decrease is primarily due to write-downs of used truck inventory to appropriately value our inventory in the current market.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margins from truck lease and rental sales decreased to 14.1% in the first quarter of 2020, from 16.2% in the first quarter of 2019. This decrease is primarily related to decreased rental fleet utilization.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Selling, General and Administrative (“SG&amp;A”) expenses decreased $2.1 million, or 1.1%, in the first quarter of 2020, compared to the first quarter of 2019. SG&amp;A expenses as a percentage of total revenues increased to 14.4% in the first quarter of 2020, from 13.9% in the first quarter of 2019. Annual SG&amp;A expenses as a percentage of total revenues have ranged from 12.4% to 13.9% over the last five years. In general, when new and used commercial</w:t>
      </w:r>
    </w:p>
    <w:p>
      <w:pPr>
        <w:sectPr>
          <w:pgSz w:w="11900" w:h="16863" w:orient="portrait"/>
          <w:cols w:equalWidth="0" w:num="1">
            <w:col w:w="11240"/>
          </w:cols>
          <w:pgMar w:left="320" w:top="125" w:right="339" w:bottom="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vehicle revenues increase as a percentage of total revenues, SG&amp;A expenses as a percentage of total revenues will be at the lower end of this range. Until we have more clarity around the full economic impact of the COVID-19 pandemic, we are not able to provide any estimates with respect to our expectations regarding SG&amp;A expenses as a percentage of total revenues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Depreciation and amortization expense increased $1.4 million, or 10.9%, in the first quarter of 2020, compared to the first quarter of 2019. This increase in depreciation expense is a result of dealership construction projects that were completed during 2019 and purchases of computer equipment across our dealerships.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expense decreased $2.6 million, or 35.2%, in the first quarter of 2020, compared to the first quarter of 2019. This decrease in interest expense is a result of the decrease in inventory levels in the first quarter of 2020, compared to the first quarter of 2019. We expect net interest expense in 2020 to decrease, but the amount of the decrease will depend on inventory levels, interest rate fluctuations and the amount of cash available to make prepayments on our floor plan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factors described above, income from continuing operations before income taxes decreased $17.9 million, or 36.1%, in the first quarter of 2020, compared to the first quarter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Income taxes decreased $3.9 million, or 31.3%, in the first quarter of 2020, compared to the first quarter of 2019. We provided for taxes at a 28.0% effective rate in the first quarter of 2020 and 25.0% in the first quarter of 2019. We expect our effective tax rate to be approximately 26% to 28% of pretax income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2020, we had working capital of approximately $205.8 million, including $137.5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(the “Floor Plan Credit Agreement”), and the resulting interest earned is recognized as an offset to our gross interest expense under the Floor Plan Credit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on March 31, 2020, however, $11.8 million was pledged to secure various letters of credit related to self-insurance products, leaving $5.7 million available for future borrowings as of March 31, 2020.</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Working Capital Facility with BMO Harris includes up to $100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June 30, 2022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March 31, 2020.</w:t>
      </w:r>
    </w:p>
    <w:p>
      <w:pPr>
        <w:spacing w:after="0" w:line="1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March 31, 2020,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we have more clarity around the full economic impact of the COVID-19 pandemic, we are not able to provide any estimates regarding the value of commercial vehicles we expect to purchase or lease in 2020 for our leasing operations. However, all such purchases or leases will be financed. We expect to make capital expenditures for recurring items such as computers, shop tools and equipment and vehicles of approximately $30.0 million to $35.0 million during 2020.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first quarter of 2020, we paid a cash dividend of $4.7 million. Additionally, on April 21, 2020, our Board of Directors declared a cash dividend of $0.13 per share of Class A and Class B Common Stock, to be paid on June 10, 2020, to all shareholders of record as of May 7, 2020. The total dividend disbursement is estimated at approximately $4.7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November 26, 2019, our Board of Directors approved a stock repurchase program authorizing management to repurchase, from time to time, up to an aggregate of $100.0 million of our shares of Class A Common Stock and/or Class B Common Stock. As of March 31, 2020, we had repurchased $20.4 million of our shares of common stock under the stock repurchase program. The stock repurchase program has been suspended as a result of the</w:t>
      </w:r>
    </w:p>
    <w:p>
      <w:pPr>
        <w:sectPr>
          <w:pgSz w:w="11900" w:h="16838" w:orient="portrait"/>
          <w:cols w:equalWidth="0" w:num="1">
            <w:col w:w="11240"/>
          </w:cols>
          <w:pgMar w:left="320" w:top="125" w:right="339" w:bottom="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COVID-19 pandemic. If the stock repurchase program resumes at some point in the future,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March 31, 2020.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and cash equivalents decreased by $44.1 million during the three months ended March 31, 2020, and decreased by $5.2 million during the three months ended March 31, 2019.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the first quarter of 2020, operating activities resulted in net cash provided by operations of $138.8 million. Net cash provided by operating activities primarily consisted of $23.1 million in net income, as well as non-cash adjustments related to depreciation and amortization of $45.2 million and stock-based compensation of $8.6 million. Cash provided by operating activities included an aggregate of $62.1 million net change in operating assets and liabilities. Included in the net change in operating assets and liabilities was primarily cash inflows of $153.6 million from the decrease in inventory and $6.0 million in the decrease in other current assets, which was offset by $30.9 million from the increase in accounts receivable, $26.9 million from the net decrease in accounts payable and accrued liabilities, $16.7 million from the decrease in customer deposits, $7.2 million from the decrease in the provision for deferred income tax expense and $16.7 million from the net decrease in floor plan (trade). The majority of our commercial vehicle inventory is financed through our floor plan credit agreements.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first quarter of 2019, operating activities resulted in net cash used in operations of $39.3 million. Net cash used in operating activities primarily consisted of $37.1 million in net income, as well as non-cash adjustments related to depreciation and amortization of $41.8 million and stock-based compensation of $8.8 million. Cash used in operating activities included an aggregate of $127.5 million net change in operating assets and liabilities. Included in the net change in operating assets and liabilities was primarily cash inflows of $3.1 million from the net increase in floor plan (trade) and $19.8 million from the increase in accounts payable, which was offset by $10.2 million from the increase in accounts receivable, $106.3 million from the increase in inventories and $33.0 million from the decrease in customer deposits and accrued liabilities.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As of March 31, 2020, the interest rate on the wholesale financing agreement was 4.75% before considering the applicable incentives that we are qualified to receive. As of March 31, 2020, we had an outstanding balance of approximately $99.9 million under the Ford Motor Credit Company wholesale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first quarter of 2020, cash used in investing activities was $47.3 million. Cash flows used in investing activities consist primarily of cash used for capital expenditures. Capital expenditures of $49.5 million consisted primarily of $15.0 million for purchases of property and equipment and improvements to our existing dealership facilities and $34.5 million for additional units for the rental and leasing operations, which were directly offset by borrowings of long-term debt.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quarter of 2019, cash used in investing activities was $89.2 million. Cash flows used in investing activities consist primarily of cash used for capital expenditures. Capital expenditures of $63.6 million consisted primarily of $24.3 million for purchases of property and equipment and improvements to our existing dealership facilities and $39.3 million for additional units for the rental and leasing operations, which were directly offset by borrowings of long-term debt. Business acquisitions of $7.9 million consisted of the purchase of a Ford dealership in Ceres, California, including the real estate.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non-trade. During the first quarter of 2020, financing activities used $135.6 million in net cash flow. Cash outflows were primarily related to $92.6 million used for net payments floor plan (non-trade), $47.5 million used for principal repayments of long-term debt and capital lease obligations, $19.9 million used for the repurchase of our common stock and $4.8 million used for the payment of cash dividends. These cash outflows were offset by cash inflows related to borrowings of $28.2 million of long-term debt. The borrowings of long-term debt were related to purchasing units for the rental and leasing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first quarter of 2019, financing activities provided $123.3 million in net cash flow. Cash outflows were primarily related to $45.4 million used for principal repayments of long-term debt and capital lease obligations, $25.6 million used for the repurchase of our common stock and $4.4 million used for the payment of cash dividends. These cash outflows were offset by cash inflows related to borrowings of $37.9 million of long-term debt,</w:t>
      </w:r>
    </w:p>
    <w:p>
      <w:pPr>
        <w:sectPr>
          <w:pgSz w:w="11900" w:h="16838" w:orient="portrait"/>
          <w:cols w:equalWidth="0" w:num="1">
            <w:col w:w="11240"/>
          </w:cols>
          <w:pgMar w:left="320" w:top="125" w:right="339" w:bottom="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$75.0 million of proceeds from the Working Capital Facility and $85.3 million from draws floor plan (non-trade). The borrowings of long-term debt were related to purchasing units for the rental and leasing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March 31, 2020, we had approximately $693.9 million outstanding under the Floor Plan Credit Agreement. The average daily outstanding borrowings under the Floor Plan Credit Agreement were $769.2 million during the three months ended March 31, 2020.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March 31, 2020, our backlog of commercial vehicle orders was approximately $1,091.4 million, as compared to a backlog of commercial vehicle orders of approximately $2,063.2 million on March 31, 2019.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March 31, 2020, and we expect to fill the majority of our backlog orders during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w:t>
      </w:r>
    </w:p>
    <w:p>
      <w:pPr>
        <w:sectPr>
          <w:pgSz w:w="11900" w:h="16838" w:orient="portrait"/>
          <w:cols w:equalWidth="0" w:num="1">
            <w:col w:w="11240"/>
          </w:cols>
          <w:pgMar w:left="320" w:top="125" w:right="339" w:bottom="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March 31, 2020, we had floor plan borrowings of approximately $888.7 million and variable interest rate real estate debt of approximately $56.5 million. Assuming an increase or decrease in LIBOR of 100 basis points, annual interest expense could correspondingly increase or decrease by approximately $9.5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2020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March 31, 2020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supplementing the risk factors described under “Item 1A. Risk Factors” in our 2019 Annual Report on Form 10-K with the additional risk factor set forth below, which supplements, and to the extent inconsistent, supersedes such risk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has disrupted, and may continue to disrupt, our business, which could adversely affect our financial performance.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COVID-19 pandemic has adversely impacted the global economy. Governmental authorities have taken severe countermeasures to slow the spread of COVID-19, including a number of shelter-in-place orders and large-scale restrictions on travel. While our Rush Truck Centers are operational at this time and have been classified as “essential businesses,” the pandemic is a highly fluid and rapidly evolving situation and we cannot anticipate whether we may be forced to close any of our Rush Truck Centers due to potential restrictions imposed by a governmental authority in one of the jurisdictions that we operate or due to a COVID-19 outbreak at one of our Rush Truck Centers that forces us to close such affected dealership. In addition, all of the commercial vehicle manufacturers that we represent have suspended manufacturing operations at certain plants, and some of these suspensions are</w:t>
      </w:r>
    </w:p>
    <w:p>
      <w:pPr>
        <w:sectPr>
          <w:pgSz w:w="11900" w:h="16838" w:orient="portrait"/>
          <w:cols w:equalWidth="0" w:num="1">
            <w:col w:w="11240"/>
          </w:cols>
          <w:pgMar w:left="320" w:top="125" w:right="339" w:bottom="0" w:gutter="0" w:footer="0" w:header="0"/>
        </w:sectPr>
      </w:pPr>
    </w:p>
    <w:bookmarkStart w:id="21" w:name="page22"/>
    <w:bookmarkEnd w:id="21"/>
    <w:p>
      <w:pPr>
        <w:spacing w:after="0" w:line="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ongoing. We cannot predict with any certainty when such plants will resume operations or whether they could be forced to suspend operations again at some point in the future due to COVID-19.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Although we believe that the COVID-19 pandemic will have a significant negative impact on our business, the magnitude of such impact cannot be predicted at this time due to numerous uncertainties, including the duration of the pandemic and business closures, the effectiveness of actions taken to contain the spread of the disease and other unintended consequences. The impact of the pandemic may include changes in customer demand; our relationship with, and the financial and operational capacities of, vehicle manufacturers, captive finance companies and other suppliers; workforce availability; risks associated with our indebtedness (including available borrowing capacity, compliance with financial covenants and ability to refinance or repay indebtedness on favorable terms); the adequacy of our cash flow and earnings and other conditions which may affect our liquidity; our ability to pay our quarterly dividend at prior levels; and disruptions to our technology network and other critical systems, including our ERP Platform or other facilities or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make any unregistered sales of equity securities during the first quarter of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first quarter of 2020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Purchased</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Price Paid</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Per Share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Announced Plans</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(1)(2)(3)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3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Programs (2)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or Programs (3)</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25,596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45.63 </w:t>
            </w:r>
            <w:r>
              <w:rPr>
                <w:rFonts w:ascii="Arial" w:cs="Arial" w:eastAsia="Arial" w:hAnsi="Arial"/>
                <w:sz w:val="18"/>
                <w:szCs w:val="18"/>
                <w:b w:val="1"/>
                <w:bCs w:val="1"/>
                <w:color w:val="auto"/>
              </w:rPr>
              <w:t>(4)</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98,323,292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February 1 – February 28, 2020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45,355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42.77 </w:t>
            </w:r>
            <w:r>
              <w:rPr>
                <w:rFonts w:ascii="Arial" w:cs="Arial" w:eastAsia="Arial" w:hAnsi="Arial"/>
                <w:sz w:val="18"/>
                <w:szCs w:val="18"/>
                <w:b w:val="1"/>
                <w:bCs w:val="1"/>
                <w:color w:val="auto"/>
              </w:rPr>
              <w:t>(5)</w:t>
            </w: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45,355</w:t>
            </w: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96,382,148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2020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xml:space="preserve">31.14 </w:t>
            </w:r>
            <w:r>
              <w:rPr>
                <w:rFonts w:ascii="Arial" w:cs="Arial" w:eastAsia="Arial" w:hAnsi="Arial"/>
                <w:sz w:val="18"/>
                <w:szCs w:val="18"/>
                <w:b w:val="1"/>
                <w:bCs w:val="1"/>
                <w:color w:val="auto"/>
              </w:rPr>
              <w:t>(6)</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538,663</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79,590,063</w:t>
            </w:r>
          </w:p>
        </w:tc>
      </w:tr>
      <w:tr>
        <w:trPr>
          <w:trHeight w:val="20"/>
        </w:trPr>
        <w:tc>
          <w:tcPr>
            <w:tcW w:w="3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609,614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609,614</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the Company.</w:t>
      </w:r>
    </w:p>
    <w:p>
      <w:pPr>
        <w:spacing w:after="0" w:line="9"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December 3, 2019, we announced the approval of a new stock repurchase program authorizing management to repurchase, from time to time, up to an aggregate of $100.0 million of our shares of Class A Common Stock and/or Class B Common Stock. The current stock repurchase program was discontinued by our Board of Directors on March 24, 2020.</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1,472 shares of Class A Common Stock at an average price paid per share of $43.00 and 24,124 shares of Class B Common Stock at an average price paid per share of $45.79.</w:t>
      </w:r>
    </w:p>
    <w:p>
      <w:pPr>
        <w:ind w:left="660" w:right="2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32,997 shares of Class A Common Stock at an average price paid per share of $42.22 and 12,358 shares of Class B Common Stock at an average price paid per share of $44.24</w:t>
      </w:r>
    </w:p>
    <w:p>
      <w:pPr>
        <w:ind w:left="660" w:hanging="652"/>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520,654 shares of Class A Common Stock at an average price paid per share of $31.09 and 18,009 shares of Class B Common Stock at an average price paid per share of $32.58.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11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Exhibit</w:t>
            </w:r>
          </w:p>
        </w:tc>
        <w:tc>
          <w:tcPr>
            <w:tcW w:w="9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100" w:type="dxa"/>
            <w:vAlign w:val="bottom"/>
            <w:gridSpan w:val="2"/>
          </w:tcPr>
          <w:p>
            <w:pPr>
              <w:jc w:val="center"/>
              <w:ind w:right="460"/>
              <w:spacing w:after="0" w:line="194" w:lineRule="exact"/>
              <w:rPr>
                <w:sz w:val="20"/>
                <w:szCs w:val="20"/>
                <w:color w:val="auto"/>
              </w:rPr>
            </w:pPr>
            <w:r>
              <w:rPr>
                <w:rFonts w:ascii="Arial" w:cs="Arial" w:eastAsia="Arial" w:hAnsi="Arial"/>
                <w:sz w:val="18"/>
                <w:szCs w:val="18"/>
                <w:b w:val="1"/>
                <w:bCs w:val="1"/>
                <w:color w:val="auto"/>
                <w:w w:val="94"/>
              </w:rPr>
              <w:t>Number</w:t>
            </w:r>
          </w:p>
        </w:tc>
        <w:tc>
          <w:tcPr>
            <w:tcW w:w="9640" w:type="dxa"/>
            <w:vAlign w:val="bottom"/>
            <w:gridSpan w:val="7"/>
          </w:tcPr>
          <w:p>
            <w:pPr>
              <w:spacing w:after="0" w:line="194" w:lineRule="exact"/>
              <w:rPr>
                <w:sz w:val="20"/>
                <w:szCs w:val="20"/>
                <w:color w:val="auto"/>
              </w:rPr>
            </w:pPr>
            <w:r>
              <w:rPr>
                <w:rFonts w:ascii="Arial" w:cs="Arial" w:eastAsia="Arial" w:hAnsi="Arial"/>
                <w:sz w:val="18"/>
                <w:szCs w:val="18"/>
                <w:b w:val="1"/>
                <w:bCs w:val="1"/>
                <w:color w:val="auto"/>
              </w:rPr>
              <w:t>Exhibit Title</w:t>
            </w:r>
          </w:p>
        </w:tc>
      </w:tr>
      <w:tr>
        <w:trPr>
          <w:trHeight w:val="20"/>
        </w:trPr>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460" w:type="dxa"/>
            <w:vAlign w:val="bottom"/>
          </w:tcPr>
          <w:p>
            <w:pPr>
              <w:spacing w:after="0"/>
              <w:rPr>
                <w:sz w:val="17"/>
                <w:szCs w:val="17"/>
                <w:color w:val="auto"/>
              </w:rPr>
            </w:pPr>
          </w:p>
        </w:tc>
        <w:tc>
          <w:tcPr>
            <w:tcW w:w="96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36">
              <w:r>
                <w:rPr>
                  <w:rFonts w:ascii="Arial" w:cs="Arial" w:eastAsia="Arial" w:hAnsi="Arial"/>
                  <w:sz w:val="18"/>
                  <w:szCs w:val="18"/>
                  <w:color w:val="0000EE"/>
                  <w:w w:val="96"/>
                </w:rPr>
                <w:t>Restated Articles of Incorporation of Rush Enterprises, Inc. (incorporated herein by reference to Exhibit 3.1 of the Company’s</w:t>
              </w:r>
            </w:hyperlink>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gridSpan w:val="7"/>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Quarterly Report on Form 10-Q (File No. 000-20797) for the quarter ended June 30, 2008)</w:t>
              </w:r>
            </w:hyperlink>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17"/>
                <w:szCs w:val="17"/>
                <w:color w:val="auto"/>
              </w:rPr>
            </w:pPr>
          </w:p>
        </w:tc>
        <w:tc>
          <w:tcPr>
            <w:tcW w:w="96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37">
              <w:r>
                <w:rPr>
                  <w:rFonts w:ascii="Arial" w:cs="Arial" w:eastAsia="Arial" w:hAnsi="Arial"/>
                  <w:sz w:val="18"/>
                  <w:szCs w:val="18"/>
                  <w:color w:val="0000EE"/>
                  <w:w w:val="93"/>
                </w:rPr>
                <w:t>Rush Enterprises, Inc. Amended and Restated Bylaws (incorporated herein by reference to Exhibit 3.1 of the Company’s Current</w:t>
              </w:r>
            </w:hyperlink>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gridSpan w:val="7"/>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Report on Form 8-K (File No. 000-20797) filed May 21, 2013)</w:t>
              </w:r>
            </w:hyperlink>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460" w:type="dxa"/>
            <w:vAlign w:val="bottom"/>
          </w:tcPr>
          <w:p>
            <w:pPr>
              <w:spacing w:after="0"/>
              <w:rPr>
                <w:sz w:val="17"/>
                <w:szCs w:val="17"/>
                <w:color w:val="auto"/>
              </w:rPr>
            </w:pPr>
          </w:p>
        </w:tc>
        <w:tc>
          <w:tcPr>
            <w:tcW w:w="9640" w:type="dxa"/>
            <w:vAlign w:val="bottom"/>
            <w:gridSpan w:val="7"/>
          </w:tcPr>
          <w:p>
            <w:pPr>
              <w:spacing w:after="0" w:line="196"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Second Amendment and Joinder to Credit Agreement, dated as of March 19, 2020 by and among the Company, the Lenders signatory</w:t>
              </w:r>
            </w:hyperlink>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2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r:id="rId38">
              <w:r>
                <w:rPr>
                  <w:rFonts w:ascii="Arial" w:cs="Arial" w:eastAsia="Arial" w:hAnsi="Arial"/>
                  <w:sz w:val="18"/>
                  <w:szCs w:val="18"/>
                  <w:color w:val="0000EE"/>
                  <w:w w:val="95"/>
                </w:rPr>
                <w:t>thereto and BMO Harris Bank N.A., as Administrative Agent (incorporated herein by reference to Exhibit 10.1 of the Company’s</w:t>
              </w:r>
            </w:hyperlink>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Current Report on Form 8-K (File No. 000-20797) filed March 25, 2020)</w:t>
              </w:r>
            </w:hyperlink>
          </w:p>
        </w:tc>
        <w:tc>
          <w:tcPr>
            <w:tcW w:w="340" w:type="dxa"/>
            <w:vAlign w:val="bottom"/>
            <w:gridSpan w:val="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60" w:type="dxa"/>
            <w:vAlign w:val="bottom"/>
            <w:gridSpan w:val="3"/>
            <w:shd w:val="clear" w:color="auto" w:fill="0000EE"/>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460" w:type="dxa"/>
            <w:vAlign w:val="bottom"/>
          </w:tcPr>
          <w:p>
            <w:pPr>
              <w:spacing w:after="0"/>
              <w:rPr>
                <w:sz w:val="19"/>
                <w:szCs w:val="19"/>
                <w:color w:val="auto"/>
              </w:rPr>
            </w:pPr>
          </w:p>
        </w:tc>
        <w:tc>
          <w:tcPr>
            <w:tcW w:w="9640" w:type="dxa"/>
            <w:vAlign w:val="bottom"/>
            <w:gridSpan w:val="7"/>
          </w:tcPr>
          <w:p>
            <w:pPr>
              <w:spacing w:after="0"/>
              <w:rPr>
                <w:rFonts w:ascii="Arial" w:cs="Arial" w:eastAsia="Arial" w:hAnsi="Arial"/>
                <w:sz w:val="18"/>
                <w:szCs w:val="18"/>
                <w:u w:val="single" w:color="auto"/>
                <w:color w:val="0000EE"/>
                <w:w w:val="91"/>
              </w:rPr>
            </w:pPr>
            <w:hyperlink w:anchor="page24">
              <w:r>
                <w:rPr>
                  <w:rFonts w:ascii="Arial" w:cs="Arial" w:eastAsia="Arial" w:hAnsi="Arial"/>
                  <w:sz w:val="18"/>
                  <w:szCs w:val="18"/>
                  <w:u w:val="single" w:color="auto"/>
                  <w:color w:val="0000EE"/>
                  <w:w w:val="91"/>
                </w:rPr>
                <w:t>Certification of CEO pursuant to Rules 13a-14(a) and 15d-14(a) adopted pursuant to Section 302 of the Sarbanes-Oxley Act of 2002.</w:t>
              </w:r>
            </w:hyperlink>
          </w:p>
        </w:tc>
      </w:tr>
      <w:tr>
        <w:trPr>
          <w:trHeight w:val="216"/>
        </w:trPr>
        <w:tc>
          <w:tcPr>
            <w:tcW w:w="64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460" w:type="dxa"/>
            <w:vAlign w:val="bottom"/>
          </w:tcPr>
          <w:p>
            <w:pPr>
              <w:spacing w:after="0"/>
              <w:rPr>
                <w:sz w:val="18"/>
                <w:szCs w:val="18"/>
                <w:color w:val="auto"/>
              </w:rPr>
            </w:pPr>
          </w:p>
        </w:tc>
        <w:tc>
          <w:tcPr>
            <w:tcW w:w="9640" w:type="dxa"/>
            <w:vAlign w:val="bottom"/>
            <w:gridSpan w:val="7"/>
          </w:tcPr>
          <w:p>
            <w:pPr>
              <w:spacing w:after="0"/>
              <w:rPr>
                <w:rFonts w:ascii="Arial" w:cs="Arial" w:eastAsia="Arial" w:hAnsi="Arial"/>
                <w:sz w:val="18"/>
                <w:szCs w:val="18"/>
                <w:u w:val="single" w:color="auto"/>
                <w:color w:val="0000EE"/>
                <w:w w:val="91"/>
              </w:rPr>
            </w:pPr>
            <w:hyperlink w:anchor="page25">
              <w:r>
                <w:rPr>
                  <w:rFonts w:ascii="Arial" w:cs="Arial" w:eastAsia="Arial" w:hAnsi="Arial"/>
                  <w:sz w:val="18"/>
                  <w:szCs w:val="18"/>
                  <w:u w:val="single" w:color="auto"/>
                  <w:color w:val="0000EE"/>
                  <w:w w:val="91"/>
                </w:rPr>
                <w:t>Certification of CFO pursuant to Rules 13a-14(a) and 15d-14(a) adopted pursuant to Section 302 of the Sarbanes-Oxley Act of 2002.</w:t>
              </w:r>
            </w:hyperlink>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20"/>
                <w:szCs w:val="20"/>
                <w:color w:val="auto"/>
              </w:rPr>
            </w:pPr>
          </w:p>
        </w:tc>
        <w:tc>
          <w:tcPr>
            <w:tcW w:w="9640" w:type="dxa"/>
            <w:vAlign w:val="bottom"/>
            <w:gridSpan w:val="7"/>
          </w:tcPr>
          <w:p>
            <w:pPr>
              <w:spacing w:after="0"/>
              <w:rPr>
                <w:rFonts w:ascii="Arial" w:cs="Arial" w:eastAsia="Arial" w:hAnsi="Arial"/>
                <w:sz w:val="18"/>
                <w:szCs w:val="18"/>
                <w:u w:val="single" w:color="auto"/>
                <w:color w:val="0000EE"/>
                <w:w w:val="94"/>
              </w:rPr>
            </w:pPr>
            <w:hyperlink w:anchor="page26">
              <w:r>
                <w:rPr>
                  <w:rFonts w:ascii="Arial" w:cs="Arial" w:eastAsia="Arial" w:hAnsi="Arial"/>
                  <w:sz w:val="18"/>
                  <w:szCs w:val="18"/>
                  <w:u w:val="single" w:color="auto"/>
                  <w:color w:val="0000EE"/>
                  <w:w w:val="94"/>
                </w:rPr>
                <w:t>Certification of CEO pursuant to 18 U.S.C. Section 1350 as adopted pursuant to Section 906 of the Sarbanes-Oxley Act of 2002.</w:t>
              </w:r>
            </w:hyperlink>
          </w:p>
        </w:tc>
      </w:tr>
    </w:tbl>
    <w:p>
      <w:pPr>
        <w:sectPr>
          <w:pgSz w:w="11900" w:h="16851" w:orient="portrait"/>
          <w:cols w:equalWidth="0" w:num="1">
            <w:col w:w="11240"/>
          </w:cols>
          <w:pgMar w:left="320" w:top="125" w:right="339" w:bottom="0" w:gutter="0" w:footer="0" w:header="0"/>
        </w:sectPr>
      </w:pPr>
    </w:p>
    <w:bookmarkStart w:id="22" w:name="page23"/>
    <w:bookmarkEnd w:id="22"/>
    <w:p>
      <w:pPr>
        <w:ind w:left="320"/>
        <w:spacing w:after="0"/>
        <w:rPr>
          <w:sz w:val="20"/>
          <w:szCs w:val="20"/>
          <w:color w:val="auto"/>
        </w:rPr>
      </w:pPr>
      <w:r>
        <w:rPr>
          <w:rFonts w:ascii="Arial" w:cs="Arial" w:eastAsia="Arial" w:hAnsi="Arial"/>
          <w:sz w:val="17"/>
          <w:szCs w:val="17"/>
          <w:color w:val="auto"/>
        </w:rPr>
        <w:t>32.2**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Certification of CFO pursuant to 18 U.S.C. Section 1350 as adopted pursuant to Section 906 of the Sarbanes-Oxley Act of 2002.</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iXBRL and contained in Exhibit 101)</w:t>
      </w:r>
    </w:p>
    <w:p>
      <w:pPr>
        <w:spacing w:after="0" w:line="200" w:lineRule="exact"/>
        <w:rPr>
          <w:sz w:val="20"/>
          <w:szCs w:val="20"/>
          <w:color w:val="auto"/>
        </w:rPr>
      </w:pPr>
    </w:p>
    <w:p>
      <w:pPr>
        <w:sectPr>
          <w:pgSz w:w="11900" w:h="16838" w:orient="portrait"/>
          <w:cols w:equalWidth="0" w:num="2">
            <w:col w:w="800" w:space="540"/>
            <w:col w:w="9900"/>
          </w:cols>
          <w:pgMar w:left="320" w:top="125" w:right="339" w:bottom="1440" w:gutter="0" w:footer="0" w:header="0"/>
        </w:sectPr>
      </w:pPr>
    </w:p>
    <w:p>
      <w:pPr>
        <w:spacing w:after="0" w:line="1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540" w:type="dxa"/>
            <w:vAlign w:val="bottom"/>
            <w:gridSpan w:val="4"/>
          </w:tcPr>
          <w:p>
            <w:pPr>
              <w:ind w:left="1880"/>
              <w:spacing w:after="0"/>
              <w:rPr>
                <w:sz w:val="20"/>
                <w:szCs w:val="20"/>
                <w:color w:val="auto"/>
              </w:rPr>
            </w:pPr>
            <w:r>
              <w:rPr>
                <w:rFonts w:ascii="Arial" w:cs="Arial" w:eastAsia="Arial" w:hAnsi="Arial"/>
                <w:sz w:val="18"/>
                <w:szCs w:val="18"/>
                <w:color w:val="auto"/>
              </w:rPr>
              <w:t>RUSH ENTERPRISES, INC.</w:t>
            </w:r>
          </w:p>
        </w:tc>
      </w:tr>
      <w:tr>
        <w:trPr>
          <w:trHeight w:val="82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00"/>
              <w:spacing w:after="0"/>
              <w:rPr>
                <w:sz w:val="20"/>
                <w:szCs w:val="20"/>
                <w:color w:val="auto"/>
              </w:rPr>
            </w:pPr>
            <w:r>
              <w:rPr>
                <w:rFonts w:ascii="Arial" w:cs="Arial" w:eastAsia="Arial" w:hAnsi="Arial"/>
                <w:sz w:val="18"/>
                <w:szCs w:val="18"/>
                <w:color w:val="auto"/>
              </w:rPr>
              <w:t>May 11, 2020</w:t>
            </w:r>
          </w:p>
        </w:tc>
        <w:tc>
          <w:tcPr>
            <w:tcW w:w="5540" w:type="dxa"/>
            <w:vAlign w:val="bottom"/>
            <w:gridSpan w:val="4"/>
          </w:tcPr>
          <w:p>
            <w:pPr>
              <w:ind w:left="1880"/>
              <w:spacing w:after="0"/>
              <w:rPr>
                <w:sz w:val="20"/>
                <w:szCs w:val="20"/>
                <w:color w:val="auto"/>
              </w:rPr>
            </w:pPr>
            <w:r>
              <w:rPr>
                <w:rFonts w:ascii="Arial" w:cs="Arial" w:eastAsia="Arial" w:hAnsi="Arial"/>
                <w:sz w:val="18"/>
                <w:szCs w:val="18"/>
                <w:color w:val="auto"/>
              </w:rPr>
              <w:t>By:  /S/ W.M. “RUSTY” RUSH</w:t>
            </w:r>
          </w:p>
        </w:tc>
      </w:tr>
      <w:tr>
        <w:trPr>
          <w:trHeight w:val="222"/>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W.M. “Rusty” Rush</w:t>
            </w:r>
          </w:p>
        </w:tc>
        <w:tc>
          <w:tcPr>
            <w:tcW w:w="1260" w:type="dxa"/>
            <w:vAlign w:val="bottom"/>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82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00"/>
              <w:spacing w:after="0"/>
              <w:rPr>
                <w:sz w:val="20"/>
                <w:szCs w:val="20"/>
                <w:color w:val="auto"/>
              </w:rPr>
            </w:pPr>
            <w:r>
              <w:rPr>
                <w:rFonts w:ascii="Arial" w:cs="Arial" w:eastAsia="Arial" w:hAnsi="Arial"/>
                <w:sz w:val="18"/>
                <w:szCs w:val="18"/>
                <w:color w:val="auto"/>
              </w:rPr>
              <w:t>May 11, 2020</w:t>
            </w:r>
          </w:p>
        </w:tc>
        <w:tc>
          <w:tcPr>
            <w:tcW w:w="2320" w:type="dxa"/>
            <w:vAlign w:val="bottom"/>
          </w:tcPr>
          <w:p>
            <w:pPr>
              <w:spacing w:after="0"/>
              <w:rPr>
                <w:sz w:val="24"/>
                <w:szCs w:val="24"/>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/S/ STEVEN L. KELLER</w:t>
            </w:r>
          </w:p>
        </w:tc>
      </w:tr>
      <w:tr>
        <w:trPr>
          <w:trHeight w:val="222"/>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gridSpan w:val="2"/>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w w:val="92"/>
              </w:rPr>
              <w:t>(Principal Financial and Accounting Officer)</w:t>
            </w:r>
          </w:p>
        </w:tc>
      </w:tr>
      <w:tr>
        <w:trPr>
          <w:trHeight w:val="432"/>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263" w:lineRule="auto"/>
        <w:tabs>
          <w:tab w:leader="none" w:pos="36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408"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8"/>
        <w:spacing w:after="0" w:line="263" w:lineRule="auto"/>
        <w:tabs>
          <w:tab w:leader="none" w:pos="4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20" w:firstLine="494"/>
        <w:spacing w:after="0" w:line="263" w:lineRule="auto"/>
        <w:tabs>
          <w:tab w:leader="none" w:pos="109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20" w:firstLine="494"/>
        <w:spacing w:after="0" w:line="263" w:lineRule="auto"/>
        <w:tabs>
          <w:tab w:leader="none" w:pos="9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494"/>
        <w:spacing w:after="0" w:line="342" w:lineRule="auto"/>
        <w:tabs>
          <w:tab w:leader="none" w:pos="1006"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494"/>
        <w:spacing w:after="0" w:line="263" w:lineRule="auto"/>
        <w:tabs>
          <w:tab w:leader="none" w:pos="1001"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39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494"/>
        <w:spacing w:after="0" w:line="277" w:lineRule="auto"/>
        <w:tabs>
          <w:tab w:leader="none" w:pos="1047"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94"/>
        <w:spacing w:after="0" w:line="277" w:lineRule="auto"/>
        <w:tabs>
          <w:tab w:leader="none" w:pos="98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May 11, 2020</w:t>
            </w:r>
          </w:p>
        </w:tc>
        <w:tc>
          <w:tcPr>
            <w:tcW w:w="5140" w:type="dxa"/>
            <w:vAlign w:val="bottom"/>
            <w:gridSpan w:val="3"/>
          </w:tcPr>
          <w:p>
            <w:pPr>
              <w:ind w:left="2020"/>
              <w:spacing w:after="0"/>
              <w:rPr>
                <w:sz w:val="20"/>
                <w:szCs w:val="20"/>
                <w:color w:val="auto"/>
              </w:rPr>
            </w:pPr>
            <w:r>
              <w:rPr>
                <w:rFonts w:ascii="Arial" w:cs="Arial" w:eastAsia="Arial" w:hAnsi="Arial"/>
                <w:sz w:val="18"/>
                <w:szCs w:val="18"/>
                <w:color w:val="auto"/>
              </w:rPr>
              <w:t>By: /S/ W.M. “RUSTY” RUSH</w:t>
            </w:r>
          </w:p>
        </w:tc>
      </w:tr>
      <w:tr>
        <w:trPr>
          <w:trHeight w:val="222"/>
        </w:trPr>
        <w:tc>
          <w:tcPr>
            <w:tcW w:w="3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“Rusty” Rush</w:t>
            </w:r>
          </w:p>
        </w:tc>
        <w:tc>
          <w:tcPr>
            <w:tcW w:w="82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60"/>
          </w:cols>
          <w:pgMar w:left="320" w:top="125" w:right="7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18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263" w:lineRule="auto"/>
        <w:tabs>
          <w:tab w:leader="none" w:pos="36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408"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8"/>
        <w:spacing w:after="0" w:line="263" w:lineRule="auto"/>
        <w:tabs>
          <w:tab w:leader="none" w:pos="4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20" w:firstLine="494"/>
        <w:spacing w:after="0" w:line="263" w:lineRule="auto"/>
        <w:tabs>
          <w:tab w:leader="none" w:pos="109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20" w:firstLine="494"/>
        <w:spacing w:after="0" w:line="263" w:lineRule="auto"/>
        <w:tabs>
          <w:tab w:leader="none" w:pos="9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494"/>
        <w:spacing w:after="0" w:line="342" w:lineRule="auto"/>
        <w:tabs>
          <w:tab w:leader="none" w:pos="1006"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494"/>
        <w:spacing w:after="0" w:line="263" w:lineRule="auto"/>
        <w:tabs>
          <w:tab w:leader="none" w:pos="1001"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39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494"/>
        <w:spacing w:after="0" w:line="277" w:lineRule="auto"/>
        <w:tabs>
          <w:tab w:leader="none" w:pos="1047"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94"/>
        <w:spacing w:after="0" w:line="277" w:lineRule="auto"/>
        <w:tabs>
          <w:tab w:leader="none" w:pos="98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May 11, 2020</w:t>
            </w:r>
          </w:p>
        </w:tc>
        <w:tc>
          <w:tcPr>
            <w:tcW w:w="5580" w:type="dxa"/>
            <w:vAlign w:val="bottom"/>
            <w:gridSpan w:val="3"/>
          </w:tcPr>
          <w:p>
            <w:pPr>
              <w:ind w:left="2020"/>
              <w:spacing w:after="0"/>
              <w:rPr>
                <w:sz w:val="20"/>
                <w:szCs w:val="20"/>
                <w:color w:val="auto"/>
              </w:rPr>
            </w:pPr>
            <w:r>
              <w:rPr>
                <w:rFonts w:ascii="Arial" w:cs="Arial" w:eastAsia="Arial" w:hAnsi="Arial"/>
                <w:sz w:val="18"/>
                <w:szCs w:val="18"/>
                <w:color w:val="auto"/>
              </w:rPr>
              <w:t>By: /S/ STEVEN L. KELLER</w:t>
            </w:r>
          </w:p>
        </w:tc>
      </w:tr>
      <w:tr>
        <w:trPr>
          <w:trHeight w:val="222"/>
        </w:trPr>
        <w:tc>
          <w:tcPr>
            <w:tcW w:w="3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0860"/>
          </w:cols>
          <w:pgMar w:left="320" w:top="125" w:right="7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2020,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8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tbl>
      <w:tblPr>
        <w:tblLayout w:type="fixed"/>
        <w:tblInd w:w="5620" w:type="dxa"/>
        <w:tblCellMar>
          <w:top w:w="0" w:type="dxa"/>
          <w:left w:w="0" w:type="dxa"/>
          <w:bottom w:w="0" w:type="dxa"/>
          <w:right w:w="0" w:type="dxa"/>
        </w:tblCellMar>
      </w:tblPr>
      <w:tr>
        <w:trPr>
          <w:trHeight w:val="199"/>
        </w:trPr>
        <w:tc>
          <w:tcPr>
            <w:tcW w:w="480" w:type="dxa"/>
            <w:vAlign w:val="bottom"/>
          </w:tcPr>
          <w:p>
            <w:pPr>
              <w:spacing w:after="0" w:line="199" w:lineRule="exact"/>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2780" w:type="dxa"/>
            <w:vAlign w:val="bottom"/>
            <w:gridSpan w:val="2"/>
          </w:tcPr>
          <w:p>
            <w:pPr>
              <w:spacing w:after="0" w:line="199" w:lineRule="exact"/>
              <w:rPr>
                <w:sz w:val="20"/>
                <w:szCs w:val="20"/>
                <w:color w:val="auto"/>
              </w:rPr>
            </w:pPr>
            <w:r>
              <w:rPr>
                <w:rFonts w:ascii="Arial" w:cs="Arial" w:eastAsia="Arial" w:hAnsi="Arial"/>
                <w:sz w:val="18"/>
                <w:szCs w:val="18"/>
                <w:color w:val="auto"/>
              </w:rPr>
              <w:t>/S/ W.M. “RUSTY” RUSH</w:t>
            </w:r>
          </w:p>
        </w:tc>
      </w:tr>
      <w:tr>
        <w:trPr>
          <w:trHeight w:val="20"/>
        </w:trPr>
        <w:tc>
          <w:tcPr>
            <w:tcW w:w="580" w:type="dxa"/>
            <w:vAlign w:val="bottom"/>
            <w:gridSpan w:val="2"/>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3360" w:type="dxa"/>
            <w:vAlign w:val="bottom"/>
            <w:gridSpan w:val="4"/>
          </w:tcPr>
          <w:p>
            <w:pPr>
              <w:spacing w:after="0"/>
              <w:rPr>
                <w:sz w:val="20"/>
                <w:szCs w:val="20"/>
                <w:color w:val="auto"/>
              </w:rPr>
            </w:pPr>
            <w:r>
              <w:rPr>
                <w:rFonts w:ascii="Arial" w:cs="Arial" w:eastAsia="Arial" w:hAnsi="Arial"/>
                <w:sz w:val="18"/>
                <w:szCs w:val="18"/>
                <w:color w:val="auto"/>
              </w:rPr>
              <w:t>Name: W.M. “Rusty” Rush</w:t>
            </w:r>
          </w:p>
        </w:tc>
      </w:tr>
      <w:tr>
        <w:trPr>
          <w:trHeight w:val="216"/>
        </w:trPr>
        <w:tc>
          <w:tcPr>
            <w:tcW w:w="3360" w:type="dxa"/>
            <w:vAlign w:val="bottom"/>
            <w:gridSpan w:val="4"/>
          </w:tcPr>
          <w:p>
            <w:pPr>
              <w:spacing w:after="0"/>
              <w:rPr>
                <w:sz w:val="20"/>
                <w:szCs w:val="20"/>
                <w:color w:val="auto"/>
              </w:rPr>
            </w:pPr>
            <w:r>
              <w:rPr>
                <w:rFonts w:ascii="Arial" w:cs="Arial" w:eastAsia="Arial" w:hAnsi="Arial"/>
                <w:sz w:val="18"/>
                <w:szCs w:val="18"/>
                <w:color w:val="auto"/>
                <w:w w:val="94"/>
              </w:rPr>
              <w:t>Title:  President, Chief Executive Officer and</w:t>
            </w:r>
          </w:p>
        </w:tc>
      </w:tr>
      <w:tr>
        <w:trPr>
          <w:trHeight w:val="216"/>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3"/>
          </w:tcPr>
          <w:p>
            <w:pPr>
              <w:ind w:left="100"/>
              <w:spacing w:after="0"/>
              <w:rPr>
                <w:sz w:val="20"/>
                <w:szCs w:val="20"/>
                <w:color w:val="auto"/>
              </w:rPr>
            </w:pPr>
            <w:r>
              <w:rPr>
                <w:rFonts w:ascii="Arial" w:cs="Arial" w:eastAsia="Arial" w:hAnsi="Arial"/>
                <w:sz w:val="18"/>
                <w:szCs w:val="18"/>
                <w:color w:val="auto"/>
              </w:rPr>
              <w:t>May 11, 2020</w:t>
            </w:r>
          </w:p>
        </w:tc>
      </w:tr>
    </w:tbl>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0860"/>
          </w:cols>
          <w:pgMar w:left="320" w:top="125" w:right="7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STEVEN L. KELLER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Steven L. Keller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11, 2020</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0860"/>
      </w:cols>
      <w:pgMar w:left="32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9" Type="http://schemas.openxmlformats.org/officeDocument/2006/relationships/image" Target="media/image29.png"/><Relationship Id="rId36" Type="http://schemas.openxmlformats.org/officeDocument/2006/relationships/hyperlink" Target="http://www.sec.gov/Archives/edgar/data/1012019/000110465908051789/a08-18770_1ex3d1.htm" TargetMode="External"/><Relationship Id="rId37" Type="http://schemas.openxmlformats.org/officeDocument/2006/relationships/hyperlink" Target="http://www.sec.gov/Archives/edgar/data/1012019/000143774913006455/rusha20130517_8kex3-1.htm" TargetMode="External"/><Relationship Id="rId38" Type="http://schemas.openxmlformats.org/officeDocument/2006/relationships/hyperlink" Target="http://www.sec.gov/ix?doc=/Archives/edgar/data/1012019/000143774920006114/rusha20200323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2020-05-11T12:42:21Z</dcterms:created>
  <dcterms:modified xsi:type="dcterms:W3CDTF">2020-05-11T12:42:21Z</dcterms:modified>
</cp:coreProperties>
</file>