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PURSUANT TO SECTION 13 OR 15(D) OF THE SECURITIES EXCHANGE ACT OF 1934</w:t>
      </w:r>
    </w:p>
    <w:p>
      <w:pPr>
        <w:spacing w:after="0" w:line="207" w:lineRule="exact"/>
        <w:rPr>
          <w:rFonts w:ascii="MS PGothic" w:cs="MS PGothic" w:eastAsia="MS PGothic" w:hAnsi="MS PGothic"/>
          <w:sz w:val="18"/>
          <w:szCs w:val="18"/>
          <w:color w:val="auto"/>
        </w:rPr>
      </w:pPr>
    </w:p>
    <w:p>
      <w:pPr>
        <w:ind w:left="38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2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OR</w:t>
      </w:r>
    </w:p>
    <w:p>
      <w:pPr>
        <w:spacing w:after="0" w:line="22" w:lineRule="exact"/>
        <w:rPr>
          <w:sz w:val="24"/>
          <w:szCs w:val="24"/>
          <w:color w:val="auto"/>
        </w:rPr>
      </w:pPr>
    </w:p>
    <w:p>
      <w:pPr>
        <w:ind w:left="2440" w:right="1900" w:hanging="2432"/>
        <w:spacing w:after="0" w:line="493"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PURSUANT TO SECTION 13 OR 15(d) OF THE SECURITIES EXCHANGE ACT OF 1934 For the transition period from _____________________ to _______________________</w:t>
      </w:r>
    </w:p>
    <w:tbl>
      <w:tblPr>
        <w:tblLayout w:type="fixed"/>
        <w:tblInd w:w="80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rPr>
              <w:t>Commission File Number 0-20797</w:t>
            </w:r>
          </w:p>
        </w:tc>
      </w:tr>
      <w:tr>
        <w:trPr>
          <w:trHeight w:val="414"/>
        </w:trPr>
        <w:tc>
          <w:tcPr>
            <w:tcW w:w="2540" w:type="dxa"/>
            <w:vAlign w:val="bottom"/>
          </w:tcPr>
          <w:p>
            <w:pPr>
              <w:spacing w:after="0"/>
              <w:rPr>
                <w:sz w:val="24"/>
                <w:szCs w:val="24"/>
                <w:color w:val="auto"/>
              </w:rPr>
            </w:pPr>
          </w:p>
        </w:tc>
        <w:tc>
          <w:tcPr>
            <w:tcW w:w="7340" w:type="dxa"/>
            <w:vAlign w:val="bottom"/>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RUSH ENTERPRISES, INC.</w:t>
            </w:r>
          </w:p>
        </w:tc>
      </w:tr>
      <w:tr>
        <w:trPr>
          <w:trHeight w:val="234"/>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2540" w:type="dxa"/>
            <w:vAlign w:val="bottom"/>
          </w:tcPr>
          <w:p>
            <w:pPr>
              <w:jc w:val="center"/>
              <w:ind w:right="310"/>
              <w:spacing w:after="0"/>
              <w:rPr>
                <w:sz w:val="20"/>
                <w:szCs w:val="20"/>
                <w:color w:val="auto"/>
              </w:rPr>
            </w:pPr>
            <w:r>
              <w:rPr>
                <w:rFonts w:ascii="Times New Roman" w:cs="Times New Roman" w:eastAsia="Times New Roman" w:hAnsi="Times New Roman"/>
                <w:sz w:val="18"/>
                <w:szCs w:val="18"/>
                <w:color w:val="auto"/>
                <w:w w:val="97"/>
              </w:rPr>
              <w:t>Texas</w:t>
            </w:r>
          </w:p>
        </w:tc>
        <w:tc>
          <w:tcPr>
            <w:tcW w:w="734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74-1733016</w:t>
            </w:r>
          </w:p>
        </w:tc>
      </w:tr>
      <w:tr>
        <w:trPr>
          <w:trHeight w:val="216"/>
        </w:trPr>
        <w:tc>
          <w:tcPr>
            <w:tcW w:w="2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7340" w:type="dxa"/>
            <w:vAlign w:val="bottom"/>
          </w:tcPr>
          <w:p>
            <w:pPr>
              <w:jc w:val="center"/>
              <w:ind w:left="4630"/>
              <w:spacing w:after="0"/>
              <w:rPr>
                <w:sz w:val="20"/>
                <w:szCs w:val="20"/>
                <w:color w:val="auto"/>
              </w:rPr>
            </w:pPr>
            <w:r>
              <w:rPr>
                <w:rFonts w:ascii="Times New Roman" w:cs="Times New Roman" w:eastAsia="Times New Roman" w:hAnsi="Times New Roman"/>
                <w:sz w:val="18"/>
                <w:szCs w:val="18"/>
                <w:color w:val="auto"/>
              </w:rPr>
              <w:t>(I.R.S. Employer Identification No.)</w:t>
            </w:r>
          </w:p>
        </w:tc>
      </w:tr>
      <w:tr>
        <w:trPr>
          <w:trHeight w:val="234"/>
        </w:trPr>
        <w:tc>
          <w:tcPr>
            <w:tcW w:w="254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7340" w:type="dxa"/>
            <w:vAlign w:val="bottom"/>
          </w:tcPr>
          <w:p>
            <w:pPr>
              <w:spacing w:after="0"/>
              <w:rPr>
                <w:sz w:val="20"/>
                <w:szCs w:val="20"/>
                <w:color w:val="auto"/>
              </w:rPr>
            </w:pPr>
          </w:p>
        </w:tc>
      </w:tr>
      <w:tr>
        <w:trPr>
          <w:trHeight w:val="414"/>
        </w:trPr>
        <w:tc>
          <w:tcPr>
            <w:tcW w:w="2540" w:type="dxa"/>
            <w:vAlign w:val="bottom"/>
          </w:tcPr>
          <w:p>
            <w:pPr>
              <w:spacing w:after="0"/>
              <w:rPr>
                <w:sz w:val="24"/>
                <w:szCs w:val="24"/>
                <w:color w:val="auto"/>
              </w:rPr>
            </w:pPr>
          </w:p>
        </w:tc>
        <w:tc>
          <w:tcPr>
            <w:tcW w:w="734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w w:val="99"/>
              </w:rPr>
              <w:t>555 I.H. 35 South, Suite 500</w:t>
            </w:r>
          </w:p>
        </w:tc>
      </w:tr>
      <w:tr>
        <w:trPr>
          <w:trHeight w:val="216"/>
        </w:trPr>
        <w:tc>
          <w:tcPr>
            <w:tcW w:w="2540" w:type="dxa"/>
            <w:vAlign w:val="bottom"/>
          </w:tcPr>
          <w:p>
            <w:pPr>
              <w:spacing w:after="0"/>
              <w:rPr>
                <w:sz w:val="18"/>
                <w:szCs w:val="18"/>
                <w:color w:val="auto"/>
              </w:rPr>
            </w:pPr>
          </w:p>
        </w:tc>
        <w:tc>
          <w:tcPr>
            <w:tcW w:w="734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New Braunfels, Texas 78130</w:t>
            </w:r>
          </w:p>
        </w:tc>
      </w:tr>
      <w:tr>
        <w:trPr>
          <w:trHeight w:val="216"/>
        </w:trPr>
        <w:tc>
          <w:tcPr>
            <w:tcW w:w="2540" w:type="dxa"/>
            <w:vAlign w:val="bottom"/>
          </w:tcPr>
          <w:p>
            <w:pPr>
              <w:spacing w:after="0"/>
              <w:rPr>
                <w:sz w:val="18"/>
                <w:szCs w:val="18"/>
                <w:color w:val="auto"/>
              </w:rPr>
            </w:pPr>
          </w:p>
        </w:tc>
        <w:tc>
          <w:tcPr>
            <w:tcW w:w="7340" w:type="dxa"/>
            <w:vAlign w:val="bottom"/>
          </w:tcPr>
          <w:p>
            <w:pPr>
              <w:jc w:val="center"/>
              <w:ind w:right="267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34"/>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rPr>
              <w:t>(Zip Code)</w:t>
            </w:r>
          </w:p>
        </w:tc>
      </w:tr>
      <w:tr>
        <w:trPr>
          <w:trHeight w:val="414"/>
        </w:trPr>
        <w:tc>
          <w:tcPr>
            <w:tcW w:w="2540" w:type="dxa"/>
            <w:vAlign w:val="bottom"/>
          </w:tcPr>
          <w:p>
            <w:pPr>
              <w:spacing w:after="0"/>
              <w:rPr>
                <w:sz w:val="24"/>
                <w:szCs w:val="24"/>
                <w:color w:val="auto"/>
              </w:rPr>
            </w:pPr>
          </w:p>
        </w:tc>
        <w:tc>
          <w:tcPr>
            <w:tcW w:w="734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(830) 302-5200</w:t>
            </w:r>
          </w:p>
        </w:tc>
      </w:tr>
      <w:tr>
        <w:trPr>
          <w:trHeight w:val="234"/>
        </w:trPr>
        <w:tc>
          <w:tcPr>
            <w:tcW w:w="2540" w:type="dxa"/>
            <w:vAlign w:val="bottom"/>
          </w:tcPr>
          <w:p>
            <w:pPr>
              <w:spacing w:after="0"/>
              <w:rPr>
                <w:sz w:val="20"/>
                <w:szCs w:val="20"/>
                <w:color w:val="auto"/>
              </w:rPr>
            </w:pPr>
          </w:p>
        </w:tc>
        <w:tc>
          <w:tcPr>
            <w:tcW w:w="7340" w:type="dxa"/>
            <w:vAlign w:val="bottom"/>
          </w:tcPr>
          <w:p>
            <w:pPr>
              <w:jc w:val="center"/>
              <w:ind w:right="269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r>
    </w:tbl>
    <w:p>
      <w:pPr>
        <w:spacing w:after="0" w:line="198" w:lineRule="exact"/>
        <w:rPr>
          <w:sz w:val="24"/>
          <w:szCs w:val="24"/>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 w:lineRule="exact"/>
        <w:rPr>
          <w:sz w:val="24"/>
          <w:szCs w:val="24"/>
          <w:color w:val="auto"/>
        </w:rPr>
      </w:pPr>
    </w:p>
    <w:p>
      <w:pPr>
        <w:ind w:left="6320"/>
        <w:spacing w:after="0" w:line="207" w:lineRule="exact"/>
        <w:tabs>
          <w:tab w:leader="none" w:pos="75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right="20" w:firstLine="648"/>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ind w:left="6320"/>
        <w:spacing w:after="0" w:line="207" w:lineRule="exact"/>
        <w:tabs>
          <w:tab w:leader="none" w:pos="758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No </w:t>
      </w:r>
      <w:r>
        <w:rPr>
          <w:rFonts w:ascii="MS PGothic" w:cs="MS PGothic" w:eastAsia="MS PGothic" w:hAnsi="MS PGothic"/>
          <w:sz w:val="17"/>
          <w:szCs w:val="17"/>
          <w:color w:val="auto"/>
        </w:rPr>
        <w:t>☐</w:t>
      </w:r>
    </w:p>
    <w:p>
      <w:pPr>
        <w:spacing w:after="0" w:line="212" w:lineRule="exact"/>
        <w:rPr>
          <w:sz w:val="24"/>
          <w:szCs w:val="24"/>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340"/>
        <w:spacing w:after="0" w:line="207" w:lineRule="exact"/>
        <w:tabs>
          <w:tab w:leader="none" w:pos="2840" w:val="left"/>
          <w:tab w:leader="none" w:pos="5360" w:val="left"/>
          <w:tab w:leader="none" w:pos="788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Smaller Reporting company </w:t>
      </w:r>
      <w:r>
        <w:rPr>
          <w:rFonts w:ascii="MS PGothic" w:cs="MS PGothic" w:eastAsia="MS PGothic" w:hAnsi="MS PGothic"/>
          <w:sz w:val="17"/>
          <w:szCs w:val="17"/>
          <w:color w:val="auto"/>
        </w:rPr>
        <w:t>☐</w:t>
      </w:r>
    </w:p>
    <w:p>
      <w:pPr>
        <w:spacing w:after="0" w:line="225" w:lineRule="exact"/>
        <w:rPr>
          <w:sz w:val="24"/>
          <w:szCs w:val="24"/>
          <w:color w:val="auto"/>
        </w:rPr>
      </w:pPr>
    </w:p>
    <w:p>
      <w:pPr>
        <w:ind w:left="790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jc w:val="both"/>
        <w:ind w:firstLine="648"/>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2" w:lineRule="exact"/>
        <w:rPr>
          <w:sz w:val="24"/>
          <w:szCs w:val="24"/>
          <w:color w:val="auto"/>
        </w:rPr>
      </w:pPr>
    </w:p>
    <w:p>
      <w:pPr>
        <w:ind w:left="7140"/>
        <w:spacing w:after="0" w:line="207" w:lineRule="exact"/>
        <w:tabs>
          <w:tab w:leader="none" w:pos="840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color w:val="auto"/>
        </w:rPr>
        <w:t xml:space="preserve">No </w:t>
      </w:r>
      <w:r>
        <w:rPr>
          <w:rFonts w:ascii="MS PGothic" w:cs="MS PGothic" w:eastAsia="MS PGothic" w:hAnsi="MS PGothic"/>
          <w:sz w:val="16"/>
          <w:szCs w:val="16"/>
          <w:color w:val="auto"/>
        </w:rPr>
        <w:t>☑</w:t>
      </w:r>
    </w:p>
    <w:p>
      <w:pPr>
        <w:spacing w:after="0" w:line="212" w:lineRule="exact"/>
        <w:rPr>
          <w:sz w:val="24"/>
          <w:szCs w:val="24"/>
          <w:color w:val="auto"/>
        </w:rPr>
      </w:pPr>
    </w:p>
    <w:p>
      <w:pPr>
        <w:ind w:left="660"/>
        <w:spacing w:after="0"/>
        <w:rPr>
          <w:sz w:val="20"/>
          <w:szCs w:val="20"/>
          <w:color w:val="auto"/>
        </w:rPr>
      </w:pPr>
      <w:r>
        <w:rPr>
          <w:rFonts w:ascii="Times New Roman" w:cs="Times New Roman" w:eastAsia="Times New Roman" w:hAnsi="Times New Roman"/>
          <w:sz w:val="18"/>
          <w:szCs w:val="18"/>
          <w:color w:val="auto"/>
        </w:rPr>
        <w:t>Indicated below is the number of shares outstanding of each of the issuer’s classes of common stock, as of April 30, 2025.</w:t>
      </w:r>
    </w:p>
    <w:p>
      <w:pPr>
        <w:spacing w:after="0" w:line="225" w:lineRule="exact"/>
        <w:rPr>
          <w:sz w:val="24"/>
          <w:szCs w:val="24"/>
          <w:color w:val="auto"/>
        </w:rPr>
      </w:pPr>
    </w:p>
    <w:tbl>
      <w:tblPr>
        <w:tblLayout w:type="fixed"/>
        <w:tblInd w:w="90" w:type="dxa"/>
        <w:tblCellMar>
          <w:top w:w="0" w:type="dxa"/>
          <w:left w:w="0" w:type="dxa"/>
          <w:bottom w:w="0" w:type="dxa"/>
          <w:right w:w="0" w:type="dxa"/>
        </w:tblCellMar>
      </w:tblPr>
      <w:tr>
        <w:trPr>
          <w:trHeight w:val="216"/>
        </w:trPr>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3840" w:type="dxa"/>
            <w:vAlign w:val="bottom"/>
            <w:gridSpan w:val="3"/>
          </w:tcPr>
          <w:p>
            <w:pPr>
              <w:jc w:val="center"/>
              <w:ind w:right="1460"/>
              <w:spacing w:after="0"/>
              <w:rPr>
                <w:sz w:val="20"/>
                <w:szCs w:val="20"/>
                <w:color w:val="auto"/>
              </w:rPr>
            </w:pPr>
            <w:r>
              <w:rPr>
                <w:rFonts w:ascii="Times New Roman" w:cs="Times New Roman" w:eastAsia="Times New Roman" w:hAnsi="Times New Roman"/>
                <w:sz w:val="18"/>
                <w:szCs w:val="18"/>
                <w:color w:val="auto"/>
                <w:w w:val="99"/>
              </w:rPr>
              <w:t>Number of Shares</w:t>
            </w:r>
          </w:p>
        </w:tc>
        <w:tc>
          <w:tcPr>
            <w:tcW w:w="0" w:type="dxa"/>
            <w:vAlign w:val="bottom"/>
          </w:tcPr>
          <w:p>
            <w:pPr>
              <w:spacing w:after="0"/>
              <w:rPr>
                <w:sz w:val="1"/>
                <w:szCs w:val="1"/>
                <w:color w:val="auto"/>
              </w:rPr>
            </w:pPr>
          </w:p>
        </w:tc>
      </w:tr>
      <w:tr>
        <w:trPr>
          <w:trHeight w:val="194"/>
        </w:trPr>
        <w:tc>
          <w:tcPr>
            <w:tcW w:w="1540" w:type="dxa"/>
            <w:vAlign w:val="bottom"/>
          </w:tcPr>
          <w:p>
            <w:pPr>
              <w:spacing w:after="0"/>
              <w:rPr>
                <w:sz w:val="16"/>
                <w:szCs w:val="16"/>
                <w:color w:val="auto"/>
              </w:rPr>
            </w:pPr>
          </w:p>
        </w:tc>
        <w:tc>
          <w:tcPr>
            <w:tcW w:w="96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6"/>
              </w:rPr>
              <w:t>Title of Class</w:t>
            </w:r>
          </w:p>
        </w:tc>
        <w:tc>
          <w:tcPr>
            <w:tcW w:w="2320" w:type="dxa"/>
            <w:vAlign w:val="bottom"/>
            <w:gridSpan w:val="2"/>
          </w:tcPr>
          <w:p>
            <w:pPr>
              <w:spacing w:after="0"/>
              <w:rPr>
                <w:sz w:val="16"/>
                <w:szCs w:val="16"/>
                <w:color w:val="auto"/>
              </w:rPr>
            </w:pPr>
          </w:p>
        </w:tc>
        <w:tc>
          <w:tcPr>
            <w:tcW w:w="2440" w:type="dxa"/>
            <w:vAlign w:val="bottom"/>
          </w:tcPr>
          <w:p>
            <w:pPr>
              <w:spacing w:after="0"/>
              <w:rPr>
                <w:sz w:val="16"/>
                <w:szCs w:val="16"/>
                <w:color w:val="auto"/>
              </w:rPr>
            </w:pPr>
          </w:p>
        </w:tc>
        <w:tc>
          <w:tcPr>
            <w:tcW w:w="3840" w:type="dxa"/>
            <w:vAlign w:val="bottom"/>
            <w:gridSpan w:val="3"/>
          </w:tcPr>
          <w:p>
            <w:pPr>
              <w:jc w:val="center"/>
              <w:ind w:right="1440"/>
              <w:spacing w:after="0" w:line="194" w:lineRule="exact"/>
              <w:rPr>
                <w:sz w:val="20"/>
                <w:szCs w:val="20"/>
                <w:color w:val="auto"/>
              </w:rPr>
            </w:pPr>
            <w:r>
              <w:rPr>
                <w:rFonts w:ascii="Times New Roman" w:cs="Times New Roman" w:eastAsia="Times New Roman" w:hAnsi="Times New Roman"/>
                <w:sz w:val="18"/>
                <w:szCs w:val="18"/>
                <w:color w:val="auto"/>
                <w:w w:val="99"/>
              </w:rPr>
              <w:t>Outstanding</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320" w:type="dxa"/>
            <w:vAlign w:val="bottom"/>
            <w:gridSpan w:val="2"/>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Class  A  Common  Stock,  $.01  Par</w:t>
            </w:r>
          </w:p>
        </w:tc>
        <w:tc>
          <w:tcPr>
            <w:tcW w:w="2440" w:type="dxa"/>
            <w:vAlign w:val="bottom"/>
          </w:tcPr>
          <w:p>
            <w:pPr>
              <w:spacing w:after="0"/>
              <w:rPr>
                <w:sz w:val="18"/>
                <w:szCs w:val="18"/>
                <w:color w:val="auto"/>
              </w:rPr>
            </w:pPr>
          </w:p>
        </w:tc>
        <w:tc>
          <w:tcPr>
            <w:tcW w:w="1640" w:type="dxa"/>
            <w:vAlign w:val="bottom"/>
            <w:gridSpan w:val="2"/>
            <w:vMerge w:val="restart"/>
          </w:tcPr>
          <w:p>
            <w:pPr>
              <w:jc w:val="center"/>
              <w:ind w:left="650"/>
              <w:spacing w:after="0"/>
              <w:rPr>
                <w:sz w:val="20"/>
                <w:szCs w:val="20"/>
                <w:color w:val="auto"/>
              </w:rPr>
            </w:pPr>
            <w:r>
              <w:rPr>
                <w:rFonts w:ascii="Times New Roman" w:cs="Times New Roman" w:eastAsia="Times New Roman" w:hAnsi="Times New Roman"/>
                <w:sz w:val="18"/>
                <w:szCs w:val="18"/>
                <w:color w:val="auto"/>
              </w:rPr>
              <w:t>61,195,715</w:t>
            </w:r>
          </w:p>
        </w:tc>
        <w:tc>
          <w:tcPr>
            <w:tcW w:w="2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4820" w:type="dxa"/>
            <w:vAlign w:val="bottom"/>
            <w:gridSpan w:val="4"/>
            <w:vMerge w:val="restart"/>
          </w:tcPr>
          <w:p>
            <w:pPr>
              <w:ind w:left="580"/>
              <w:spacing w:after="0"/>
              <w:rPr>
                <w:sz w:val="20"/>
                <w:szCs w:val="20"/>
                <w:color w:val="auto"/>
              </w:rPr>
            </w:pPr>
            <w:r>
              <w:rPr>
                <w:rFonts w:ascii="Times New Roman" w:cs="Times New Roman" w:eastAsia="Times New Roman" w:hAnsi="Times New Roman"/>
                <w:sz w:val="18"/>
                <w:szCs w:val="18"/>
                <w:color w:val="auto"/>
              </w:rPr>
              <w:t>Value</w:t>
            </w:r>
          </w:p>
        </w:tc>
        <w:tc>
          <w:tcPr>
            <w:tcW w:w="244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2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4820" w:type="dxa"/>
            <w:vAlign w:val="bottom"/>
            <w:gridSpan w:val="4"/>
            <w:vMerge w:val="continue"/>
          </w:tcPr>
          <w:p>
            <w:pPr>
              <w:spacing w:after="0"/>
              <w:rPr>
                <w:sz w:val="7"/>
                <w:szCs w:val="7"/>
                <w:color w:val="auto"/>
              </w:rPr>
            </w:pPr>
          </w:p>
        </w:tc>
        <w:tc>
          <w:tcPr>
            <w:tcW w:w="2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4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Class B Common Stock, $.01 Par Value</w:t>
            </w:r>
          </w:p>
        </w:tc>
        <w:tc>
          <w:tcPr>
            <w:tcW w:w="2440" w:type="dxa"/>
            <w:vAlign w:val="bottom"/>
          </w:tcPr>
          <w:p>
            <w:pPr>
              <w:spacing w:after="0"/>
              <w:rPr>
                <w:sz w:val="20"/>
                <w:szCs w:val="20"/>
                <w:color w:val="auto"/>
              </w:rPr>
            </w:pPr>
          </w:p>
        </w:tc>
        <w:tc>
          <w:tcPr>
            <w:tcW w:w="1640" w:type="dxa"/>
            <w:vAlign w:val="bottom"/>
            <w:gridSpan w:val="2"/>
          </w:tcPr>
          <w:p>
            <w:pPr>
              <w:jc w:val="center"/>
              <w:ind w:left="650"/>
              <w:spacing w:after="0"/>
              <w:rPr>
                <w:sz w:val="20"/>
                <w:szCs w:val="20"/>
                <w:color w:val="auto"/>
              </w:rPr>
            </w:pPr>
            <w:r>
              <w:rPr>
                <w:rFonts w:ascii="Times New Roman" w:cs="Times New Roman" w:eastAsia="Times New Roman" w:hAnsi="Times New Roman"/>
                <w:sz w:val="18"/>
                <w:szCs w:val="18"/>
                <w:color w:val="auto"/>
              </w:rPr>
              <w:t>16,621,306</w:t>
            </w:r>
          </w:p>
        </w:tc>
        <w:tc>
          <w:tcPr>
            <w:tcW w:w="2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820" w:type="dxa"/>
            <w:vAlign w:val="bottom"/>
            <w:gridSpan w:val="4"/>
          </w:tcPr>
          <w:p>
            <w:pPr>
              <w:ind w:left="58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2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15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000" w:type="dxa"/>
            <w:vAlign w:val="bottom"/>
            <w:tcBorders>
              <w:left w:val="single" w:sz="8" w:color="auto"/>
              <w:bottom w:val="single" w:sz="8" w:color="auto"/>
              <w:right w:val="single" w:sz="8" w:color="auto"/>
            </w:tcBorders>
            <w:gridSpan w:val="3"/>
          </w:tcPr>
          <w:p>
            <w:pPr>
              <w:ind w:left="1340"/>
              <w:spacing w:after="0"/>
              <w:rPr>
                <w:sz w:val="20"/>
                <w:szCs w:val="20"/>
                <w:color w:val="auto"/>
              </w:rPr>
            </w:pPr>
            <w:r>
              <w:rPr>
                <w:rFonts w:ascii="Times New Roman" w:cs="Times New Roman" w:eastAsia="Times New Roman" w:hAnsi="Times New Roman"/>
                <w:sz w:val="18"/>
                <w:szCs w:val="18"/>
                <w:color w:val="auto"/>
              </w:rPr>
              <w:t>Title of each class</w:t>
            </w:r>
          </w:p>
        </w:tc>
        <w:tc>
          <w:tcPr>
            <w:tcW w:w="820" w:type="dxa"/>
            <w:vAlign w:val="bottom"/>
            <w:tcBorders>
              <w:bottom w:val="single" w:sz="8" w:color="auto"/>
            </w:tcBorders>
          </w:tcPr>
          <w:p>
            <w:pPr>
              <w:spacing w:after="0"/>
              <w:rPr>
                <w:sz w:val="18"/>
                <w:szCs w:val="18"/>
                <w:color w:val="auto"/>
              </w:rPr>
            </w:pPr>
          </w:p>
        </w:tc>
        <w:tc>
          <w:tcPr>
            <w:tcW w:w="244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8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c>
          <w:tcPr>
            <w:tcW w:w="0" w:type="dxa"/>
            <w:vAlign w:val="bottom"/>
          </w:tcPr>
          <w:p>
            <w:pPr>
              <w:spacing w:after="0"/>
              <w:rPr>
                <w:sz w:val="1"/>
                <w:szCs w:val="1"/>
                <w:color w:val="auto"/>
              </w:rPr>
            </w:pPr>
          </w:p>
        </w:tc>
      </w:tr>
      <w:tr>
        <w:trPr>
          <w:trHeight w:val="191"/>
        </w:trPr>
        <w:tc>
          <w:tcPr>
            <w:tcW w:w="4000" w:type="dxa"/>
            <w:vAlign w:val="bottom"/>
            <w:tcBorders>
              <w:left w:val="single" w:sz="8" w:color="auto"/>
              <w:right w:val="single" w:sz="8" w:color="auto"/>
            </w:tcBorders>
            <w:gridSpan w:val="3"/>
          </w:tcPr>
          <w:p>
            <w:pPr>
              <w:ind w:left="560"/>
              <w:spacing w:after="0" w:line="191" w:lineRule="exact"/>
              <w:rPr>
                <w:sz w:val="20"/>
                <w:szCs w:val="20"/>
                <w:color w:val="auto"/>
              </w:rPr>
            </w:pPr>
            <w:r>
              <w:rPr>
                <w:rFonts w:ascii="Times New Roman" w:cs="Times New Roman" w:eastAsia="Times New Roman" w:hAnsi="Times New Roman"/>
                <w:sz w:val="18"/>
                <w:szCs w:val="18"/>
                <w:color w:val="auto"/>
              </w:rPr>
              <w:t>Class A Common Stock, $0.01 par value</w:t>
            </w:r>
          </w:p>
        </w:tc>
        <w:tc>
          <w:tcPr>
            <w:tcW w:w="820" w:type="dxa"/>
            <w:vAlign w:val="bottom"/>
          </w:tcPr>
          <w:p>
            <w:pPr>
              <w:spacing w:after="0"/>
              <w:rPr>
                <w:sz w:val="16"/>
                <w:szCs w:val="16"/>
                <w:color w:val="auto"/>
              </w:rPr>
            </w:pPr>
          </w:p>
        </w:tc>
        <w:tc>
          <w:tcPr>
            <w:tcW w:w="2440" w:type="dxa"/>
            <w:vAlign w:val="bottom"/>
            <w:tcBorders>
              <w:right w:val="single" w:sz="8" w:color="auto"/>
            </w:tcBorders>
          </w:tcPr>
          <w:p>
            <w:pPr>
              <w:jc w:val="center"/>
              <w:ind w:right="770"/>
              <w:spacing w:after="0" w:line="191" w:lineRule="exact"/>
              <w:rPr>
                <w:sz w:val="20"/>
                <w:szCs w:val="20"/>
                <w:color w:val="auto"/>
              </w:rPr>
            </w:pPr>
            <w:r>
              <w:rPr>
                <w:rFonts w:ascii="Times New Roman" w:cs="Times New Roman" w:eastAsia="Times New Roman" w:hAnsi="Times New Roman"/>
                <w:sz w:val="18"/>
                <w:szCs w:val="18"/>
                <w:color w:val="auto"/>
              </w:rPr>
              <w:t>RUSHA</w:t>
            </w:r>
          </w:p>
        </w:tc>
        <w:tc>
          <w:tcPr>
            <w:tcW w:w="3840" w:type="dxa"/>
            <w:vAlign w:val="bottom"/>
            <w:tcBorders>
              <w:right w:val="single" w:sz="8" w:color="auto"/>
            </w:tcBorders>
            <w:gridSpan w:val="3"/>
          </w:tcPr>
          <w:p>
            <w:pPr>
              <w:jc w:val="center"/>
              <w:ind w:right="40"/>
              <w:spacing w:after="0" w:line="191" w:lineRule="exact"/>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r>
        <w:trPr>
          <w:trHeight w:val="231"/>
        </w:trPr>
        <w:tc>
          <w:tcPr>
            <w:tcW w:w="4000" w:type="dxa"/>
            <w:vAlign w:val="bottom"/>
            <w:tcBorders>
              <w:left w:val="single" w:sz="8" w:color="auto"/>
              <w:bottom w:val="single" w:sz="8" w:color="auto"/>
              <w:right w:val="single" w:sz="8" w:color="auto"/>
            </w:tcBorders>
            <w:gridSpan w:val="3"/>
          </w:tcPr>
          <w:p>
            <w:pPr>
              <w:ind w:left="560"/>
              <w:spacing w:after="0"/>
              <w:rPr>
                <w:sz w:val="20"/>
                <w:szCs w:val="20"/>
                <w:color w:val="auto"/>
              </w:rPr>
            </w:pPr>
            <w:r>
              <w:rPr>
                <w:rFonts w:ascii="Times New Roman" w:cs="Times New Roman" w:eastAsia="Times New Roman" w:hAnsi="Times New Roman"/>
                <w:sz w:val="18"/>
                <w:szCs w:val="18"/>
                <w:color w:val="auto"/>
              </w:rPr>
              <w:t>Class B Common Stock, $0.01 par value</w:t>
            </w:r>
          </w:p>
        </w:tc>
        <w:tc>
          <w:tcPr>
            <w:tcW w:w="820" w:type="dxa"/>
            <w:vAlign w:val="bottom"/>
            <w:tcBorders>
              <w:bottom w:val="single" w:sz="8" w:color="auto"/>
            </w:tcBorders>
          </w:tcPr>
          <w:p>
            <w:pPr>
              <w:spacing w:after="0"/>
              <w:rPr>
                <w:sz w:val="20"/>
                <w:szCs w:val="20"/>
                <w:color w:val="auto"/>
              </w:rPr>
            </w:pPr>
          </w:p>
        </w:tc>
        <w:tc>
          <w:tcPr>
            <w:tcW w:w="2440" w:type="dxa"/>
            <w:vAlign w:val="bottom"/>
            <w:tcBorders>
              <w:bottom w:val="single" w:sz="8" w:color="auto"/>
              <w:right w:val="single" w:sz="8" w:color="auto"/>
            </w:tcBorders>
          </w:tcPr>
          <w:p>
            <w:pPr>
              <w:jc w:val="center"/>
              <w:ind w:right="790"/>
              <w:spacing w:after="0"/>
              <w:rPr>
                <w:sz w:val="20"/>
                <w:szCs w:val="20"/>
                <w:color w:val="auto"/>
              </w:rPr>
            </w:pPr>
            <w:r>
              <w:rPr>
                <w:rFonts w:ascii="Times New Roman" w:cs="Times New Roman" w:eastAsia="Times New Roman" w:hAnsi="Times New Roman"/>
                <w:sz w:val="18"/>
                <w:szCs w:val="18"/>
                <w:color w:val="auto"/>
                <w:w w:val="99"/>
              </w:rPr>
              <w:t>RUSHB</w:t>
            </w:r>
          </w:p>
        </w:tc>
        <w:tc>
          <w:tcPr>
            <w:tcW w:w="3840" w:type="dxa"/>
            <w:vAlign w:val="bottom"/>
            <w:tcBorders>
              <w:bottom w:val="single" w:sz="8" w:color="auto"/>
              <w:right w:val="single" w:sz="8" w:color="auto"/>
            </w:tcBorders>
            <w:gridSpan w:val="3"/>
          </w:tcPr>
          <w:p>
            <w:pPr>
              <w:jc w:val="center"/>
              <w:ind w:right="40"/>
              <w:spacing w:after="0"/>
              <w:rPr>
                <w:sz w:val="20"/>
                <w:szCs w:val="20"/>
                <w:color w:val="auto"/>
              </w:rPr>
            </w:pPr>
            <w:r>
              <w:rPr>
                <w:rFonts w:ascii="Times New Roman" w:cs="Times New Roman" w:eastAsia="Times New Roman" w:hAnsi="Times New Roman"/>
                <w:sz w:val="18"/>
                <w:szCs w:val="18"/>
                <w:color w:val="auto"/>
                <w:w w:val="99"/>
              </w:rPr>
              <w:t>NASDAQ Global Select Market</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358140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72" w:right="339" w:bottom="403"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8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80" w:type="dxa"/>
            <w:vAlign w:val="bottom"/>
            <w:gridSpan w:val="9"/>
          </w:tcPr>
          <w:p>
            <w:pPr>
              <w:ind w:left="80"/>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780" w:type="dxa"/>
            <w:vAlign w:val="bottom"/>
            <w:gridSpan w:val="9"/>
          </w:tcPr>
          <w:p>
            <w:pPr>
              <w:ind w:left="1640"/>
              <w:spacing w:after="0"/>
              <w:rPr>
                <w:sz w:val="20"/>
                <w:szCs w:val="20"/>
                <w:color w:val="auto"/>
              </w:rPr>
            </w:pPr>
            <w:r>
              <w:rPr>
                <w:rFonts w:ascii="Times New Roman" w:cs="Times New Roman" w:eastAsia="Times New Roman" w:hAnsi="Times New Roman"/>
                <w:sz w:val="18"/>
                <w:szCs w:val="18"/>
                <w:b w:val="1"/>
                <w:bCs w:val="1"/>
                <w:color w:val="auto"/>
              </w:rPr>
              <w:t>INDEX</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120" w:type="dxa"/>
            <w:vAlign w:val="bottom"/>
            <w:gridSpan w:val="8"/>
          </w:tcPr>
          <w:p>
            <w:pPr>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7360" w:type="dxa"/>
            <w:vAlign w:val="bottom"/>
            <w:gridSpan w:val="11"/>
          </w:tcPr>
          <w:p>
            <w:pPr>
              <w:spacing w:after="0"/>
              <w:rPr>
                <w:sz w:val="24"/>
                <w:szCs w:val="24"/>
                <w:color w:val="auto"/>
              </w:rPr>
            </w:pPr>
          </w:p>
        </w:tc>
        <w:tc>
          <w:tcPr>
            <w:tcW w:w="760" w:type="dxa"/>
            <w:vAlign w:val="bottom"/>
            <w:gridSpan w:val="5"/>
          </w:tcPr>
          <w:p>
            <w:pPr>
              <w:ind w:left="36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412"/>
        </w:trPr>
        <w:tc>
          <w:tcPr>
            <w:tcW w:w="1380" w:type="dxa"/>
            <w:vAlign w:val="bottom"/>
            <w:tcBorders>
              <w:top w:val="single" w:sz="8" w:color="0000EE"/>
            </w:tcBorders>
            <w:gridSpan w:val="3"/>
          </w:tcPr>
          <w:p>
            <w:pPr>
              <w:ind w:left="580"/>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6"/>
              </w:rPr>
              <w:t>Financial Statements</w:t>
            </w:r>
          </w:p>
        </w:tc>
        <w:tc>
          <w:tcPr>
            <w:tcW w:w="240" w:type="dxa"/>
            <w:vAlign w:val="bottom"/>
            <w:tcBorders>
              <w:top w:val="single" w:sz="8" w:color="0000EE"/>
            </w:tcBorders>
          </w:tcPr>
          <w:p>
            <w:pPr>
              <w:spacing w:after="0"/>
              <w:rPr>
                <w:sz w:val="24"/>
                <w:szCs w:val="24"/>
                <w:color w:val="auto"/>
              </w:rPr>
            </w:pPr>
          </w:p>
        </w:tc>
        <w:tc>
          <w:tcPr>
            <w:tcW w:w="7360" w:type="dxa"/>
            <w:vAlign w:val="bottom"/>
            <w:gridSpan w:val="11"/>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Borders>
              <w:top w:val="single" w:sz="8" w:color="auto"/>
            </w:tcBorders>
            <w:gridSpan w:val="2"/>
          </w:tcPr>
          <w:p>
            <w:pPr>
              <w:jc w:val="center"/>
              <w:ind w:left="5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0"/>
          </w:tcPr>
          <w:p>
            <w:pPr>
              <w:spacing w:after="0"/>
              <w:rPr>
                <w:sz w:val="20"/>
                <w:szCs w:val="20"/>
                <w:color w:val="auto"/>
              </w:rPr>
            </w:pPr>
            <w:r>
              <w:rPr>
                <w:rFonts w:ascii="Times New Roman" w:cs="Times New Roman" w:eastAsia="Times New Roman" w:hAnsi="Times New Roman"/>
                <w:sz w:val="18"/>
                <w:szCs w:val="18"/>
                <w:color w:val="0000EE"/>
                <w:w w:val="99"/>
              </w:rPr>
              <w:t>Consolidated Balance Sheets - March 31, 2025 (unaudited) and December 31, 2024</w:t>
            </w:r>
          </w:p>
        </w:tc>
        <w:tc>
          <w:tcPr>
            <w:tcW w:w="3080" w:type="dxa"/>
            <w:vAlign w:val="bottom"/>
            <w:gridSpan w:val="6"/>
          </w:tcPr>
          <w:p>
            <w:pPr>
              <w:spacing w:after="0"/>
              <w:rPr>
                <w:sz w:val="24"/>
                <w:szCs w:val="24"/>
                <w:color w:val="auto"/>
              </w:rPr>
            </w:pPr>
          </w:p>
        </w:tc>
        <w:tc>
          <w:tcPr>
            <w:tcW w:w="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EE"/>
                <w:w w:val="88"/>
              </w:rPr>
              <w:t>3</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80" w:type="dxa"/>
            <w:vAlign w:val="bottom"/>
            <w:tcBorders>
              <w:left w:val="single" w:sz="8" w:color="0000EE"/>
            </w:tcBorders>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56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w w:val="99"/>
              </w:rPr>
              <w:t>Consolidated Statements of Income - For the Three Months Ended March 31, 2025 and 2024 (unaudited)</w:t>
            </w:r>
          </w:p>
        </w:tc>
        <w:tc>
          <w:tcPr>
            <w:tcW w:w="1540" w:type="dxa"/>
            <w:vAlign w:val="bottom"/>
            <w:gridSpan w:val="4"/>
          </w:tcPr>
          <w:p>
            <w:pPr>
              <w:spacing w:after="0"/>
              <w:rPr>
                <w:sz w:val="24"/>
                <w:szCs w:val="24"/>
                <w:color w:val="auto"/>
              </w:rPr>
            </w:pPr>
          </w:p>
        </w:tc>
        <w:tc>
          <w:tcPr>
            <w:tcW w:w="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EE"/>
                <w:w w:val="88"/>
              </w:rPr>
              <w:t>4</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74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w w:val="99"/>
              </w:rPr>
              <w:t>Consolidated Statements of Comprehensive Income - For the Three Months Ended March 31, 2025 and 2024 (unaudited)</w:t>
            </w:r>
          </w:p>
        </w:tc>
        <w:tc>
          <w:tcPr>
            <w:tcW w:w="360" w:type="dxa"/>
            <w:vAlign w:val="bottom"/>
          </w:tcPr>
          <w:p>
            <w:pPr>
              <w:spacing w:after="0"/>
              <w:rPr>
                <w:sz w:val="24"/>
                <w:szCs w:val="24"/>
                <w:color w:val="auto"/>
              </w:rPr>
            </w:pPr>
          </w:p>
        </w:tc>
        <w:tc>
          <w:tcPr>
            <w:tcW w:w="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EE"/>
                <w:w w:val="88"/>
              </w:rPr>
              <w:t>5</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w w:val="99"/>
              </w:rPr>
              <w:t>Consolidated Statements of Shareholders’ Equity – For the Three Months Ended March 31, 2025 and 2024 (unaudited)</w:t>
            </w: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EE"/>
                <w:w w:val="88"/>
              </w:rPr>
              <w:t>6</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560" w:type="dxa"/>
            <w:vAlign w:val="bottom"/>
            <w:gridSpan w:val="14"/>
          </w:tcPr>
          <w:p>
            <w:pPr>
              <w:spacing w:after="0"/>
              <w:rPr>
                <w:sz w:val="20"/>
                <w:szCs w:val="20"/>
                <w:color w:val="auto"/>
              </w:rPr>
            </w:pPr>
            <w:r>
              <w:rPr>
                <w:rFonts w:ascii="Times New Roman" w:cs="Times New Roman" w:eastAsia="Times New Roman" w:hAnsi="Times New Roman"/>
                <w:sz w:val="18"/>
                <w:szCs w:val="18"/>
                <w:color w:val="0000EE"/>
              </w:rPr>
              <w:t>Consolidated Statements of Cash Flows - For the Three Months Ended March 31, 2025 and 2024 (unaudited)</w:t>
            </w:r>
          </w:p>
        </w:tc>
        <w:tc>
          <w:tcPr>
            <w:tcW w:w="540" w:type="dxa"/>
            <w:vAlign w:val="bottom"/>
            <w:gridSpan w:val="2"/>
          </w:tcPr>
          <w:p>
            <w:pPr>
              <w:spacing w:after="0"/>
              <w:rPr>
                <w:sz w:val="24"/>
                <w:szCs w:val="24"/>
                <w:color w:val="auto"/>
              </w:rPr>
            </w:pPr>
          </w:p>
        </w:tc>
        <w:tc>
          <w:tcPr>
            <w:tcW w:w="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EE"/>
                <w:w w:val="88"/>
              </w:rPr>
              <w:t>7</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1420" w:type="dxa"/>
            <w:vAlign w:val="bottom"/>
            <w:gridSpan w:val="2"/>
            <w:shd w:val="clear" w:color="auto" w:fill="0000EE"/>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20" w:type="dxa"/>
            <w:vAlign w:val="bottom"/>
            <w:gridSpan w:val="8"/>
          </w:tcPr>
          <w:p>
            <w:pPr>
              <w:spacing w:after="0"/>
              <w:rPr>
                <w:sz w:val="20"/>
                <w:szCs w:val="20"/>
                <w:color w:val="auto"/>
              </w:rPr>
            </w:pPr>
            <w:r>
              <w:rPr>
                <w:rFonts w:ascii="Times New Roman" w:cs="Times New Roman" w:eastAsia="Times New Roman" w:hAnsi="Times New Roman"/>
                <w:sz w:val="18"/>
                <w:szCs w:val="18"/>
                <w:color w:val="0000EE"/>
                <w:w w:val="99"/>
              </w:rPr>
              <w:t>Notes to Consolidated Financial Statements (unaudited)</w:t>
            </w:r>
          </w:p>
        </w:tc>
        <w:tc>
          <w:tcPr>
            <w:tcW w:w="3840" w:type="dxa"/>
            <w:vAlign w:val="bottom"/>
            <w:gridSpan w:val="5"/>
          </w:tcPr>
          <w:p>
            <w:pPr>
              <w:spacing w:after="0"/>
              <w:rPr>
                <w:sz w:val="24"/>
                <w:szCs w:val="24"/>
                <w:color w:val="auto"/>
              </w:rPr>
            </w:pPr>
          </w:p>
        </w:tc>
        <w:tc>
          <w:tcPr>
            <w:tcW w:w="1240" w:type="dxa"/>
            <w:vAlign w:val="bottom"/>
            <w:gridSpan w:val="3"/>
          </w:tcPr>
          <w:p>
            <w:pPr>
              <w:spacing w:after="0"/>
              <w:rPr>
                <w:sz w:val="24"/>
                <w:szCs w:val="24"/>
                <w:color w:val="auto"/>
              </w:rPr>
            </w:pPr>
          </w:p>
        </w:tc>
        <w:tc>
          <w:tcPr>
            <w:tcW w:w="580" w:type="dxa"/>
            <w:vAlign w:val="bottom"/>
            <w:gridSpan w:val="3"/>
          </w:tcPr>
          <w:p>
            <w:pPr>
              <w:jc w:val="center"/>
              <w:ind w:left="410"/>
              <w:spacing w:after="0"/>
              <w:rPr>
                <w:sz w:val="20"/>
                <w:szCs w:val="20"/>
                <w:color w:val="auto"/>
              </w:rPr>
            </w:pPr>
            <w:r>
              <w:rPr>
                <w:rFonts w:ascii="Times New Roman" w:cs="Times New Roman" w:eastAsia="Times New Roman" w:hAnsi="Times New Roman"/>
                <w:sz w:val="18"/>
                <w:szCs w:val="18"/>
                <w:color w:val="0000EE"/>
                <w:w w:val="88"/>
              </w:rPr>
              <w:t>8</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2.</w:t>
            </w:r>
          </w:p>
        </w:tc>
        <w:tc>
          <w:tcPr>
            <w:tcW w:w="91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7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w w:val="99"/>
              </w:rPr>
              <w:t>13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100" w:type="dxa"/>
            <w:vAlign w:val="bottom"/>
            <w:tcBorders>
              <w:left w:val="single" w:sz="8" w:color="0000EE"/>
            </w:tcBorders>
            <w:gridSpan w:val="2"/>
            <w:shd w:val="clear" w:color="auto" w:fill="0000EE"/>
          </w:tcPr>
          <w:p>
            <w:pPr>
              <w:spacing w:after="0" w:line="20" w:lineRule="exact"/>
              <w:rPr>
                <w:sz w:val="1"/>
                <w:szCs w:val="1"/>
                <w:color w:val="auto"/>
              </w:rPr>
            </w:pPr>
          </w:p>
        </w:tc>
        <w:tc>
          <w:tcPr>
            <w:tcW w:w="2660" w:type="dxa"/>
            <w:vAlign w:val="bottom"/>
            <w:gridSpan w:val="5"/>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Quantitative and Qualitative Disclosures About Market Risk</w:t>
            </w:r>
          </w:p>
        </w:tc>
        <w:tc>
          <w:tcPr>
            <w:tcW w:w="2100" w:type="dxa"/>
            <w:vAlign w:val="bottom"/>
            <w:gridSpan w:val="2"/>
          </w:tcPr>
          <w:p>
            <w:pPr>
              <w:spacing w:after="0"/>
              <w:rPr>
                <w:sz w:val="24"/>
                <w:szCs w:val="24"/>
                <w:color w:val="auto"/>
              </w:rPr>
            </w:pPr>
          </w:p>
        </w:tc>
        <w:tc>
          <w:tcPr>
            <w:tcW w:w="2660" w:type="dxa"/>
            <w:vAlign w:val="bottom"/>
            <w:gridSpan w:val="5"/>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60" w:type="dxa"/>
            <w:vAlign w:val="bottom"/>
            <w:tcBorders>
              <w:left w:val="single" w:sz="8" w:color="0000EE"/>
            </w:tcBorders>
            <w:gridSpan w:val="7"/>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4.</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4760" w:type="dxa"/>
            <w:vAlign w:val="bottom"/>
            <w:gridSpan w:val="7"/>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8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b w:val="1"/>
                <w:bCs w:val="1"/>
                <w:color w:val="0000EE"/>
              </w:rPr>
              <w:t>PART II. OTHER INFORMATION</w:t>
            </w:r>
          </w:p>
        </w:tc>
        <w:tc>
          <w:tcPr>
            <w:tcW w:w="7600" w:type="dxa"/>
            <w:vAlign w:val="bottom"/>
            <w:gridSpan w:val="12"/>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1.</w:t>
            </w:r>
          </w:p>
        </w:tc>
        <w:tc>
          <w:tcPr>
            <w:tcW w:w="9100" w:type="dxa"/>
            <w:vAlign w:val="bottom"/>
            <w:gridSpan w:val="16"/>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720" w:type="dxa"/>
            <w:vAlign w:val="bottom"/>
            <w:gridSpan w:val="4"/>
          </w:tcPr>
          <w:p>
            <w:pPr>
              <w:jc w:val="center"/>
              <w:ind w:left="250"/>
              <w:spacing w:after="0"/>
              <w:rPr>
                <w:sz w:val="20"/>
                <w:szCs w:val="20"/>
                <w:color w:val="auto"/>
              </w:rPr>
            </w:pPr>
            <w:r>
              <w:rPr>
                <w:rFonts w:ascii="Times New Roman" w:cs="Times New Roman" w:eastAsia="Times New Roman" w:hAnsi="Times New Roman"/>
                <w:sz w:val="18"/>
                <w:szCs w:val="18"/>
                <w:color w:val="0000EE"/>
                <w:w w:val="99"/>
              </w:rPr>
              <w:t>23</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20" w:type="dxa"/>
            <w:vAlign w:val="bottom"/>
            <w:tcBorders>
              <w:left w:val="single" w:sz="8" w:color="0000EE"/>
            </w:tcBorders>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400" w:type="dxa"/>
            <w:vAlign w:val="bottom"/>
          </w:tcPr>
          <w:p>
            <w:pPr>
              <w:spacing w:after="0"/>
              <w:rPr>
                <w:sz w:val="24"/>
                <w:szCs w:val="24"/>
                <w:color w:val="auto"/>
              </w:rPr>
            </w:pPr>
          </w:p>
        </w:tc>
        <w:tc>
          <w:tcPr>
            <w:tcW w:w="7800" w:type="dxa"/>
            <w:vAlign w:val="bottom"/>
            <w:gridSpan w:val="13"/>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2.</w:t>
            </w:r>
          </w:p>
        </w:tc>
        <w:tc>
          <w:tcPr>
            <w:tcW w:w="43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w w:val="98"/>
              </w:rPr>
              <w:t>Unregistered Sales of Equity Securities and Use of Proceeds</w:t>
            </w:r>
          </w:p>
        </w:tc>
        <w:tc>
          <w:tcPr>
            <w:tcW w:w="4760" w:type="dxa"/>
            <w:vAlign w:val="bottom"/>
            <w:gridSpan w:val="7"/>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4760" w:type="dxa"/>
            <w:vAlign w:val="bottom"/>
            <w:gridSpan w:val="7"/>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gridSpan w:val="2"/>
          </w:tcPr>
          <w:p>
            <w:pPr>
              <w:spacing w:after="0"/>
              <w:rPr>
                <w:sz w:val="24"/>
                <w:szCs w:val="24"/>
                <w:color w:val="auto"/>
              </w:rPr>
            </w:pPr>
          </w:p>
        </w:tc>
        <w:tc>
          <w:tcPr>
            <w:tcW w:w="4760" w:type="dxa"/>
            <w:vAlign w:val="bottom"/>
            <w:gridSpan w:val="7"/>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020" w:type="dxa"/>
            <w:vAlign w:val="bottom"/>
            <w:tcBorders>
              <w:left w:val="single" w:sz="8" w:color="0000EE"/>
            </w:tcBorders>
            <w:gridSpan w:val="4"/>
            <w:shd w:val="clear" w:color="auto" w:fill="0000EE"/>
          </w:tcPr>
          <w:p>
            <w:pPr>
              <w:spacing w:after="0" w:line="20" w:lineRule="exact"/>
              <w:rPr>
                <w:sz w:val="1"/>
                <w:szCs w:val="1"/>
                <w:color w:val="auto"/>
              </w:rPr>
            </w:pPr>
          </w:p>
        </w:tc>
        <w:tc>
          <w:tcPr>
            <w:tcW w:w="6780" w:type="dxa"/>
            <w:vAlign w:val="bottom"/>
            <w:gridSpan w:val="9"/>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4.</w:t>
            </w:r>
          </w:p>
        </w:tc>
        <w:tc>
          <w:tcPr>
            <w:tcW w:w="232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6780" w:type="dxa"/>
            <w:vAlign w:val="bottom"/>
            <w:gridSpan w:val="9"/>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7340" w:type="dxa"/>
            <w:vAlign w:val="bottom"/>
            <w:gridSpan w:val="10"/>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5.</w:t>
            </w:r>
          </w:p>
        </w:tc>
        <w:tc>
          <w:tcPr>
            <w:tcW w:w="176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7340" w:type="dxa"/>
            <w:vAlign w:val="bottom"/>
            <w:gridSpan w:val="10"/>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24</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800" w:type="dxa"/>
            <w:vAlign w:val="bottom"/>
            <w:gridSpan w:val="13"/>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Item 6.</w:t>
            </w: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00" w:type="dxa"/>
            <w:vAlign w:val="bottom"/>
            <w:gridSpan w:val="2"/>
          </w:tcPr>
          <w:p>
            <w:pPr>
              <w:spacing w:after="0"/>
              <w:rPr>
                <w:sz w:val="24"/>
                <w:szCs w:val="24"/>
                <w:color w:val="auto"/>
              </w:rPr>
            </w:pPr>
          </w:p>
        </w:tc>
        <w:tc>
          <w:tcPr>
            <w:tcW w:w="7800" w:type="dxa"/>
            <w:vAlign w:val="bottom"/>
            <w:gridSpan w:val="13"/>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25</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3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EE"/>
              </w:rPr>
              <w:t>SIGNATURES</w:t>
            </w:r>
          </w:p>
        </w:tc>
        <w:tc>
          <w:tcPr>
            <w:tcW w:w="6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right w:val="single" w:sz="8" w:color="0000EE"/>
            </w:tcBorders>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380" w:type="dxa"/>
            <w:vAlign w:val="bottom"/>
            <w:gridSpan w:val="3"/>
            <w:vMerge w:val="continue"/>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gridSpan w:val="2"/>
          </w:tcPr>
          <w:p>
            <w:pPr>
              <w:spacing w:after="0"/>
              <w:rPr>
                <w:sz w:val="24"/>
                <w:szCs w:val="24"/>
                <w:color w:val="auto"/>
              </w:rPr>
            </w:pPr>
          </w:p>
        </w:tc>
        <w:tc>
          <w:tcPr>
            <w:tcW w:w="22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0000EE"/>
                <w:w w:val="70"/>
              </w:rPr>
              <w:t>26</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96"/>
        </w:trPr>
        <w:tc>
          <w:tcPr>
            <w:tcW w:w="11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340" w:type="dxa"/>
            <w:vAlign w:val="bottom"/>
            <w:gridSpan w:val="9"/>
          </w:tcPr>
          <w:p>
            <w:pPr>
              <w:ind w:left="4200"/>
              <w:spacing w:after="0"/>
              <w:rPr>
                <w:sz w:val="20"/>
                <w:szCs w:val="20"/>
                <w:color w:val="auto"/>
              </w:rPr>
            </w:pPr>
            <w:r>
              <w:rPr>
                <w:rFonts w:ascii="Times New Roman" w:cs="Times New Roman" w:eastAsia="Times New Roman" w:hAnsi="Times New Roman"/>
                <w:sz w:val="18"/>
                <w:szCs w:val="18"/>
                <w:color w:val="auto"/>
              </w:rPr>
              <w:t>2</w:t>
            </w:r>
          </w:p>
        </w:tc>
        <w:tc>
          <w:tcPr>
            <w:tcW w:w="1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170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08" w:right="3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
        </w:trPr>
        <w:tc>
          <w:tcPr>
            <w:tcW w:w="1280" w:type="dxa"/>
            <w:vAlign w:val="bottom"/>
            <w:shd w:val="clear" w:color="auto" w:fill="0000EE"/>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73"/>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8"/>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1"/>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5"/>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BALANCE SHEETS</w:t>
            </w:r>
          </w:p>
        </w:tc>
        <w:tc>
          <w:tcPr>
            <w:tcW w:w="460" w:type="dxa"/>
            <w:vAlign w:val="bottom"/>
            <w:gridSpan w:val="2"/>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Shares)</w:t>
            </w:r>
          </w:p>
        </w:tc>
        <w:tc>
          <w:tcPr>
            <w:tcW w:w="900" w:type="dxa"/>
            <w:vAlign w:val="bottom"/>
            <w:gridSpan w:val="3"/>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228,719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228,131</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295,009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345,346</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Note receivable, affiliate</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5,206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9,536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1,886,071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1,787,744</w:t>
            </w: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Prepaid expenses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19,384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18,958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2,434,389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2,389,715</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1,637,169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1,615,635</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117,324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111,408</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 net</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427,476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427,493</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Other assets, net</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71,583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73,296</w:t>
            </w:r>
          </w:p>
        </w:tc>
        <w:tc>
          <w:tcPr>
            <w:tcW w:w="100" w:type="dxa"/>
            <w:vAlign w:val="bottom"/>
          </w:tcPr>
          <w:p>
            <w:pPr>
              <w:spacing w:after="0"/>
              <w:rPr>
                <w:sz w:val="18"/>
                <w:szCs w:val="18"/>
                <w:color w:val="auto"/>
              </w:rPr>
            </w:pPr>
          </w:p>
        </w:tc>
      </w:tr>
      <w:tr>
        <w:trPr>
          <w:trHeight w:val="249"/>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4,687,941</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4,617,547</w:t>
            </w:r>
          </w:p>
        </w:tc>
      </w:tr>
      <w:tr>
        <w:trPr>
          <w:trHeight w:val="197"/>
        </w:trPr>
        <w:tc>
          <w:tcPr>
            <w:tcW w:w="1280" w:type="dxa"/>
            <w:vAlign w:val="bottom"/>
            <w:tcBorders>
              <w:top w:val="single" w:sz="8" w:color="CCEEFF"/>
            </w:tcBorders>
          </w:tcPr>
          <w:p>
            <w:pPr>
              <w:spacing w:after="0"/>
              <w:rPr>
                <w:sz w:val="17"/>
                <w:szCs w:val="17"/>
                <w:color w:val="auto"/>
              </w:rPr>
            </w:pPr>
          </w:p>
        </w:tc>
        <w:tc>
          <w:tcPr>
            <w:tcW w:w="24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296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r>
      <w:tr>
        <w:trPr>
          <w:trHeight w:val="216"/>
        </w:trPr>
        <w:tc>
          <w:tcPr>
            <w:tcW w:w="7880" w:type="dxa"/>
            <w:vAlign w:val="bottom"/>
            <w:tcBorders>
              <w:bottom w:val="single" w:sz="8" w:color="auto"/>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10"/>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Floor plan notes payable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1,080,585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1,081,199</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Current maturities of finance lease obligations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38,516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38,476</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Current maturities of operating lease obligations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17,153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15,866</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Trade accounts payable</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319,398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244,018</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Customer deposits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97,186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109,751</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Accrued expenses</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160,809</w:t>
            </w:r>
          </w:p>
        </w:tc>
        <w:tc>
          <w:tcPr>
            <w:tcW w:w="100" w:type="dxa"/>
            <w:vAlign w:val="bottom"/>
          </w:tcPr>
          <w:p>
            <w:pPr>
              <w:spacing w:after="0"/>
              <w:rPr>
                <w:sz w:val="18"/>
                <w:szCs w:val="18"/>
                <w:color w:val="auto"/>
              </w:rPr>
            </w:pPr>
          </w:p>
        </w:tc>
      </w:tr>
      <w:tr>
        <w:trPr>
          <w:trHeight w:val="210"/>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1,695,348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1,650,119</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Long-term debt,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403,681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408,440</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lease obligations, net of current maturities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88,138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92,235</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Operating lease obligations, net of current maturities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102,584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97,874</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29,440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28,060</w:t>
            </w:r>
          </w:p>
        </w:tc>
      </w:tr>
      <w:tr>
        <w:trPr>
          <w:trHeight w:val="216"/>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181,166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178,916</w:t>
            </w:r>
          </w:p>
        </w:tc>
      </w:tr>
      <w:tr>
        <w:trPr>
          <w:trHeight w:val="216"/>
        </w:trPr>
        <w:tc>
          <w:tcPr>
            <w:tcW w:w="8000" w:type="dxa"/>
            <w:vAlign w:val="bottom"/>
            <w:gridSpan w:val="7"/>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98"/>
        </w:trPr>
        <w:tc>
          <w:tcPr>
            <w:tcW w:w="8000" w:type="dxa"/>
            <w:vAlign w:val="bottom"/>
            <w:gridSpan w:val="7"/>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par value $.01 per share; 1,000,000 shares authorized; 0 shares outstanding in 2025 and</w:t>
            </w:r>
          </w:p>
        </w:tc>
        <w:tc>
          <w:tcPr>
            <w:tcW w:w="2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12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2024</w:t>
            </w:r>
          </w:p>
        </w:tc>
        <w:tc>
          <w:tcPr>
            <w:tcW w:w="2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par value $.01 per share; 105,000,000 Class A shares and 35,000,000 Class B shares</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authorized; 62,551,809 Class A shares and 16,754,609 Class B shares outstanding in 2025; and</w:t>
            </w:r>
          </w:p>
        </w:tc>
        <w:tc>
          <w:tcPr>
            <w:tcW w:w="2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4"/>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62,604,986 Class A shares and 16,662,633 Class B shares outstanding in 2024</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598,058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587,639</w:t>
            </w:r>
          </w:p>
        </w:tc>
      </w:tr>
      <w:tr>
        <w:trPr>
          <w:trHeight w:val="198"/>
        </w:trPr>
        <w:tc>
          <w:tcPr>
            <w:tcW w:w="8000" w:type="dxa"/>
            <w:vAlign w:val="bottom"/>
            <w:gridSpan w:val="7"/>
            <w:shd w:val="clear" w:color="auto" w:fill="CCEEFF"/>
          </w:tcPr>
          <w:p>
            <w:pPr>
              <w:ind w:left="180"/>
              <w:spacing w:after="0" w:line="198" w:lineRule="exact"/>
              <w:rPr>
                <w:sz w:val="20"/>
                <w:szCs w:val="20"/>
                <w:color w:val="auto"/>
              </w:rPr>
            </w:pPr>
            <w:r>
              <w:rPr>
                <w:rFonts w:ascii="Times New Roman" w:cs="Times New Roman" w:eastAsia="Times New Roman" w:hAnsi="Times New Roman"/>
                <w:sz w:val="18"/>
                <w:szCs w:val="18"/>
                <w:color w:val="auto"/>
              </w:rPr>
              <w:t>Treasury stock, at cost: 1,718,463 Class A shares and 2,016,462 Class B shares in 2025; and 1,387,013</w:t>
            </w:r>
          </w:p>
        </w:tc>
        <w:tc>
          <w:tcPr>
            <w:tcW w:w="2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4"/>
        </w:trPr>
        <w:tc>
          <w:tcPr>
            <w:tcW w:w="8000" w:type="dxa"/>
            <w:vAlign w:val="bottom"/>
            <w:gridSpan w:val="7"/>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Class A shares and 1,783,806 Class B shares in 2024</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(167,174)</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(136,235)</w:t>
            </w:r>
          </w:p>
        </w:tc>
      </w:tr>
      <w:tr>
        <w:trPr>
          <w:trHeight w:val="216"/>
        </w:trPr>
        <w:tc>
          <w:tcPr>
            <w:tcW w:w="8000" w:type="dxa"/>
            <w:vAlign w:val="bottom"/>
            <w:gridSpan w:val="7"/>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Pr>
          <w:p>
            <w:pPr>
              <w:spacing w:after="0"/>
              <w:rPr>
                <w:sz w:val="18"/>
                <w:szCs w:val="18"/>
                <w:color w:val="auto"/>
              </w:rPr>
            </w:pPr>
          </w:p>
        </w:tc>
        <w:tc>
          <w:tcPr>
            <w:tcW w:w="14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1,744,527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1,698,614</w:t>
            </w:r>
          </w:p>
        </w:tc>
      </w:tr>
      <w:tr>
        <w:trPr>
          <w:trHeight w:val="216"/>
        </w:trPr>
        <w:tc>
          <w:tcPr>
            <w:tcW w:w="8000" w:type="dxa"/>
            <w:vAlign w:val="bottom"/>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(9,305)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(9,293)</w:t>
            </w:r>
          </w:p>
        </w:tc>
      </w:tr>
      <w:tr>
        <w:trPr>
          <w:trHeight w:val="209"/>
        </w:trPr>
        <w:tc>
          <w:tcPr>
            <w:tcW w:w="8000" w:type="dxa"/>
            <w:vAlign w:val="bottom"/>
            <w:tcBorders>
              <w:top w:val="single" w:sz="8" w:color="CCEEFF"/>
            </w:tcBorders>
            <w:gridSpan w:val="7"/>
          </w:tcPr>
          <w:p>
            <w:pPr>
              <w:ind w:left="180"/>
              <w:spacing w:after="0"/>
              <w:rPr>
                <w:sz w:val="20"/>
                <w:szCs w:val="20"/>
                <w:color w:val="auto"/>
              </w:rPr>
            </w:pPr>
            <w:r>
              <w:rPr>
                <w:rFonts w:ascii="Times New Roman" w:cs="Times New Roman" w:eastAsia="Times New Roman" w:hAnsi="Times New Roman"/>
                <w:sz w:val="18"/>
                <w:szCs w:val="18"/>
                <w:color w:val="auto"/>
              </w:rPr>
              <w:t>Total Rush Enterprises, Inc. shareholders’ equity</w:t>
            </w:r>
          </w:p>
        </w:tc>
        <w:tc>
          <w:tcPr>
            <w:tcW w:w="2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2,166,936</w:t>
            </w:r>
          </w:p>
        </w:tc>
        <w:tc>
          <w:tcPr>
            <w:tcW w:w="1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2,141,549</w:t>
            </w:r>
          </w:p>
        </w:tc>
        <w:tc>
          <w:tcPr>
            <w:tcW w:w="100" w:type="dxa"/>
            <w:vAlign w:val="bottom"/>
            <w:tcBorders>
              <w:top w:val="single" w:sz="8" w:color="CCEEFF"/>
            </w:tcBorders>
          </w:tcPr>
          <w:p>
            <w:pPr>
              <w:spacing w:after="0"/>
              <w:rPr>
                <w:sz w:val="18"/>
                <w:szCs w:val="18"/>
                <w:color w:val="auto"/>
              </w:rPr>
            </w:pPr>
          </w:p>
        </w:tc>
      </w:tr>
      <w:tr>
        <w:trPr>
          <w:trHeight w:val="216"/>
        </w:trPr>
        <w:tc>
          <w:tcPr>
            <w:tcW w:w="8000" w:type="dxa"/>
            <w:vAlign w:val="bottom"/>
            <w:tcBorders>
              <w:bottom w:val="single" w:sz="8" w:color="CCEEFF"/>
            </w:tcBorders>
            <w:gridSpan w:val="7"/>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00" w:type="dxa"/>
            <w:vAlign w:val="bottom"/>
            <w:tcBorders>
              <w:bottom w:val="single" w:sz="8" w:color="auto"/>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20,648</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20,354</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9"/>
        </w:trPr>
        <w:tc>
          <w:tcPr>
            <w:tcW w:w="800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2,187,584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2,161,903</w:t>
            </w:r>
          </w:p>
        </w:tc>
        <w:tc>
          <w:tcPr>
            <w:tcW w:w="100" w:type="dxa"/>
            <w:vAlign w:val="bottom"/>
          </w:tcPr>
          <w:p>
            <w:pPr>
              <w:spacing w:after="0"/>
              <w:rPr>
                <w:sz w:val="18"/>
                <w:szCs w:val="18"/>
                <w:color w:val="auto"/>
              </w:rPr>
            </w:pPr>
          </w:p>
        </w:tc>
      </w:tr>
      <w:tr>
        <w:trPr>
          <w:trHeight w:val="250"/>
        </w:trPr>
        <w:tc>
          <w:tcPr>
            <w:tcW w:w="8000" w:type="dxa"/>
            <w:vAlign w:val="bottom"/>
            <w:tcBorders>
              <w:bottom w:val="single" w:sz="8" w:color="CCEEFF"/>
            </w:tcBorders>
            <w:gridSpan w:val="7"/>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4,687,941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4,617,547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ectPr>
          <w:pgSz w:w="11900" w:h="16838" w:orient="portrait"/>
          <w:cols w:equalWidth="0" w:num="1">
            <w:col w:w="11240"/>
          </w:cols>
          <w:pgMar w:left="320" w:top="108" w:right="3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420" w:type="dxa"/>
            <w:vAlign w:val="bottom"/>
          </w:tcPr>
          <w:p>
            <w:pPr>
              <w:spacing w:after="0"/>
              <w:rPr>
                <w:sz w:val="24"/>
                <w:szCs w:val="24"/>
                <w:color w:val="auto"/>
              </w:rPr>
            </w:pPr>
          </w:p>
        </w:tc>
        <w:tc>
          <w:tcPr>
            <w:tcW w:w="4300" w:type="dxa"/>
            <w:vAlign w:val="bottom"/>
            <w:gridSpan w:val="4"/>
          </w:tcPr>
          <w:p>
            <w:pPr>
              <w:jc w:val="center"/>
              <w:ind w:right="460"/>
              <w:spacing w:after="0"/>
              <w:rPr>
                <w:sz w:val="20"/>
                <w:szCs w:val="20"/>
                <w:color w:val="auto"/>
              </w:rPr>
            </w:pPr>
            <w:r>
              <w:rPr>
                <w:rFonts w:ascii="Times New Roman" w:cs="Times New Roman" w:eastAsia="Times New Roman" w:hAnsi="Times New Roman"/>
                <w:sz w:val="18"/>
                <w:szCs w:val="18"/>
                <w:color w:val="auto"/>
                <w:w w:val="99"/>
              </w:rPr>
              <w:t>RUSH ENTERPRISES, INC. AND SUBSIDIARIES</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12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3840" w:type="dxa"/>
            <w:vAlign w:val="bottom"/>
            <w:tcBorders>
              <w:top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CONSOLIDATED STATEMENTS OF INCOME</w:t>
            </w:r>
          </w:p>
        </w:tc>
        <w:tc>
          <w:tcPr>
            <w:tcW w:w="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8"/>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 Thousands, Except Per Share Amounts)</w:t>
            </w:r>
          </w:p>
        </w:tc>
        <w:tc>
          <w:tcPr>
            <w:tcW w:w="580" w:type="dxa"/>
            <w:vAlign w:val="bottom"/>
            <w:gridSpan w:val="2"/>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16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626"/>
        </w:trPr>
        <w:tc>
          <w:tcPr>
            <w:tcW w:w="12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920" w:type="dxa"/>
            <w:vAlign w:val="bottom"/>
            <w:gridSpan w:val="6"/>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r>
      <w:tr>
        <w:trPr>
          <w:trHeight w:val="238"/>
        </w:trPr>
        <w:tc>
          <w:tcPr>
            <w:tcW w:w="128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2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r>
      <w:tr>
        <w:trPr>
          <w:trHeight w:val="210"/>
        </w:trPr>
        <w:tc>
          <w:tcPr>
            <w:tcW w:w="12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1,130,770</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1,123,319</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619,068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649,196</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90,253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87,921</w:t>
            </w: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Finance and insurance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5,212</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5,394</w:t>
            </w:r>
          </w:p>
        </w:tc>
      </w:tr>
      <w:tr>
        <w:trPr>
          <w:trHeight w:val="229"/>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6,169</w:t>
            </w:r>
          </w:p>
        </w:tc>
      </w:tr>
      <w:tr>
        <w:trPr>
          <w:trHeight w:val="209"/>
        </w:trPr>
        <w:tc>
          <w:tcPr>
            <w:tcW w:w="8000" w:type="dxa"/>
            <w:vAlign w:val="bottom"/>
            <w:tcBorders>
              <w:top w:val="single" w:sz="8" w:color="CCEEFF"/>
            </w:tcBorders>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1,850,830</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1,871,999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Cost of products sold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1,030,533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1,006,100</w:t>
            </w: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397,743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412,254</w:t>
            </w:r>
          </w:p>
        </w:tc>
      </w:tr>
      <w:tr>
        <w:trPr>
          <w:trHeight w:val="229"/>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Lease and rental sales</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64,794</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63,770</w:t>
            </w:r>
          </w:p>
        </w:tc>
      </w:tr>
      <w:tr>
        <w:trPr>
          <w:trHeight w:val="210"/>
        </w:trPr>
        <w:tc>
          <w:tcPr>
            <w:tcW w:w="8000" w:type="dxa"/>
            <w:vAlign w:val="bottom"/>
            <w:tcBorders>
              <w:bottom w:val="single" w:sz="8" w:color="CCEEFF"/>
            </w:tcBorders>
            <w:gridSpan w:val="6"/>
          </w:tcPr>
          <w:p>
            <w:pPr>
              <w:ind w:left="180"/>
              <w:spacing w:after="0"/>
              <w:rPr>
                <w:sz w:val="20"/>
                <w:szCs w:val="20"/>
                <w:color w:val="auto"/>
              </w:rPr>
            </w:pPr>
            <w:r>
              <w:rPr>
                <w:rFonts w:ascii="Times New Roman" w:cs="Times New Roman" w:eastAsia="Times New Roman" w:hAnsi="Times New Roman"/>
                <w:sz w:val="18"/>
                <w:szCs w:val="18"/>
                <w:color w:val="auto"/>
              </w:rPr>
              <w:t>Total cost of products sold</w:t>
            </w:r>
          </w:p>
        </w:tc>
        <w:tc>
          <w:tcPr>
            <w:tcW w:w="3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1,493,070</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1,482,124</w:t>
            </w:r>
          </w:p>
        </w:tc>
        <w:tc>
          <w:tcPr>
            <w:tcW w:w="100" w:type="dxa"/>
            <w:vAlign w:val="bottom"/>
            <w:tcBorders>
              <w:bottom w:val="single" w:sz="8" w:color="CCEEFF"/>
            </w:tcBorders>
          </w:tcPr>
          <w:p>
            <w:pPr>
              <w:spacing w:after="0"/>
              <w:rPr>
                <w:sz w:val="18"/>
                <w:szCs w:val="18"/>
                <w:color w:val="auto"/>
              </w:rPr>
            </w:pPr>
          </w:p>
        </w:tc>
      </w:tr>
      <w:tr>
        <w:trPr>
          <w:trHeight w:val="20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357,760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389,875</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248,803</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263,665</w:t>
            </w: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17,256</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15,750</w:t>
            </w:r>
          </w:p>
        </w:tc>
      </w:tr>
      <w:tr>
        <w:trPr>
          <w:trHeight w:val="23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Gain on sale of assets</w:t>
            </w:r>
          </w:p>
        </w:tc>
        <w:tc>
          <w:tcPr>
            <w:tcW w:w="32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150</w:t>
            </w:r>
          </w:p>
        </w:tc>
      </w:tr>
      <w:tr>
        <w:trPr>
          <w:trHeight w:val="209"/>
        </w:trPr>
        <w:tc>
          <w:tcPr>
            <w:tcW w:w="8000" w:type="dxa"/>
            <w:vAlign w:val="bottom"/>
            <w:tcBorders>
              <w:top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91,869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110,610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(440)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r>
      <w:tr>
        <w:trPr>
          <w:trHeight w:val="22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12,863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17,973</w:t>
            </w: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Income before taxes</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78,566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92,814</w:t>
            </w:r>
          </w:p>
        </w:tc>
        <w:tc>
          <w:tcPr>
            <w:tcW w:w="100" w:type="dxa"/>
            <w:vAlign w:val="bottom"/>
          </w:tcPr>
          <w:p>
            <w:pPr>
              <w:spacing w:after="0"/>
              <w:rPr>
                <w:sz w:val="18"/>
                <w:szCs w:val="18"/>
                <w:color w:val="auto"/>
              </w:rPr>
            </w:pPr>
          </w:p>
        </w:tc>
      </w:tr>
      <w:tr>
        <w:trPr>
          <w:trHeight w:val="23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17,949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21,325</w:t>
            </w: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60,617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71,489</w:t>
            </w:r>
          </w:p>
        </w:tc>
        <w:tc>
          <w:tcPr>
            <w:tcW w:w="100" w:type="dxa"/>
            <w:vAlign w:val="bottom"/>
          </w:tcPr>
          <w:p>
            <w:pPr>
              <w:spacing w:after="0"/>
              <w:rPr>
                <w:sz w:val="18"/>
                <w:szCs w:val="18"/>
                <w:color w:val="auto"/>
              </w:rPr>
            </w:pPr>
          </w:p>
        </w:tc>
      </w:tr>
      <w:tr>
        <w:trPr>
          <w:trHeight w:val="229"/>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Net income (loss) attributable to noncontrolling interest</w:t>
            </w:r>
          </w:p>
        </w:tc>
        <w:tc>
          <w:tcPr>
            <w:tcW w:w="3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295</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63"/>
        </w:trPr>
        <w:tc>
          <w:tcPr>
            <w:tcW w:w="8000" w:type="dxa"/>
            <w:vAlign w:val="bottom"/>
            <w:tcBorders>
              <w:bottom w:val="single" w:sz="8" w:color="CCEEFF"/>
            </w:tcBorders>
            <w:gridSpan w:val="6"/>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60,322</w:t>
            </w:r>
          </w:p>
        </w:tc>
        <w:tc>
          <w:tcPr>
            <w:tcW w:w="1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71,608</w:t>
            </w:r>
          </w:p>
        </w:tc>
        <w:tc>
          <w:tcPr>
            <w:tcW w:w="100" w:type="dxa"/>
            <w:vAlign w:val="bottom"/>
            <w:tcBorders>
              <w:bottom w:val="single" w:sz="8" w:color="CCEEFF"/>
            </w:tcBorders>
          </w:tcPr>
          <w:p>
            <w:pPr>
              <w:spacing w:after="0"/>
              <w:rPr>
                <w:sz w:val="22"/>
                <w:szCs w:val="22"/>
                <w:color w:val="auto"/>
              </w:rPr>
            </w:pPr>
          </w:p>
        </w:tc>
      </w:tr>
      <w:tr>
        <w:trPr>
          <w:trHeight w:val="196"/>
        </w:trPr>
        <w:tc>
          <w:tcPr>
            <w:tcW w:w="1280" w:type="dxa"/>
            <w:vAlign w:val="bottom"/>
            <w:shd w:val="clear" w:color="auto" w:fill="CCEEFF"/>
          </w:tcPr>
          <w:p>
            <w:pPr>
              <w:spacing w:after="0"/>
              <w:rPr>
                <w:sz w:val="17"/>
                <w:szCs w:val="17"/>
                <w:color w:val="auto"/>
              </w:rPr>
            </w:pPr>
          </w:p>
        </w:tc>
        <w:tc>
          <w:tcPr>
            <w:tcW w:w="24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5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 per share of common stock:</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0.76</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0.91</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0.73</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0.88</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Weighted average shares outstanding:</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79,661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78,483</w:t>
            </w:r>
          </w:p>
        </w:tc>
      </w:tr>
      <w:tr>
        <w:trPr>
          <w:trHeight w:val="216"/>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82,381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81,454</w:t>
            </w:r>
          </w:p>
        </w:tc>
      </w:tr>
      <w:tr>
        <w:trPr>
          <w:trHeight w:val="216"/>
        </w:trPr>
        <w:tc>
          <w:tcPr>
            <w:tcW w:w="12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8"/>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Dividends declared per common share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0.18</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0.17</w:t>
            </w:r>
          </w:p>
        </w:tc>
      </w:tr>
      <w:tr>
        <w:trPr>
          <w:trHeight w:val="410"/>
        </w:trPr>
        <w:tc>
          <w:tcPr>
            <w:tcW w:w="1280" w:type="dxa"/>
            <w:vAlign w:val="bottom"/>
          </w:tcPr>
          <w:p>
            <w:pPr>
              <w:spacing w:after="0"/>
              <w:rPr>
                <w:sz w:val="24"/>
                <w:szCs w:val="24"/>
                <w:color w:val="auto"/>
              </w:rPr>
            </w:pPr>
          </w:p>
        </w:tc>
        <w:tc>
          <w:tcPr>
            <w:tcW w:w="8320" w:type="dxa"/>
            <w:vAlign w:val="bottom"/>
            <w:gridSpan w:val="8"/>
          </w:tcPr>
          <w:p>
            <w:pPr>
              <w:jc w:val="center"/>
              <w:ind w:left="270"/>
              <w:spacing w:after="0"/>
              <w:rPr>
                <w:sz w:val="20"/>
                <w:szCs w:val="20"/>
                <w:color w:val="auto"/>
              </w:rPr>
            </w:pPr>
            <w:r>
              <w:rPr>
                <w:rFonts w:ascii="Times New Roman" w:cs="Times New Roman" w:eastAsia="Times New Roman" w:hAnsi="Times New Roman"/>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2"/>
        </w:trPr>
        <w:tc>
          <w:tcPr>
            <w:tcW w:w="7420" w:type="dxa"/>
            <w:vAlign w:val="bottom"/>
            <w:gridSpan w:val="4"/>
          </w:tcPr>
          <w:p>
            <w:pPr>
              <w:jc w:val="center"/>
              <w:ind w:left="3730"/>
              <w:spacing w:after="0"/>
              <w:rPr>
                <w:sz w:val="20"/>
                <w:szCs w:val="20"/>
                <w:color w:val="auto"/>
              </w:rPr>
            </w:pPr>
            <w:r>
              <w:rPr>
                <w:rFonts w:ascii="Times New Roman" w:cs="Times New Roman" w:eastAsia="Times New Roman" w:hAnsi="Times New Roman"/>
                <w:sz w:val="18"/>
                <w:szCs w:val="18"/>
                <w:color w:val="auto"/>
                <w:w w:val="88"/>
              </w:rPr>
              <w:t>4</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1280" w:type="dxa"/>
            <w:vAlign w:val="bottom"/>
            <w:tcBorders>
              <w:bottom w:val="single" w:sz="8" w:color="auto"/>
            </w:tcBorders>
          </w:tcPr>
          <w:p>
            <w:pPr>
              <w:spacing w:after="0"/>
              <w:rPr>
                <w:sz w:val="10"/>
                <w:szCs w:val="10"/>
                <w:color w:val="auto"/>
              </w:rPr>
            </w:pPr>
          </w:p>
        </w:tc>
        <w:tc>
          <w:tcPr>
            <w:tcW w:w="24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35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08"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0" w:type="dxa"/>
            <w:vAlign w:val="bottom"/>
          </w:tcPr>
          <w:p>
            <w:pPr>
              <w:spacing w:after="0"/>
              <w:rPr>
                <w:sz w:val="18"/>
                <w:szCs w:val="18"/>
                <w:color w:val="auto"/>
              </w:rPr>
            </w:pPr>
          </w:p>
        </w:tc>
        <w:tc>
          <w:tcPr>
            <w:tcW w:w="2620" w:type="dxa"/>
            <w:vAlign w:val="bottom"/>
            <w:tcBorders>
              <w:top w:val="single" w:sz="8" w:color="auto"/>
            </w:tcBorders>
            <w:gridSpan w:val="5"/>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800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4"/>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5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09"/>
        </w:trPr>
        <w:tc>
          <w:tcPr>
            <w:tcW w:w="80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2024</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80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60,617</w:t>
            </w:r>
          </w:p>
        </w:tc>
        <w:tc>
          <w:tcPr>
            <w:tcW w:w="1020" w:type="dxa"/>
            <w:vAlign w:val="bottom"/>
            <w:gridSpan w:val="2"/>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71,489</w:t>
            </w: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9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9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20"/>
        </w:trPr>
        <w:tc>
          <w:tcPr>
            <w:tcW w:w="8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 attributable to Rush Enterprises, Inc.</w:t>
            </w:r>
          </w:p>
        </w:tc>
        <w:tc>
          <w:tcPr>
            <w:tcW w:w="96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(1,891)</w:t>
            </w: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60,605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69,598</w:t>
            </w:r>
          </w:p>
        </w:tc>
        <w:tc>
          <w:tcPr>
            <w:tcW w:w="100" w:type="dxa"/>
            <w:vAlign w:val="bottom"/>
            <w:shd w:val="clear" w:color="auto" w:fill="CCEEFF"/>
          </w:tcPr>
          <w:p>
            <w:pPr>
              <w:spacing w:after="0"/>
              <w:rPr>
                <w:sz w:val="18"/>
                <w:szCs w:val="18"/>
                <w:color w:val="auto"/>
              </w:rPr>
            </w:pPr>
          </w:p>
        </w:tc>
      </w:tr>
      <w:tr>
        <w:trPr>
          <w:trHeight w:val="216"/>
        </w:trPr>
        <w:tc>
          <w:tcPr>
            <w:tcW w:w="8000" w:type="dxa"/>
            <w:vAlign w:val="bottom"/>
          </w:tcPr>
          <w:p>
            <w:pPr>
              <w:spacing w:after="0"/>
              <w:rPr>
                <w:sz w:val="20"/>
                <w:szCs w:val="20"/>
                <w:color w:val="auto"/>
              </w:rPr>
            </w:pPr>
            <w:r>
              <w:rPr>
                <w:rFonts w:ascii="Times New Roman" w:cs="Times New Roman" w:eastAsia="Times New Roman" w:hAnsi="Times New Roman"/>
                <w:sz w:val="18"/>
                <w:szCs w:val="18"/>
                <w:color w:val="auto"/>
              </w:rPr>
              <w:t>Less: Comprehensive income (loss) attributable to noncontrolling interest</w:t>
            </w:r>
          </w:p>
        </w:tc>
        <w:tc>
          <w:tcPr>
            <w:tcW w:w="9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w:t>
            </w:r>
          </w:p>
        </w:tc>
      </w:tr>
      <w:tr>
        <w:trPr>
          <w:trHeight w:val="250"/>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attributable to Rush Enterprises, Inc.</w:t>
            </w:r>
          </w:p>
        </w:tc>
        <w:tc>
          <w:tcPr>
            <w:tcW w:w="960" w:type="dxa"/>
            <w:vAlign w:val="bottom"/>
            <w:tcBorders>
              <w:top w:val="single" w:sz="8" w:color="auto"/>
              <w:bottom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60,310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69,717</w:t>
            </w:r>
          </w:p>
        </w:tc>
        <w:tc>
          <w:tcPr>
            <w:tcW w:w="100" w:type="dxa"/>
            <w:vAlign w:val="bottom"/>
            <w:tcBorders>
              <w:bottom w:val="single" w:sz="8" w:color="CCEEFF"/>
            </w:tcBorders>
            <w:shd w:val="clear" w:color="auto" w:fill="CCEEFF"/>
          </w:tcPr>
          <w:p>
            <w:pPr>
              <w:spacing w:after="0"/>
              <w:rPr>
                <w:sz w:val="21"/>
                <w:szCs w:val="2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RUSH ENTERPRISES, INC. AND SUBSIDIARIES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CONSOLIDATED STATEMENTS OF 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00" w:type="dxa"/>
            <w:vAlign w:val="bottom"/>
          </w:tcPr>
          <w:p>
            <w:pPr>
              <w:spacing w:after="0"/>
              <w:rPr>
                <w:sz w:val="13"/>
                <w:szCs w:val="13"/>
                <w:color w:val="auto"/>
              </w:rPr>
            </w:pPr>
          </w:p>
        </w:tc>
        <w:tc>
          <w:tcPr>
            <w:tcW w:w="16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13"/>
                <w:szCs w:val="13"/>
                <w:color w:val="auto"/>
              </w:rPr>
            </w:pPr>
          </w:p>
        </w:tc>
        <w:tc>
          <w:tcPr>
            <w:tcW w:w="8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Total Rush</w:t>
            </w: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$0.01</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180" w:type="dxa"/>
            <w:vAlign w:val="bottom"/>
          </w:tcPr>
          <w:p>
            <w:pPr>
              <w:spacing w:after="0"/>
              <w:rPr>
                <w:sz w:val="12"/>
                <w:szCs w:val="12"/>
                <w:color w:val="auto"/>
              </w:rPr>
            </w:pPr>
          </w:p>
        </w:tc>
        <w:tc>
          <w:tcPr>
            <w:tcW w:w="7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6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Treasury</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2"/>
                <w:szCs w:val="12"/>
                <w:color w:val="auto"/>
              </w:rPr>
            </w:pPr>
          </w:p>
        </w:tc>
        <w:tc>
          <w:tcPr>
            <w:tcW w:w="8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4"/>
                <w:szCs w:val="14"/>
                <w:color w:val="auto"/>
              </w:rPr>
            </w:pPr>
          </w:p>
        </w:tc>
        <w:tc>
          <w:tcPr>
            <w:tcW w:w="6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Par</w:t>
            </w:r>
          </w:p>
        </w:tc>
        <w:tc>
          <w:tcPr>
            <w:tcW w:w="20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Paid -In</w:t>
            </w: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controlling</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Class B</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w w:val="95"/>
              </w:rPr>
              <w:t>Value</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2024</w:t>
            </w:r>
          </w:p>
        </w:tc>
        <w:tc>
          <w:tcPr>
            <w:tcW w:w="80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62,605</w:t>
            </w:r>
          </w:p>
        </w:tc>
        <w:tc>
          <w:tcPr>
            <w:tcW w:w="8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16,663</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824</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587,639</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(136,235</w:t>
            </w: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1,698,614</w:t>
            </w:r>
          </w:p>
        </w:tc>
        <w:tc>
          <w:tcPr>
            <w:tcW w:w="2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(9,293</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2,141,549</w:t>
            </w:r>
          </w:p>
        </w:tc>
        <w:tc>
          <w:tcPr>
            <w:tcW w:w="1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b w:val="1"/>
                <w:bCs w:val="1"/>
                <w:color w:val="auto"/>
              </w:rPr>
              <w:t>20,354</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2,161,903</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stock</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181</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w:t>
            </w:r>
          </w:p>
        </w:tc>
        <w:tc>
          <w:tcPr>
            <w:tcW w:w="2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2,736</w:t>
            </w:r>
          </w:p>
        </w:tc>
        <w:tc>
          <w:tcPr>
            <w:tcW w:w="16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2,738</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2,738</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stock options, restricted</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and employee stock</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13,714</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13,714</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13,714</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8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0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(9,442)</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(9,439)</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(9,439)</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97</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3,411</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3,412</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3,412</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(332)</w:t>
            </w:r>
          </w:p>
        </w:tc>
        <w:tc>
          <w:tcPr>
            <w:tcW w:w="8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(30,939)</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(30,939)</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(30,939)</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(11,296)</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(11,296)</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(11,296)</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common stock</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(3,113)</w:t>
            </w:r>
          </w:p>
        </w:tc>
        <w:tc>
          <w:tcPr>
            <w:tcW w:w="26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(3,113)</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(3,113)</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 common stock</w:t>
            </w:r>
          </w:p>
        </w:tc>
        <w:tc>
          <w:tcPr>
            <w:tcW w:w="8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60,322</w:t>
            </w:r>
          </w:p>
        </w:tc>
        <w:tc>
          <w:tcPr>
            <w:tcW w:w="2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60,322</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295</w:t>
            </w:r>
          </w:p>
        </w:tc>
        <w:tc>
          <w:tcPr>
            <w:tcW w:w="220" w:type="dxa"/>
            <w:vAlign w:val="bottom"/>
          </w:tcPr>
          <w:p>
            <w:pPr>
              <w:spacing w:after="0"/>
              <w:rPr>
                <w:sz w:val="12"/>
                <w:szCs w:val="12"/>
                <w:color w:val="auto"/>
              </w:rPr>
            </w:pPr>
          </w:p>
        </w:tc>
        <w:tc>
          <w:tcPr>
            <w:tcW w:w="78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60,617</w:t>
            </w:r>
          </w:p>
        </w:tc>
        <w:tc>
          <w:tcPr>
            <w:tcW w:w="0" w:type="dxa"/>
            <w:vAlign w:val="bottom"/>
          </w:tcPr>
          <w:p>
            <w:pPr>
              <w:spacing w:after="0"/>
              <w:rPr>
                <w:sz w:val="1"/>
                <w:szCs w:val="1"/>
                <w:color w:val="auto"/>
              </w:rPr>
            </w:pPr>
          </w:p>
        </w:tc>
      </w:tr>
      <w:tr>
        <w:trPr>
          <w:trHeight w:val="182"/>
        </w:trPr>
        <w:tc>
          <w:tcPr>
            <w:tcW w:w="2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2025</w:t>
            </w:r>
          </w:p>
        </w:tc>
        <w:tc>
          <w:tcPr>
            <w:tcW w:w="800" w:type="dxa"/>
            <w:vAlign w:val="bottom"/>
            <w:tcBorders>
              <w:top w:val="single" w:sz="8" w:color="auto"/>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62,551</w:t>
            </w:r>
          </w:p>
        </w:tc>
        <w:tc>
          <w:tcPr>
            <w:tcW w:w="840" w:type="dxa"/>
            <w:vAlign w:val="bottom"/>
            <w:tcBorders>
              <w:top w:val="single" w:sz="8" w:color="auto"/>
              <w:bottom w:val="single" w:sz="8" w:color="auto"/>
            </w:tcBorders>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16,755</w:t>
            </w:r>
          </w:p>
        </w:tc>
        <w:tc>
          <w:tcPr>
            <w:tcW w:w="1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830</w:t>
            </w:r>
          </w:p>
        </w:tc>
        <w:tc>
          <w:tcPr>
            <w:tcW w:w="2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598,058</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(167,174</w:t>
            </w:r>
            <w:r>
              <w:rPr>
                <w:rFonts w:ascii="Times New Roman" w:cs="Times New Roman" w:eastAsia="Times New Roman" w:hAnsi="Times New Roman"/>
                <w:sz w:val="14"/>
                <w:szCs w:val="14"/>
                <w:b w:val="1"/>
                <w:bCs w:val="1"/>
                <w:color w:val="auto"/>
              </w:rPr>
              <w:t>)</w:t>
            </w:r>
          </w:p>
        </w:tc>
        <w:tc>
          <w:tcPr>
            <w:tcW w:w="900" w:type="dxa"/>
            <w:vAlign w:val="bottom"/>
            <w:tcBorders>
              <w:top w:val="single" w:sz="8" w:color="auto"/>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1,744,527</w:t>
            </w:r>
          </w:p>
        </w:tc>
        <w:tc>
          <w:tcPr>
            <w:tcW w:w="260" w:type="dxa"/>
            <w:vAlign w:val="bottom"/>
            <w:tcBorders>
              <w:top w:val="single" w:sz="8" w:color="auto"/>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(9,305</w:t>
            </w:r>
            <w:r>
              <w:rPr>
                <w:rFonts w:ascii="Times New Roman" w:cs="Times New Roman" w:eastAsia="Times New Roman" w:hAnsi="Times New Roman"/>
                <w:sz w:val="14"/>
                <w:szCs w:val="14"/>
                <w:b w:val="1"/>
                <w:bCs w:val="1"/>
                <w:color w:val="auto"/>
              </w:rPr>
              <w:t>)</w:t>
            </w:r>
          </w:p>
        </w:tc>
        <w:tc>
          <w:tcPr>
            <w:tcW w:w="1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2,166,936</w:t>
            </w:r>
          </w:p>
        </w:tc>
        <w:tc>
          <w:tcPr>
            <w:tcW w:w="18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top w:val="single" w:sz="8" w:color="auto"/>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20,648</w:t>
            </w:r>
          </w:p>
        </w:tc>
        <w:tc>
          <w:tcPr>
            <w:tcW w:w="220" w:type="dxa"/>
            <w:vAlign w:val="bottom"/>
            <w:tcBorders>
              <w:top w:val="single" w:sz="8" w:color="auto"/>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color w:val="auto"/>
              </w:rPr>
              <w:t>2,187,584</w:t>
            </w: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538"/>
        </w:trPr>
        <w:tc>
          <w:tcPr>
            <w:tcW w:w="2100" w:type="dxa"/>
            <w:vAlign w:val="bottom"/>
          </w:tcPr>
          <w:p>
            <w:pPr>
              <w:spacing w:after="0"/>
              <w:rPr>
                <w:sz w:val="24"/>
                <w:szCs w:val="24"/>
                <w:color w:val="auto"/>
              </w:rPr>
            </w:pPr>
          </w:p>
        </w:tc>
        <w:tc>
          <w:tcPr>
            <w:tcW w:w="16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color w:val="auto"/>
              </w:rPr>
              <w:t>Common Stock</w:t>
            </w: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1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Accumulated</w:t>
            </w:r>
          </w:p>
        </w:tc>
        <w:tc>
          <w:tcPr>
            <w:tcW w:w="160" w:type="dxa"/>
            <w:vAlign w:val="bottom"/>
          </w:tcPr>
          <w:p>
            <w:pPr>
              <w:spacing w:after="0"/>
              <w:rPr>
                <w:sz w:val="24"/>
                <w:szCs w:val="24"/>
                <w:color w:val="auto"/>
              </w:rPr>
            </w:pPr>
          </w:p>
        </w:tc>
        <w:tc>
          <w:tcPr>
            <w:tcW w:w="86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Total Rush</w:t>
            </w: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2100" w:type="dxa"/>
            <w:vAlign w:val="bottom"/>
          </w:tcPr>
          <w:p>
            <w:pPr>
              <w:spacing w:after="0"/>
              <w:rPr>
                <w:sz w:val="12"/>
                <w:szCs w:val="12"/>
                <w:color w:val="auto"/>
              </w:rPr>
            </w:pPr>
          </w:p>
        </w:tc>
        <w:tc>
          <w:tcPr>
            <w:tcW w:w="16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vMerge w:val="restart"/>
          </w:tcPr>
          <w:p>
            <w:pPr>
              <w:jc w:val="center"/>
              <w:ind w:right="148"/>
              <w:spacing w:after="0"/>
              <w:rPr>
                <w:sz w:val="20"/>
                <w:szCs w:val="20"/>
                <w:color w:val="auto"/>
              </w:rPr>
            </w:pPr>
            <w:r>
              <w:rPr>
                <w:rFonts w:ascii="Times New Roman" w:cs="Times New Roman" w:eastAsia="Times New Roman" w:hAnsi="Times New Roman"/>
                <w:sz w:val="14"/>
                <w:szCs w:val="14"/>
                <w:color w:val="auto"/>
              </w:rPr>
              <w:t>$0.01</w:t>
            </w:r>
          </w:p>
        </w:tc>
        <w:tc>
          <w:tcPr>
            <w:tcW w:w="9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color w:val="auto"/>
              </w:rPr>
              <w:t>Additional</w:t>
            </w:r>
          </w:p>
        </w:tc>
        <w:tc>
          <w:tcPr>
            <w:tcW w:w="1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020" w:type="dxa"/>
            <w:vAlign w:val="bottom"/>
            <w:gridSpan w:val="2"/>
          </w:tcPr>
          <w:p>
            <w:pPr>
              <w:jc w:val="center"/>
              <w:spacing w:after="0" w:line="145" w:lineRule="exact"/>
              <w:rPr>
                <w:sz w:val="20"/>
                <w:szCs w:val="20"/>
                <w:color w:val="auto"/>
              </w:rPr>
            </w:pPr>
            <w:r>
              <w:rPr>
                <w:rFonts w:ascii="Times New Roman" w:cs="Times New Roman" w:eastAsia="Times New Roman" w:hAnsi="Times New Roman"/>
                <w:sz w:val="14"/>
                <w:szCs w:val="14"/>
                <w:color w:val="auto"/>
              </w:rPr>
              <w:t>Enterprises,</w:t>
            </w:r>
          </w:p>
        </w:tc>
        <w:tc>
          <w:tcPr>
            <w:tcW w:w="180" w:type="dxa"/>
            <w:vAlign w:val="bottom"/>
          </w:tcPr>
          <w:p>
            <w:pPr>
              <w:spacing w:after="0"/>
              <w:rPr>
                <w:sz w:val="12"/>
                <w:szCs w:val="12"/>
                <w:color w:val="auto"/>
              </w:rPr>
            </w:pPr>
          </w:p>
        </w:tc>
        <w:tc>
          <w:tcPr>
            <w:tcW w:w="7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color w:val="auto"/>
              </w:rPr>
              <w:t>Non-</w:t>
            </w:r>
          </w:p>
        </w:tc>
        <w:tc>
          <w:tcPr>
            <w:tcW w:w="220" w:type="dxa"/>
            <w:vAlign w:val="bottom"/>
          </w:tcPr>
          <w:p>
            <w:pPr>
              <w:spacing w:after="0"/>
              <w:rPr>
                <w:sz w:val="12"/>
                <w:szCs w:val="12"/>
                <w:color w:val="auto"/>
              </w:rPr>
            </w:pPr>
          </w:p>
        </w:tc>
        <w:tc>
          <w:tcPr>
            <w:tcW w:w="7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8"/>
        </w:trPr>
        <w:tc>
          <w:tcPr>
            <w:tcW w:w="2100" w:type="dxa"/>
            <w:vAlign w:val="bottom"/>
          </w:tcPr>
          <w:p>
            <w:pPr>
              <w:spacing w:after="0"/>
              <w:rPr>
                <w:sz w:val="12"/>
                <w:szCs w:val="12"/>
                <w:color w:val="auto"/>
              </w:rPr>
            </w:pPr>
          </w:p>
        </w:tc>
        <w:tc>
          <w:tcPr>
            <w:tcW w:w="16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vMerge w:val="restart"/>
          </w:tcPr>
          <w:p>
            <w:pPr>
              <w:jc w:val="center"/>
              <w:ind w:right="128"/>
              <w:spacing w:after="0"/>
              <w:rPr>
                <w:sz w:val="20"/>
                <w:szCs w:val="20"/>
                <w:color w:val="auto"/>
              </w:rPr>
            </w:pPr>
            <w:r>
              <w:rPr>
                <w:rFonts w:ascii="Times New Roman" w:cs="Times New Roman" w:eastAsia="Times New Roman" w:hAnsi="Times New Roman"/>
                <w:sz w:val="14"/>
                <w:szCs w:val="14"/>
                <w:color w:val="auto"/>
              </w:rPr>
              <w:t>Treasury</w:t>
            </w:r>
          </w:p>
        </w:tc>
        <w:tc>
          <w:tcPr>
            <w:tcW w:w="9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Retained</w:t>
            </w:r>
          </w:p>
        </w:tc>
        <w:tc>
          <w:tcPr>
            <w:tcW w:w="260" w:type="dxa"/>
            <w:vAlign w:val="bottom"/>
          </w:tcPr>
          <w:p>
            <w:pPr>
              <w:spacing w:after="0"/>
              <w:rPr>
                <w:sz w:val="12"/>
                <w:szCs w:val="12"/>
                <w:color w:val="auto"/>
              </w:rPr>
            </w:pPr>
          </w:p>
        </w:tc>
        <w:tc>
          <w:tcPr>
            <w:tcW w:w="860" w:type="dxa"/>
            <w:vAlign w:val="bottom"/>
          </w:tcPr>
          <w:p>
            <w:pPr>
              <w:jc w:val="center"/>
              <w:ind w:right="228"/>
              <w:spacing w:after="0" w:line="149" w:lineRule="exact"/>
              <w:rPr>
                <w:sz w:val="20"/>
                <w:szCs w:val="20"/>
                <w:color w:val="auto"/>
              </w:rPr>
            </w:pPr>
            <w:r>
              <w:rPr>
                <w:rFonts w:ascii="Times New Roman" w:cs="Times New Roman" w:eastAsia="Times New Roman" w:hAnsi="Times New Roman"/>
                <w:sz w:val="14"/>
                <w:szCs w:val="14"/>
                <w:color w:val="auto"/>
              </w:rPr>
              <w:t>Other</w:t>
            </w:r>
          </w:p>
        </w:tc>
        <w:tc>
          <w:tcPr>
            <w:tcW w:w="160" w:type="dxa"/>
            <w:vAlign w:val="bottom"/>
          </w:tcPr>
          <w:p>
            <w:pPr>
              <w:spacing w:after="0"/>
              <w:rPr>
                <w:sz w:val="12"/>
                <w:szCs w:val="12"/>
                <w:color w:val="auto"/>
              </w:rPr>
            </w:pPr>
          </w:p>
        </w:tc>
        <w:tc>
          <w:tcPr>
            <w:tcW w:w="860" w:type="dxa"/>
            <w:vAlign w:val="bottom"/>
          </w:tcPr>
          <w:p>
            <w:pPr>
              <w:jc w:val="center"/>
              <w:ind w:right="128"/>
              <w:spacing w:after="0" w:line="149" w:lineRule="exact"/>
              <w:rPr>
                <w:sz w:val="20"/>
                <w:szCs w:val="20"/>
                <w:color w:val="auto"/>
              </w:rPr>
            </w:pPr>
            <w:r>
              <w:rPr>
                <w:rFonts w:ascii="Times New Roman" w:cs="Times New Roman" w:eastAsia="Times New Roman" w:hAnsi="Times New Roman"/>
                <w:sz w:val="14"/>
                <w:szCs w:val="14"/>
                <w:color w:val="auto"/>
              </w:rPr>
              <w:t>Inc.</w:t>
            </w:r>
          </w:p>
        </w:tc>
        <w:tc>
          <w:tcPr>
            <w:tcW w:w="18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00" w:type="dxa"/>
            <w:vAlign w:val="bottom"/>
          </w:tcPr>
          <w:p>
            <w:pPr>
              <w:spacing w:after="0"/>
              <w:rPr>
                <w:sz w:val="14"/>
                <w:szCs w:val="14"/>
                <w:color w:val="auto"/>
              </w:rPr>
            </w:pPr>
          </w:p>
        </w:tc>
        <w:tc>
          <w:tcPr>
            <w:tcW w:w="164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color w:val="auto"/>
              </w:rPr>
              <w:t>Outstanding</w:t>
            </w:r>
          </w:p>
        </w:tc>
        <w:tc>
          <w:tcPr>
            <w:tcW w:w="180" w:type="dxa"/>
            <w:vAlign w:val="bottom"/>
          </w:tcPr>
          <w:p>
            <w:pPr>
              <w:spacing w:after="0"/>
              <w:rPr>
                <w:sz w:val="14"/>
                <w:szCs w:val="14"/>
                <w:color w:val="auto"/>
              </w:rPr>
            </w:pPr>
          </w:p>
        </w:tc>
        <w:tc>
          <w:tcPr>
            <w:tcW w:w="620" w:type="dxa"/>
            <w:vAlign w:val="bottom"/>
          </w:tcPr>
          <w:p>
            <w:pPr>
              <w:jc w:val="center"/>
              <w:ind w:right="148"/>
              <w:spacing w:after="0"/>
              <w:rPr>
                <w:sz w:val="20"/>
                <w:szCs w:val="20"/>
                <w:color w:val="auto"/>
              </w:rPr>
            </w:pPr>
            <w:r>
              <w:rPr>
                <w:rFonts w:ascii="Times New Roman" w:cs="Times New Roman" w:eastAsia="Times New Roman" w:hAnsi="Times New Roman"/>
                <w:sz w:val="14"/>
                <w:szCs w:val="14"/>
                <w:color w:val="auto"/>
              </w:rPr>
              <w:t>Par</w:t>
            </w:r>
          </w:p>
        </w:tc>
        <w:tc>
          <w:tcPr>
            <w:tcW w:w="200" w:type="dxa"/>
            <w:vAlign w:val="bottom"/>
          </w:tcPr>
          <w:p>
            <w:pPr>
              <w:spacing w:after="0"/>
              <w:rPr>
                <w:sz w:val="14"/>
                <w:szCs w:val="14"/>
                <w:color w:val="auto"/>
              </w:rPr>
            </w:pPr>
          </w:p>
        </w:tc>
        <w:tc>
          <w:tcPr>
            <w:tcW w:w="700" w:type="dxa"/>
            <w:vAlign w:val="bottom"/>
          </w:tcPr>
          <w:p>
            <w:pPr>
              <w:jc w:val="center"/>
              <w:ind w:right="128"/>
              <w:spacing w:after="0"/>
              <w:rPr>
                <w:sz w:val="20"/>
                <w:szCs w:val="20"/>
                <w:color w:val="auto"/>
              </w:rPr>
            </w:pPr>
            <w:r>
              <w:rPr>
                <w:rFonts w:ascii="Times New Roman" w:cs="Times New Roman" w:eastAsia="Times New Roman" w:hAnsi="Times New Roman"/>
                <w:sz w:val="14"/>
                <w:szCs w:val="14"/>
                <w:color w:val="auto"/>
              </w:rPr>
              <w:t>Paid -In</w:t>
            </w: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1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Comprehensive</w:t>
            </w:r>
          </w:p>
        </w:tc>
        <w:tc>
          <w:tcPr>
            <w:tcW w:w="1020" w:type="dxa"/>
            <w:vAlign w:val="bottom"/>
            <w:gridSpan w:val="2"/>
          </w:tcPr>
          <w:p>
            <w:pPr>
              <w:jc w:val="center"/>
              <w:spacing w:after="0"/>
              <w:rPr>
                <w:sz w:val="20"/>
                <w:szCs w:val="20"/>
                <w:color w:val="auto"/>
              </w:rPr>
            </w:pPr>
            <w:r>
              <w:rPr>
                <w:rFonts w:ascii="Times New Roman" w:cs="Times New Roman" w:eastAsia="Times New Roman" w:hAnsi="Times New Roman"/>
                <w:sz w:val="14"/>
                <w:szCs w:val="14"/>
                <w:color w:val="auto"/>
              </w:rPr>
              <w:t>Shareholders’</w:t>
            </w: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4"/>
                <w:szCs w:val="14"/>
                <w:color w:val="auto"/>
              </w:rPr>
              <w:t>controlling</w:t>
            </w:r>
          </w:p>
        </w:tc>
        <w:tc>
          <w:tcPr>
            <w:tcW w:w="1000" w:type="dxa"/>
            <w:vAlign w:val="bottom"/>
            <w:gridSpan w:val="3"/>
          </w:tcPr>
          <w:p>
            <w:pPr>
              <w:ind w:left="80"/>
              <w:spacing w:after="0"/>
              <w:rPr>
                <w:sz w:val="20"/>
                <w:szCs w:val="20"/>
                <w:color w:val="auto"/>
              </w:rPr>
            </w:pPr>
            <w:r>
              <w:rPr>
                <w:rFonts w:ascii="Times New Roman" w:cs="Times New Roman" w:eastAsia="Times New Roman" w:hAnsi="Times New Roman"/>
                <w:sz w:val="14"/>
                <w:szCs w:val="14"/>
                <w:color w:val="auto"/>
              </w:rPr>
              <w:t>Shareholders’</w:t>
            </w:r>
          </w:p>
        </w:tc>
        <w:tc>
          <w:tcPr>
            <w:tcW w:w="0" w:type="dxa"/>
            <w:vAlign w:val="bottom"/>
          </w:tcPr>
          <w:p>
            <w:pPr>
              <w:spacing w:after="0"/>
              <w:rPr>
                <w:sz w:val="1"/>
                <w:szCs w:val="1"/>
                <w:color w:val="auto"/>
              </w:rPr>
            </w:pPr>
          </w:p>
        </w:tc>
      </w:tr>
      <w:tr>
        <w:trPr>
          <w:trHeight w:val="142"/>
        </w:trPr>
        <w:tc>
          <w:tcPr>
            <w:tcW w:w="2100" w:type="dxa"/>
            <w:vAlign w:val="bottom"/>
          </w:tcPr>
          <w:p>
            <w:pPr>
              <w:spacing w:after="0"/>
              <w:rPr>
                <w:sz w:val="12"/>
                <w:szCs w:val="12"/>
                <w:color w:val="auto"/>
              </w:rPr>
            </w:pPr>
          </w:p>
        </w:tc>
        <w:tc>
          <w:tcPr>
            <w:tcW w:w="800" w:type="dxa"/>
            <w:vAlign w:val="bottom"/>
            <w:tcBorders>
              <w:top w:val="single" w:sz="8" w:color="auto"/>
              <w:bottom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color w:val="auto"/>
              </w:rPr>
              <w:t>Class A</w:t>
            </w:r>
          </w:p>
        </w:tc>
        <w:tc>
          <w:tcPr>
            <w:tcW w:w="700" w:type="dxa"/>
            <w:vAlign w:val="bottom"/>
            <w:tcBorders>
              <w:top w:val="single" w:sz="8" w:color="auto"/>
              <w:bottom w:val="single" w:sz="8" w:color="auto"/>
            </w:tcBorders>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Class B</w:t>
            </w:r>
          </w:p>
        </w:tc>
        <w:tc>
          <w:tcPr>
            <w:tcW w:w="1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w w:val="95"/>
              </w:rPr>
              <w:t>Value</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Capital</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Stock</w:t>
            </w:r>
          </w:p>
        </w:tc>
        <w:tc>
          <w:tcPr>
            <w:tcW w:w="900" w:type="dxa"/>
            <w:vAlign w:val="bottom"/>
            <w:tcBorders>
              <w:bottom w:val="single" w:sz="8" w:color="auto"/>
            </w:tcBorders>
          </w:tcPr>
          <w:p>
            <w:pPr>
              <w:jc w:val="right"/>
              <w:ind w:right="148"/>
              <w:spacing w:after="0" w:line="142" w:lineRule="exact"/>
              <w:rPr>
                <w:sz w:val="20"/>
                <w:szCs w:val="20"/>
                <w:color w:val="auto"/>
              </w:rPr>
            </w:pPr>
            <w:r>
              <w:rPr>
                <w:rFonts w:ascii="Times New Roman" w:cs="Times New Roman" w:eastAsia="Times New Roman" w:hAnsi="Times New Roman"/>
                <w:sz w:val="14"/>
                <w:szCs w:val="14"/>
                <w:color w:val="auto"/>
              </w:rPr>
              <w:t>Earnings</w:t>
            </w:r>
          </w:p>
        </w:tc>
        <w:tc>
          <w:tcPr>
            <w:tcW w:w="112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color w:val="auto"/>
              </w:rPr>
              <w:t>Income (Loss)</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128"/>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148"/>
              <w:spacing w:after="0" w:line="142" w:lineRule="exact"/>
              <w:rPr>
                <w:sz w:val="20"/>
                <w:szCs w:val="20"/>
                <w:color w:val="auto"/>
              </w:rPr>
            </w:pPr>
            <w:r>
              <w:rPr>
                <w:rFonts w:ascii="Times New Roman" w:cs="Times New Roman" w:eastAsia="Times New Roman" w:hAnsi="Times New Roman"/>
                <w:sz w:val="14"/>
                <w:szCs w:val="14"/>
                <w:color w:val="auto"/>
              </w:rPr>
              <w:t>Interest</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center"/>
              <w:ind w:right="240"/>
              <w:spacing w:after="0" w:line="142" w:lineRule="exact"/>
              <w:rPr>
                <w:sz w:val="20"/>
                <w:szCs w:val="20"/>
                <w:color w:val="auto"/>
              </w:rPr>
            </w:pPr>
            <w:r>
              <w:rPr>
                <w:rFonts w:ascii="Times New Roman" w:cs="Times New Roman" w:eastAsia="Times New Roman" w:hAnsi="Times New Roman"/>
                <w:sz w:val="14"/>
                <w:szCs w:val="14"/>
                <w:color w:val="auto"/>
              </w:rPr>
              <w:t>Equity</w:t>
            </w:r>
          </w:p>
        </w:tc>
        <w:tc>
          <w:tcPr>
            <w:tcW w:w="0" w:type="dxa"/>
            <w:vAlign w:val="bottom"/>
          </w:tcPr>
          <w:p>
            <w:pPr>
              <w:spacing w:after="0"/>
              <w:rPr>
                <w:sz w:val="1"/>
                <w:szCs w:val="1"/>
                <w:color w:val="auto"/>
              </w:rPr>
            </w:pPr>
          </w:p>
        </w:tc>
      </w:tr>
      <w:tr>
        <w:trPr>
          <w:trHeight w:val="142"/>
        </w:trPr>
        <w:tc>
          <w:tcPr>
            <w:tcW w:w="21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December 31, 2023</w:t>
            </w:r>
          </w:p>
        </w:tc>
        <w:tc>
          <w:tcPr>
            <w:tcW w:w="800" w:type="dxa"/>
            <w:vAlign w:val="bottom"/>
            <w:shd w:val="clear" w:color="auto" w:fill="CCEEFF"/>
          </w:tcPr>
          <w:p>
            <w:pPr>
              <w:jc w:val="right"/>
              <w:ind w:right="88"/>
              <w:spacing w:after="0" w:line="142" w:lineRule="exact"/>
              <w:rPr>
                <w:sz w:val="20"/>
                <w:szCs w:val="20"/>
                <w:color w:val="auto"/>
              </w:rPr>
            </w:pPr>
            <w:r>
              <w:rPr>
                <w:rFonts w:ascii="Times New Roman" w:cs="Times New Roman" w:eastAsia="Times New Roman" w:hAnsi="Times New Roman"/>
                <w:sz w:val="14"/>
                <w:szCs w:val="14"/>
                <w:color w:val="auto"/>
              </w:rPr>
              <w:t>61,461</w:t>
            </w:r>
          </w:p>
        </w:tc>
        <w:tc>
          <w:tcPr>
            <w:tcW w:w="840" w:type="dxa"/>
            <w:vAlign w:val="bottom"/>
            <w:gridSpan w:val="2"/>
            <w:shd w:val="clear" w:color="auto" w:fill="CCEEFF"/>
          </w:tcPr>
          <w:p>
            <w:pPr>
              <w:jc w:val="right"/>
              <w:ind w:right="140"/>
              <w:spacing w:after="0" w:line="142" w:lineRule="exact"/>
              <w:rPr>
                <w:sz w:val="20"/>
                <w:szCs w:val="20"/>
                <w:color w:val="auto"/>
              </w:rPr>
            </w:pPr>
            <w:r>
              <w:rPr>
                <w:rFonts w:ascii="Times New Roman" w:cs="Times New Roman" w:eastAsia="Times New Roman" w:hAnsi="Times New Roman"/>
                <w:sz w:val="14"/>
                <w:szCs w:val="14"/>
                <w:color w:val="auto"/>
              </w:rPr>
              <w:t>16,364</w:t>
            </w:r>
          </w:p>
        </w:tc>
        <w:tc>
          <w:tcPr>
            <w:tcW w:w="1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rPr>
              <w:t>806</w:t>
            </w:r>
          </w:p>
        </w:tc>
        <w:tc>
          <w:tcPr>
            <w:tcW w:w="2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rPr>
              <w:t>542,046</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(119,835</w:t>
            </w:r>
            <w:r>
              <w:rPr>
                <w:rFonts w:ascii="Times New Roman" w:cs="Times New Roman" w:eastAsia="Times New Roman" w:hAnsi="Times New Roman"/>
                <w:sz w:val="14"/>
                <w:szCs w:val="14"/>
                <w:b w:val="1"/>
                <w:bCs w:val="1"/>
                <w:color w:val="auto"/>
              </w:rPr>
              <w:t>)</w:t>
            </w:r>
          </w:p>
        </w:tc>
        <w:tc>
          <w:tcPr>
            <w:tcW w:w="900" w:type="dxa"/>
            <w:vAlign w:val="bottom"/>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1,450,025</w:t>
            </w:r>
          </w:p>
        </w:tc>
        <w:tc>
          <w:tcPr>
            <w:tcW w:w="260" w:type="dxa"/>
            <w:vAlign w:val="bottom"/>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8"/>
              <w:spacing w:after="0" w:line="142" w:lineRule="exact"/>
              <w:rPr>
                <w:sz w:val="20"/>
                <w:szCs w:val="20"/>
                <w:color w:val="auto"/>
              </w:rPr>
            </w:pPr>
            <w:r>
              <w:rPr>
                <w:rFonts w:ascii="Times New Roman" w:cs="Times New Roman" w:eastAsia="Times New Roman" w:hAnsi="Times New Roman"/>
                <w:sz w:val="14"/>
                <w:szCs w:val="14"/>
                <w:color w:val="auto"/>
              </w:rPr>
              <w:t>(2,163</w:t>
            </w:r>
            <w:r>
              <w:rPr>
                <w:rFonts w:ascii="Times New Roman" w:cs="Times New Roman" w:eastAsia="Times New Roman" w:hAnsi="Times New Roman"/>
                <w:sz w:val="14"/>
                <w:szCs w:val="14"/>
                <w:b w:val="1"/>
                <w:bCs w:val="1"/>
                <w:color w:val="auto"/>
              </w:rPr>
              <w:t>)</w:t>
            </w:r>
          </w:p>
        </w:tc>
        <w:tc>
          <w:tcPr>
            <w:tcW w:w="1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1,870,879</w:t>
            </w:r>
          </w:p>
        </w:tc>
        <w:tc>
          <w:tcPr>
            <w:tcW w:w="18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shd w:val="clear" w:color="auto" w:fill="CCEEFF"/>
          </w:tcPr>
          <w:p>
            <w:pPr>
              <w:jc w:val="right"/>
              <w:ind w:right="68"/>
              <w:spacing w:after="0" w:line="142" w:lineRule="exact"/>
              <w:rPr>
                <w:sz w:val="20"/>
                <w:szCs w:val="20"/>
                <w:color w:val="auto"/>
              </w:rPr>
            </w:pPr>
            <w:r>
              <w:rPr>
                <w:rFonts w:ascii="Times New Roman" w:cs="Times New Roman" w:eastAsia="Times New Roman" w:hAnsi="Times New Roman"/>
                <w:sz w:val="14"/>
                <w:szCs w:val="14"/>
                <w:color w:val="auto"/>
              </w:rPr>
              <w:t>19,537</w:t>
            </w:r>
          </w:p>
        </w:tc>
        <w:tc>
          <w:tcPr>
            <w:tcW w:w="2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gridSpan w:val="2"/>
            <w:shd w:val="clear" w:color="auto" w:fill="CCEEFF"/>
          </w:tcPr>
          <w:p>
            <w:pPr>
              <w:jc w:val="right"/>
              <w:ind w:right="100"/>
              <w:spacing w:after="0" w:line="142" w:lineRule="exact"/>
              <w:rPr>
                <w:sz w:val="20"/>
                <w:szCs w:val="20"/>
                <w:color w:val="auto"/>
              </w:rPr>
            </w:pPr>
            <w:r>
              <w:rPr>
                <w:rFonts w:ascii="Times New Roman" w:cs="Times New Roman" w:eastAsia="Times New Roman" w:hAnsi="Times New Roman"/>
                <w:sz w:val="14"/>
                <w:szCs w:val="14"/>
                <w:color w:val="auto"/>
              </w:rPr>
              <w:t>1,890,416</w:t>
            </w: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Stock options exercised and stock</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383</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5,997</w:t>
            </w:r>
          </w:p>
        </w:tc>
        <w:tc>
          <w:tcPr>
            <w:tcW w:w="16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6,001</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6,001</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awards</w:t>
            </w:r>
          </w:p>
        </w:tc>
        <w:tc>
          <w:tcPr>
            <w:tcW w:w="8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Stock-based compensation related</w:t>
            </w:r>
          </w:p>
        </w:tc>
        <w:tc>
          <w:tcPr>
            <w:tcW w:w="8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86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to stock options, restricted</w:t>
            </w:r>
          </w:p>
        </w:tc>
        <w:tc>
          <w:tcPr>
            <w:tcW w:w="8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00" w:type="dxa"/>
            <w:vAlign w:val="bottom"/>
            <w:shd w:val="clear" w:color="auto" w:fill="CCEEFF"/>
          </w:tcPr>
          <w:p>
            <w:pPr>
              <w:ind w:left="180"/>
              <w:spacing w:after="0" w:line="149" w:lineRule="exact"/>
              <w:rPr>
                <w:sz w:val="20"/>
                <w:szCs w:val="20"/>
                <w:color w:val="auto"/>
              </w:rPr>
            </w:pPr>
            <w:r>
              <w:rPr>
                <w:rFonts w:ascii="Times New Roman" w:cs="Times New Roman" w:eastAsia="Times New Roman" w:hAnsi="Times New Roman"/>
                <w:sz w:val="14"/>
                <w:szCs w:val="14"/>
                <w:color w:val="auto"/>
              </w:rPr>
              <w:t>shares and employee stock</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14,090</w:t>
            </w:r>
          </w:p>
        </w:tc>
        <w:tc>
          <w:tcPr>
            <w:tcW w:w="1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14,090</w:t>
            </w:r>
          </w:p>
        </w:tc>
        <w:tc>
          <w:tcPr>
            <w:tcW w:w="18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14,090</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purchase plan</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Vesting of restricted share awards</w:t>
            </w:r>
          </w:p>
        </w:tc>
        <w:tc>
          <w:tcPr>
            <w:tcW w:w="800" w:type="dxa"/>
            <w:vAlign w:val="bottom"/>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351</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4</w:t>
            </w:r>
          </w:p>
        </w:tc>
        <w:tc>
          <w:tcPr>
            <w:tcW w:w="200" w:type="dxa"/>
            <w:vAlign w:val="bottom"/>
          </w:tcPr>
          <w:p>
            <w:pPr>
              <w:spacing w:after="0"/>
              <w:rPr>
                <w:sz w:val="12"/>
                <w:szCs w:val="12"/>
                <w:color w:val="auto"/>
              </w:rPr>
            </w:pPr>
          </w:p>
        </w:tc>
        <w:tc>
          <w:tcPr>
            <w:tcW w:w="70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(9,486)</w:t>
            </w:r>
          </w:p>
        </w:tc>
        <w:tc>
          <w:tcPr>
            <w:tcW w:w="160" w:type="dxa"/>
            <w:vAlign w:val="bottom"/>
          </w:tcPr>
          <w:p>
            <w:pPr>
              <w:spacing w:after="0"/>
              <w:rPr>
                <w:sz w:val="12"/>
                <w:szCs w:val="12"/>
                <w:color w:val="auto"/>
              </w:rPr>
            </w:pPr>
          </w:p>
        </w:tc>
        <w:tc>
          <w:tcPr>
            <w:tcW w:w="72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(9,482)</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(9,482)</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Issuance of common stock under</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97</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1</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3,354</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3,355</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3.355</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employee stock purchase plan</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Common stock repurchases</w:t>
            </w:r>
          </w:p>
        </w:tc>
        <w:tc>
          <w:tcPr>
            <w:tcW w:w="8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(128)</w:t>
            </w:r>
          </w:p>
        </w:tc>
        <w:tc>
          <w:tcPr>
            <w:tcW w:w="8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62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2"/>
                <w:szCs w:val="12"/>
                <w:color w:val="auto"/>
              </w:rPr>
            </w:pPr>
          </w:p>
        </w:tc>
        <w:tc>
          <w:tcPr>
            <w:tcW w:w="7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72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900" w:type="dxa"/>
            <w:vAlign w:val="bottom"/>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2"/>
                <w:szCs w:val="12"/>
                <w:color w:val="auto"/>
              </w:rPr>
            </w:pPr>
          </w:p>
        </w:tc>
        <w:tc>
          <w:tcPr>
            <w:tcW w:w="86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860" w:type="dxa"/>
            <w:vAlign w:val="bottom"/>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180" w:type="dxa"/>
            <w:vAlign w:val="bottom"/>
          </w:tcPr>
          <w:p>
            <w:pPr>
              <w:spacing w:after="0"/>
              <w:rPr>
                <w:sz w:val="12"/>
                <w:szCs w:val="12"/>
                <w:color w:val="auto"/>
              </w:rPr>
            </w:pPr>
          </w:p>
        </w:tc>
        <w:tc>
          <w:tcPr>
            <w:tcW w:w="700" w:type="dxa"/>
            <w:vAlign w:val="bottom"/>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78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(5,627)</w:t>
            </w: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(10,467)</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(10,467)</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(10,467)</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 common stock</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Cash dividends declared on Class</w:t>
            </w:r>
          </w:p>
        </w:tc>
        <w:tc>
          <w:tcPr>
            <w:tcW w:w="80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0"/>
                <w:szCs w:val="10"/>
                <w:color w:val="auto"/>
              </w:rPr>
            </w:pPr>
          </w:p>
        </w:tc>
        <w:tc>
          <w:tcPr>
            <w:tcW w:w="62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0"/>
                <w:szCs w:val="10"/>
                <w:color w:val="auto"/>
              </w:rPr>
            </w:pPr>
          </w:p>
        </w:tc>
        <w:tc>
          <w:tcPr>
            <w:tcW w:w="70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72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(2,964)</w:t>
            </w:r>
          </w:p>
        </w:tc>
        <w:tc>
          <w:tcPr>
            <w:tcW w:w="260" w:type="dxa"/>
            <w:vAlign w:val="bottom"/>
          </w:tcPr>
          <w:p>
            <w:pPr>
              <w:spacing w:after="0"/>
              <w:rPr>
                <w:sz w:val="10"/>
                <w:szCs w:val="10"/>
                <w:color w:val="auto"/>
              </w:rPr>
            </w:pPr>
          </w:p>
        </w:tc>
        <w:tc>
          <w:tcPr>
            <w:tcW w:w="86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0"/>
                <w:szCs w:val="10"/>
                <w:color w:val="auto"/>
              </w:rPr>
            </w:pPr>
          </w:p>
        </w:tc>
        <w:tc>
          <w:tcPr>
            <w:tcW w:w="8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(2,964)</w:t>
            </w:r>
          </w:p>
        </w:tc>
        <w:tc>
          <w:tcPr>
            <w:tcW w:w="180" w:type="dxa"/>
            <w:vAlign w:val="bottom"/>
          </w:tcPr>
          <w:p>
            <w:pPr>
              <w:spacing w:after="0"/>
              <w:rPr>
                <w:sz w:val="10"/>
                <w:szCs w:val="10"/>
                <w:color w:val="auto"/>
              </w:rPr>
            </w:pPr>
          </w:p>
        </w:tc>
        <w:tc>
          <w:tcPr>
            <w:tcW w:w="70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0"/>
                <w:szCs w:val="10"/>
                <w:color w:val="auto"/>
              </w:rPr>
            </w:pPr>
          </w:p>
        </w:tc>
        <w:tc>
          <w:tcPr>
            <w:tcW w:w="78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(2,964)</w:t>
            </w:r>
          </w:p>
        </w:tc>
        <w:tc>
          <w:tcPr>
            <w:tcW w:w="0" w:type="dxa"/>
            <w:vAlign w:val="bottom"/>
          </w:tcPr>
          <w:p>
            <w:pPr>
              <w:spacing w:after="0"/>
              <w:rPr>
                <w:sz w:val="1"/>
                <w:szCs w:val="1"/>
                <w:color w:val="auto"/>
              </w:rPr>
            </w:pPr>
          </w:p>
        </w:tc>
      </w:tr>
      <w:tr>
        <w:trPr>
          <w:trHeight w:val="171"/>
        </w:trPr>
        <w:tc>
          <w:tcPr>
            <w:tcW w:w="21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B common stock</w:t>
            </w:r>
          </w:p>
        </w:tc>
        <w:tc>
          <w:tcPr>
            <w:tcW w:w="800" w:type="dxa"/>
            <w:vAlign w:val="bottom"/>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10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0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vMerge w:val="restart"/>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160" w:type="dxa"/>
            <w:vAlign w:val="bottom"/>
            <w:shd w:val="clear" w:color="auto" w:fill="CCEEFF"/>
          </w:tcPr>
          <w:p>
            <w:pPr>
              <w:spacing w:after="0"/>
              <w:rPr>
                <w:sz w:val="10"/>
                <w:szCs w:val="10"/>
                <w:color w:val="auto"/>
              </w:rPr>
            </w:pPr>
          </w:p>
        </w:tc>
        <w:tc>
          <w:tcPr>
            <w:tcW w:w="8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(1,891)</w:t>
            </w:r>
          </w:p>
        </w:tc>
        <w:tc>
          <w:tcPr>
            <w:tcW w:w="180" w:type="dxa"/>
            <w:vAlign w:val="bottom"/>
            <w:shd w:val="clear" w:color="auto" w:fill="CCEEFF"/>
          </w:tcPr>
          <w:p>
            <w:pPr>
              <w:spacing w:after="0"/>
              <w:rPr>
                <w:sz w:val="10"/>
                <w:szCs w:val="10"/>
                <w:color w:val="auto"/>
              </w:rPr>
            </w:pPr>
          </w:p>
        </w:tc>
        <w:tc>
          <w:tcPr>
            <w:tcW w:w="70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0"/>
                <w:szCs w:val="10"/>
                <w:color w:val="auto"/>
              </w:rPr>
            </w:pPr>
          </w:p>
        </w:tc>
        <w:tc>
          <w:tcPr>
            <w:tcW w:w="7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(1,891)</w:t>
            </w:r>
          </w:p>
        </w:tc>
        <w:tc>
          <w:tcPr>
            <w:tcW w:w="0" w:type="dxa"/>
            <w:vAlign w:val="bottom"/>
          </w:tcPr>
          <w:p>
            <w:pPr>
              <w:spacing w:after="0"/>
              <w:rPr>
                <w:sz w:val="1"/>
                <w:szCs w:val="1"/>
                <w:color w:val="auto"/>
              </w:rPr>
            </w:pPr>
          </w:p>
        </w:tc>
      </w:tr>
      <w:tr>
        <w:trPr>
          <w:trHeight w:val="171"/>
        </w:trPr>
        <w:tc>
          <w:tcPr>
            <w:tcW w:w="21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adjustment</w:t>
            </w:r>
          </w:p>
        </w:tc>
        <w:tc>
          <w:tcPr>
            <w:tcW w:w="800" w:type="dxa"/>
            <w:vAlign w:val="bottom"/>
            <w:vMerge w:val="continue"/>
            <w:shd w:val="clear" w:color="auto" w:fill="CCEEFF"/>
          </w:tcPr>
          <w:p>
            <w:pPr>
              <w:spacing w:after="0"/>
              <w:rPr>
                <w:sz w:val="14"/>
                <w:szCs w:val="14"/>
                <w:color w:val="auto"/>
              </w:rPr>
            </w:pPr>
          </w:p>
        </w:tc>
        <w:tc>
          <w:tcPr>
            <w:tcW w:w="840" w:type="dxa"/>
            <w:vAlign w:val="bottom"/>
            <w:gridSpan w:val="2"/>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2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900" w:type="dxa"/>
            <w:vAlign w:val="bottom"/>
            <w:vMerge w:val="continue"/>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60" w:type="dxa"/>
            <w:vAlign w:val="bottom"/>
            <w:vMerge w:val="continue"/>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vMerge w:val="continue"/>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8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1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800" w:type="dxa"/>
            <w:vAlign w:val="bottom"/>
            <w:tcBorders>
              <w:bottom w:val="single" w:sz="8" w:color="auto"/>
            </w:tcBorders>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auto"/>
            </w:tcBorders>
          </w:tcPr>
          <w:p>
            <w:pPr>
              <w:jc w:val="right"/>
              <w:ind w:right="4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2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ind w:right="68"/>
              <w:spacing w:after="0" w:line="149" w:lineRule="exact"/>
              <w:rPr>
                <w:sz w:val="20"/>
                <w:szCs w:val="20"/>
                <w:color w:val="auto"/>
              </w:rPr>
            </w:pPr>
            <w:r>
              <w:rPr>
                <w:rFonts w:ascii="Times New Roman" w:cs="Times New Roman" w:eastAsia="Times New Roman" w:hAnsi="Times New Roman"/>
                <w:sz w:val="14"/>
                <w:szCs w:val="14"/>
                <w:color w:val="auto"/>
              </w:rPr>
              <w:t>71,608</w:t>
            </w:r>
          </w:p>
        </w:tc>
        <w:tc>
          <w:tcPr>
            <w:tcW w:w="1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8"/>
              <w:spacing w:after="0" w:line="149" w:lineRule="exact"/>
              <w:rPr>
                <w:sz w:val="20"/>
                <w:szCs w:val="20"/>
                <w:color w:val="auto"/>
              </w:rPr>
            </w:pPr>
            <w:r>
              <w:rPr>
                <w:rFonts w:ascii="Times New Roman" w:cs="Times New Roman" w:eastAsia="Times New Roman" w:hAnsi="Times New Roman"/>
                <w:sz w:val="14"/>
                <w:szCs w:val="14"/>
                <w:color w:val="auto"/>
              </w:rPr>
              <w:t>(119)</w:t>
            </w:r>
          </w:p>
        </w:tc>
        <w:tc>
          <w:tcPr>
            <w:tcW w:w="2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71,489</w:t>
            </w:r>
          </w:p>
        </w:tc>
        <w:tc>
          <w:tcPr>
            <w:tcW w:w="0" w:type="dxa"/>
            <w:vAlign w:val="bottom"/>
          </w:tcPr>
          <w:p>
            <w:pPr>
              <w:spacing w:after="0"/>
              <w:rPr>
                <w:sz w:val="1"/>
                <w:szCs w:val="1"/>
                <w:color w:val="auto"/>
              </w:rPr>
            </w:pPr>
          </w:p>
        </w:tc>
      </w:tr>
      <w:tr>
        <w:trPr>
          <w:trHeight w:val="182"/>
        </w:trPr>
        <w:tc>
          <w:tcPr>
            <w:tcW w:w="2100" w:type="dxa"/>
            <w:vAlign w:val="bottom"/>
            <w:tcBorders>
              <w:bottom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Balance, March 31, 2024</w:t>
            </w:r>
          </w:p>
        </w:tc>
        <w:tc>
          <w:tcPr>
            <w:tcW w:w="800" w:type="dxa"/>
            <w:vAlign w:val="bottom"/>
            <w:tcBorders>
              <w:bottom w:val="single" w:sz="8" w:color="auto"/>
            </w:tcBorders>
            <w:shd w:val="clear" w:color="auto" w:fill="CCEEFF"/>
          </w:tcPr>
          <w:p>
            <w:pPr>
              <w:jc w:val="right"/>
              <w:ind w:right="88"/>
              <w:spacing w:after="0" w:line="129" w:lineRule="exact"/>
              <w:rPr>
                <w:sz w:val="20"/>
                <w:szCs w:val="20"/>
                <w:color w:val="auto"/>
              </w:rPr>
            </w:pPr>
            <w:r>
              <w:rPr>
                <w:rFonts w:ascii="Times New Roman" w:cs="Times New Roman" w:eastAsia="Times New Roman" w:hAnsi="Times New Roman"/>
                <w:sz w:val="14"/>
                <w:szCs w:val="14"/>
                <w:color w:val="auto"/>
              </w:rPr>
              <w:t>61,813</w:t>
            </w:r>
          </w:p>
        </w:tc>
        <w:tc>
          <w:tcPr>
            <w:tcW w:w="840" w:type="dxa"/>
            <w:vAlign w:val="bottom"/>
            <w:tcBorders>
              <w:bottom w:val="single" w:sz="8" w:color="auto"/>
            </w:tcBorders>
            <w:gridSpan w:val="2"/>
            <w:shd w:val="clear" w:color="auto" w:fill="CCEEFF"/>
          </w:tcPr>
          <w:p>
            <w:pPr>
              <w:jc w:val="right"/>
              <w:ind w:right="140"/>
              <w:spacing w:after="0" w:line="129" w:lineRule="exact"/>
              <w:rPr>
                <w:sz w:val="20"/>
                <w:szCs w:val="20"/>
                <w:color w:val="auto"/>
              </w:rPr>
            </w:pPr>
            <w:r>
              <w:rPr>
                <w:rFonts w:ascii="Times New Roman" w:cs="Times New Roman" w:eastAsia="Times New Roman" w:hAnsi="Times New Roman"/>
                <w:sz w:val="14"/>
                <w:szCs w:val="14"/>
                <w:color w:val="auto"/>
              </w:rPr>
              <w:t>16,715</w:t>
            </w:r>
          </w:p>
        </w:tc>
        <w:tc>
          <w:tcPr>
            <w:tcW w:w="18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color w:val="auto"/>
              </w:rPr>
              <w:t>815</w:t>
            </w:r>
          </w:p>
        </w:tc>
        <w:tc>
          <w:tcPr>
            <w:tcW w:w="20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color w:val="auto"/>
              </w:rPr>
              <w:t>556,001</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2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(125,462</w:t>
            </w:r>
            <w:r>
              <w:rPr>
                <w:rFonts w:ascii="Times New Roman" w:cs="Times New Roman" w:eastAsia="Times New Roman" w:hAnsi="Times New Roman"/>
                <w:sz w:val="14"/>
                <w:szCs w:val="14"/>
                <w:b w:val="1"/>
                <w:bCs w:val="1"/>
                <w:color w:val="auto"/>
              </w:rPr>
              <w:t>)</w:t>
            </w:r>
          </w:p>
        </w:tc>
        <w:tc>
          <w:tcPr>
            <w:tcW w:w="900" w:type="dxa"/>
            <w:vAlign w:val="bottom"/>
            <w:tcBorders>
              <w:bottom w:val="single" w:sz="8" w:color="auto"/>
            </w:tcBorders>
            <w:shd w:val="clear" w:color="auto" w:fill="CCEEFF"/>
          </w:tcPr>
          <w:p>
            <w:pPr>
              <w:jc w:val="right"/>
              <w:ind w:right="48"/>
              <w:spacing w:after="0" w:line="129" w:lineRule="exact"/>
              <w:rPr>
                <w:sz w:val="20"/>
                <w:szCs w:val="20"/>
                <w:color w:val="auto"/>
              </w:rPr>
            </w:pP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1,508,202</w:t>
            </w:r>
          </w:p>
        </w:tc>
        <w:tc>
          <w:tcPr>
            <w:tcW w:w="260" w:type="dxa"/>
            <w:vAlign w:val="bottom"/>
            <w:tcBorders>
              <w:bottom w:val="single" w:sz="8" w:color="auto"/>
            </w:tcBorders>
            <w:shd w:val="clear" w:color="auto" w:fill="CCEEFF"/>
          </w:tcPr>
          <w:p>
            <w:pPr>
              <w:jc w:val="right"/>
              <w:ind w:right="28"/>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8"/>
              <w:spacing w:after="0" w:line="129" w:lineRule="exact"/>
              <w:rPr>
                <w:sz w:val="20"/>
                <w:szCs w:val="20"/>
                <w:color w:val="auto"/>
              </w:rPr>
            </w:pPr>
            <w:r>
              <w:rPr>
                <w:rFonts w:ascii="Times New Roman" w:cs="Times New Roman" w:eastAsia="Times New Roman" w:hAnsi="Times New Roman"/>
                <w:sz w:val="14"/>
                <w:szCs w:val="14"/>
                <w:color w:val="auto"/>
              </w:rPr>
              <w:t>(4,054</w:t>
            </w:r>
            <w:r>
              <w:rPr>
                <w:rFonts w:ascii="Times New Roman" w:cs="Times New Roman" w:eastAsia="Times New Roman" w:hAnsi="Times New Roman"/>
                <w:sz w:val="14"/>
                <w:szCs w:val="14"/>
                <w:b w:val="1"/>
                <w:bCs w:val="1"/>
                <w:color w:val="auto"/>
              </w:rPr>
              <w:t>)</w:t>
            </w:r>
          </w:p>
        </w:tc>
        <w:tc>
          <w:tcPr>
            <w:tcW w:w="160" w:type="dxa"/>
            <w:vAlign w:val="bottom"/>
            <w:tcBorders>
              <w:bottom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86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1,935,502</w:t>
            </w:r>
          </w:p>
        </w:tc>
        <w:tc>
          <w:tcPr>
            <w:tcW w:w="180" w:type="dxa"/>
            <w:vAlign w:val="bottom"/>
            <w:tcBorders>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00" w:type="dxa"/>
            <w:vAlign w:val="bottom"/>
            <w:tcBorders>
              <w:bottom w:val="single" w:sz="8" w:color="auto"/>
            </w:tcBorders>
            <w:shd w:val="clear" w:color="auto" w:fill="CCEEFF"/>
          </w:tcPr>
          <w:p>
            <w:pPr>
              <w:jc w:val="right"/>
              <w:ind w:right="68"/>
              <w:spacing w:after="0" w:line="129" w:lineRule="exact"/>
              <w:rPr>
                <w:sz w:val="20"/>
                <w:szCs w:val="20"/>
                <w:color w:val="auto"/>
              </w:rPr>
            </w:pPr>
            <w:r>
              <w:rPr>
                <w:rFonts w:ascii="Times New Roman" w:cs="Times New Roman" w:eastAsia="Times New Roman" w:hAnsi="Times New Roman"/>
                <w:sz w:val="14"/>
                <w:szCs w:val="14"/>
                <w:color w:val="auto"/>
              </w:rPr>
              <w:t>19,418</w:t>
            </w:r>
          </w:p>
        </w:tc>
        <w:tc>
          <w:tcPr>
            <w:tcW w:w="220" w:type="dxa"/>
            <w:vAlign w:val="bottom"/>
            <w:tcBorders>
              <w:bottom w:val="single" w:sz="8" w:color="auto"/>
            </w:tcBorders>
            <w:shd w:val="clear" w:color="auto" w:fill="CCEEFF"/>
          </w:tcPr>
          <w:p>
            <w:pPr>
              <w:ind w:left="80"/>
              <w:spacing w:after="0" w:line="129" w:lineRule="exact"/>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bottom w:val="single" w:sz="8" w:color="auto"/>
            </w:tcBorders>
            <w:gridSpan w:val="2"/>
            <w:shd w:val="clear" w:color="auto" w:fill="CCEEFF"/>
          </w:tcPr>
          <w:p>
            <w:pPr>
              <w:jc w:val="right"/>
              <w:ind w:right="100"/>
              <w:spacing w:after="0" w:line="129" w:lineRule="exact"/>
              <w:rPr>
                <w:sz w:val="20"/>
                <w:szCs w:val="20"/>
                <w:color w:val="auto"/>
              </w:rPr>
            </w:pPr>
            <w:r>
              <w:rPr>
                <w:rFonts w:ascii="Times New Roman" w:cs="Times New Roman" w:eastAsia="Times New Roman" w:hAnsi="Times New Roman"/>
                <w:sz w:val="14"/>
                <w:szCs w:val="14"/>
                <w:color w:val="auto"/>
              </w:rPr>
              <w:t>1,954,920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55"/>
        </w:trPr>
        <w:tc>
          <w:tcPr>
            <w:tcW w:w="128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RUSH ENTERPRISES, INC. AND SUBSIDIARIES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4240" w:type="dxa"/>
            <w:vAlign w:val="bottom"/>
            <w:tcBorders>
              <w:bottom w:val="single" w:sz="8" w:color="auto"/>
            </w:tcBorders>
            <w:gridSpan w:val="3"/>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CONSOLIDATED STATEMENTS OF CASH FLOWS</w:t>
            </w: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128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8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rPr>
              <w:t>(In Thousands)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380" w:type="dxa"/>
            <w:vAlign w:val="bottom"/>
            <w:gridSpan w:val="3"/>
          </w:tcPr>
          <w:p>
            <w:pPr>
              <w:jc w:val="center"/>
              <w:ind w:right="380"/>
              <w:spacing w:after="0"/>
              <w:rPr>
                <w:sz w:val="20"/>
                <w:szCs w:val="20"/>
                <w:color w:val="auto"/>
              </w:rPr>
            </w:pPr>
            <w:r>
              <w:rPr>
                <w:rFonts w:ascii="Times New Roman" w:cs="Times New Roman" w:eastAsia="Times New Roman" w:hAnsi="Times New Roman"/>
                <w:sz w:val="18"/>
                <w:szCs w:val="18"/>
                <w:color w:val="auto"/>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128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0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0" w:type="dxa"/>
            <w:vAlign w:val="bottom"/>
          </w:tcPr>
          <w:p>
            <w:pPr>
              <w:spacing w:after="0"/>
              <w:rPr>
                <w:sz w:val="1"/>
                <w:szCs w:val="1"/>
                <w:color w:val="auto"/>
              </w:rPr>
            </w:pPr>
          </w:p>
        </w:tc>
      </w:tr>
      <w:tr>
        <w:trPr>
          <w:trHeight w:val="238"/>
        </w:trPr>
        <w:tc>
          <w:tcPr>
            <w:tcW w:w="128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280" w:type="dxa"/>
            <w:vAlign w:val="bottom"/>
            <w:tcBorders>
              <w:bottom w:val="single" w:sz="8" w:color="CCEEFF"/>
            </w:tcBorders>
          </w:tcPr>
          <w:p>
            <w:pPr>
              <w:spacing w:after="0"/>
              <w:rPr>
                <w:sz w:val="19"/>
                <w:szCs w:val="19"/>
                <w:color w:val="auto"/>
              </w:rPr>
            </w:pPr>
          </w:p>
        </w:tc>
        <w:tc>
          <w:tcPr>
            <w:tcW w:w="22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0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60,617</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71,489</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61,491</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56,834</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Gain on sale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0" w:type="dxa"/>
            <w:vAlign w:val="bottom"/>
          </w:tcPr>
          <w:p>
            <w:pPr>
              <w:spacing w:after="0"/>
              <w:rPr>
                <w:sz w:val="1"/>
                <w:szCs w:val="1"/>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Stock-based compensation expense related to employee stock options and employee stock purchases</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13,714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14,090</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Provision for deferred income tax expense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2,250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accounts receivable, net</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50,342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(49,933)</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inventories,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(77,041)</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(215,506)</w:t>
            </w:r>
          </w:p>
        </w:tc>
        <w:tc>
          <w:tcPr>
            <w:tcW w:w="0" w:type="dxa"/>
            <w:vAlign w:val="bottom"/>
          </w:tcPr>
          <w:p>
            <w:pPr>
              <w:spacing w:after="0"/>
              <w:rPr>
                <w:sz w:val="1"/>
                <w:szCs w:val="1"/>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prepaid expenses and other, net</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(4,623)</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trade accounts payable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75,384</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17,446</w:t>
            </w:r>
          </w:p>
        </w:tc>
        <w:tc>
          <w:tcPr>
            <w:tcW w:w="0" w:type="dxa"/>
            <w:vAlign w:val="bottom"/>
          </w:tcPr>
          <w:p>
            <w:pPr>
              <w:spacing w:after="0"/>
              <w:rPr>
                <w:sz w:val="1"/>
                <w:szCs w:val="1"/>
                <w:color w:val="auto"/>
              </w:rPr>
            </w:pPr>
          </w:p>
        </w:tc>
      </w:tr>
      <w:tr>
        <w:trPr>
          <w:trHeight w:val="216"/>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Change in customer deposits</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(12,566)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(17,705)</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Change in accrued expenses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(26,863)</w:t>
            </w:r>
          </w:p>
        </w:tc>
        <w:tc>
          <w:tcPr>
            <w:tcW w:w="0" w:type="dxa"/>
            <w:vAlign w:val="bottom"/>
          </w:tcPr>
          <w:p>
            <w:pPr>
              <w:spacing w:after="0"/>
              <w:rPr>
                <w:sz w:val="1"/>
                <w:szCs w:val="1"/>
                <w:color w:val="auto"/>
              </w:rPr>
            </w:pPr>
          </w:p>
        </w:tc>
      </w:tr>
      <w:tr>
        <w:trPr>
          <w:trHeight w:val="229"/>
        </w:trPr>
        <w:tc>
          <w:tcPr>
            <w:tcW w:w="8000" w:type="dxa"/>
            <w:vAlign w:val="bottom"/>
            <w:gridSpan w:val="6"/>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(520)</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153,526</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(155,053</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(108,410)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(79,136)</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the sale of property and equipment</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4,324</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3,035</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Change in notes receivable from affiliate</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4,330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3,255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6,913</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(96,501</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(69,188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Draws on floor plan notes payable – non-trade, net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110,172</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Proceeds from long-term debt</w:t>
            </w:r>
          </w:p>
        </w:tc>
        <w:tc>
          <w:tcPr>
            <w:tcW w:w="340" w:type="dxa"/>
            <w:vAlign w:val="bottom"/>
          </w:tcPr>
          <w:p>
            <w:pPr>
              <w:spacing w:after="0"/>
              <w:rPr>
                <w:sz w:val="18"/>
                <w:szCs w:val="18"/>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288,446</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698,754</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Principal payments on long-term debt</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(293,223)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(587,249)</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Principal payments on finance lease obligations</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(3,690)</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(5,605)</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Proceeds from issuance of shares related to employee stock options and employee stock purchases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6,153</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9,360</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Taxes paid related to net share settlement of equity awards</w:t>
            </w:r>
          </w:p>
        </w:tc>
        <w:tc>
          <w:tcPr>
            <w:tcW w:w="34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(9,442)</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Payments of cash dividends</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(14,409)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(13,868)</w:t>
            </w:r>
          </w:p>
        </w:tc>
        <w:tc>
          <w:tcPr>
            <w:tcW w:w="0" w:type="dxa"/>
            <w:vAlign w:val="bottom"/>
          </w:tcPr>
          <w:p>
            <w:pPr>
              <w:spacing w:after="0"/>
              <w:rPr>
                <w:sz w:val="1"/>
                <w:szCs w:val="1"/>
                <w:color w:val="auto"/>
              </w:rPr>
            </w:pPr>
          </w:p>
        </w:tc>
      </w:tr>
      <w:tr>
        <w:trPr>
          <w:trHeight w:val="230"/>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Common stock repurchased</w:t>
            </w:r>
          </w:p>
        </w:tc>
        <w:tc>
          <w:tcPr>
            <w:tcW w:w="34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(29,642)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(5,627)</w:t>
            </w:r>
          </w:p>
        </w:tc>
        <w:tc>
          <w:tcPr>
            <w:tcW w:w="0" w:type="dxa"/>
            <w:vAlign w:val="bottom"/>
          </w:tcPr>
          <w:p>
            <w:pPr>
              <w:spacing w:after="0"/>
              <w:rPr>
                <w:sz w:val="1"/>
                <w:szCs w:val="1"/>
                <w:color w:val="auto"/>
              </w:rPr>
            </w:pPr>
          </w:p>
        </w:tc>
      </w:tr>
      <w:tr>
        <w:trPr>
          <w:trHeight w:val="210"/>
        </w:trPr>
        <w:tc>
          <w:tcPr>
            <w:tcW w:w="8000" w:type="dxa"/>
            <w:vAlign w:val="bottom"/>
            <w:tcBorders>
              <w:top w:val="single" w:sz="8" w:color="CCEEFF"/>
            </w:tcBorders>
            <w:gridSpan w:val="6"/>
            <w:shd w:val="clear" w:color="auto" w:fill="CCEEFF"/>
          </w:tcPr>
          <w:p>
            <w:pPr>
              <w:ind w:left="8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(56,422</w:t>
            </w:r>
          </w:p>
        </w:tc>
        <w:tc>
          <w:tcPr>
            <w:tcW w:w="1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196,451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3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800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Pr>
          <w:p>
            <w:pPr>
              <w:spacing w:after="0"/>
              <w:rPr>
                <w:sz w:val="19"/>
                <w:szCs w:val="19"/>
                <w:color w:val="auto"/>
              </w:rPr>
            </w:pP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228,131</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183,725</w:t>
            </w:r>
          </w:p>
        </w:tc>
        <w:tc>
          <w:tcPr>
            <w:tcW w:w="0" w:type="dxa"/>
            <w:vAlign w:val="bottom"/>
          </w:tcPr>
          <w:p>
            <w:pPr>
              <w:spacing w:after="0"/>
              <w:rPr>
                <w:sz w:val="1"/>
                <w:szCs w:val="1"/>
                <w:color w:val="auto"/>
              </w:rPr>
            </w:pPr>
          </w:p>
        </w:tc>
      </w:tr>
      <w:tr>
        <w:trPr>
          <w:trHeight w:val="223"/>
        </w:trPr>
        <w:tc>
          <w:tcPr>
            <w:tcW w:w="8000" w:type="dxa"/>
            <w:vAlign w:val="bottom"/>
            <w:tcBorders>
              <w:top w:val="single" w:sz="8" w:color="CCEEFF"/>
              <w:bottom w:val="single" w:sz="8" w:color="CCEEFF"/>
            </w:tcBorders>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228,719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00" w:type="dxa"/>
            <w:vAlign w:val="bottom"/>
            <w:gridSpan w:val="6"/>
            <w:vMerge w:val="restart"/>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000" w:type="dxa"/>
            <w:vAlign w:val="bottom"/>
            <w:gridSpan w:val="6"/>
            <w:vMerge w:val="continue"/>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paid during the period for:</w:t>
            </w: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tcPr>
          <w:p>
            <w:pPr>
              <w:ind w:left="340"/>
              <w:spacing w:after="0"/>
              <w:rPr>
                <w:sz w:val="20"/>
                <w:szCs w:val="20"/>
                <w:color w:val="auto"/>
              </w:rPr>
            </w:pPr>
            <w:r>
              <w:rPr>
                <w:rFonts w:ascii="Times New Roman" w:cs="Times New Roman" w:eastAsia="Times New Roman" w:hAnsi="Times New Roman"/>
                <w:sz w:val="18"/>
                <w:szCs w:val="18"/>
                <w:color w:val="auto"/>
              </w:rPr>
              <w:t>Interest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11,720</w:t>
            </w:r>
          </w:p>
        </w:tc>
        <w:tc>
          <w:tcPr>
            <w:tcW w:w="50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18,630</w:t>
            </w: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taxes, net of refunds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1,822</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518</w:t>
            </w:r>
          </w:p>
        </w:tc>
        <w:tc>
          <w:tcPr>
            <w:tcW w:w="0" w:type="dxa"/>
            <w:vAlign w:val="bottom"/>
          </w:tcPr>
          <w:p>
            <w:pPr>
              <w:spacing w:after="0"/>
              <w:rPr>
                <w:sz w:val="1"/>
                <w:szCs w:val="1"/>
                <w:color w:val="auto"/>
              </w:rPr>
            </w:pPr>
          </w:p>
        </w:tc>
      </w:tr>
      <w:tr>
        <w:trPr>
          <w:trHeight w:val="216"/>
        </w:trPr>
        <w:tc>
          <w:tcPr>
            <w:tcW w:w="8000" w:type="dxa"/>
            <w:vAlign w:val="bottom"/>
            <w:gridSpan w:val="6"/>
          </w:tcPr>
          <w:p>
            <w:pPr>
              <w:ind w:left="180"/>
              <w:spacing w:after="0"/>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00" w:type="dxa"/>
            <w:vAlign w:val="bottom"/>
            <w:gridSpan w:val="6"/>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Assets acquired under finance leases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4,855</w:t>
            </w: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12,140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consolidated financial statements.</w:t>
      </w:r>
    </w:p>
    <w:p>
      <w:pPr>
        <w:spacing w:after="0" w:line="225"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RUSH ENTERPRISES,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Principles of Consolidation and 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interim consolidated financial statements included herein have been prepared by Rush Enterprises, Inc. and its subsidiaries (collectively referred to as the “Company”), without audit, pursuant to the rules and regulations of the Securities and Exchange Commission (the “SEC”). All adjustments have been made to the accompanying interim consolidated financial statements, which, in the opinion of the Company’s management, are necessary for a fair presentation of its operating results. All adjustments are of a normal recurring nature. Certain information and footnote disclosures normally included in financial statements prepared in accordance with generally accepted accounting principles have been condensed or omitted pursuant to such rules and regulations. It is recommended that these interim consolidated financial statements be read in conjunction with the consolidated financial statements and the notes thereto included in the Company’s Annual Report on Form 10-K for the year ended December 31, 2024. Results of operations for interim periods are not necessarily indicative of results that may be expected for any other interim periods or the full fiscal year.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Cash</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Restricted cash consists of deposits for the statutory restriction on cash related to the Company’s captive insurance company of $5.1 million as of March 31,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Transactions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Rush Truck Centres of Canada Limited (“RTC Canada”), is the local currency, the Canadian dollar. Results of operations for RTC Canada are translated to USD using the average exchange rate on a monthly basis during each quarter. The assets and liabilities of RTC Canada are translated into USD using the exchange rate in effect on the balance sheet date. The related translation adjustments are recorded as a separate component of the Company’s Consolidated Statements of Shareholders’ Equity in accumulated other comprehensive income (loss).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Commitments and Contingencies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litigation arising out of its operations in the ordinary course of business. The Company maintains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the Company’s financial condition or results of operations. As of March 31, 2025, the Company believes that there are no pending claims or litigation, individually or in the aggregate, that are reasonably likely to have a material adverse effect on its financial position or results of operations. However, due to the inherent uncertainty of litigation, there can be no assurance that the resolution of any particular claim or proceeding would not have a material adverse effect on the Company’s financial condition or results of operations for the fiscal period in which such resolution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Earnings Per Share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(in thousands, except per share information):</w:t>
      </w:r>
    </w:p>
    <w:p>
      <w:pPr>
        <w:spacing w:after="0" w:line="225"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6780" w:type="dxa"/>
            <w:vAlign w:val="bottom"/>
          </w:tcPr>
          <w:p>
            <w:pPr>
              <w:spacing w:after="0"/>
              <w:rPr>
                <w:sz w:val="18"/>
                <w:szCs w:val="18"/>
                <w:color w:val="auto"/>
              </w:rPr>
            </w:pPr>
          </w:p>
        </w:tc>
        <w:tc>
          <w:tcPr>
            <w:tcW w:w="268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6780" w:type="dxa"/>
            <w:vAlign w:val="bottom"/>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8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Numerator:</w:t>
            </w:r>
          </w:p>
        </w:tc>
        <w:tc>
          <w:tcPr>
            <w:tcW w:w="9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Numerator for basic and diluted earnings per share – Net income available to common</w:t>
            </w:r>
          </w:p>
        </w:tc>
        <w:tc>
          <w:tcPr>
            <w:tcW w:w="9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shareholders</w:t>
            </w:r>
          </w:p>
        </w:tc>
        <w:tc>
          <w:tcPr>
            <w:tcW w:w="980" w:type="dxa"/>
            <w:vAlign w:val="bottom"/>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60,322</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71,608</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Denominator:</w:t>
            </w:r>
          </w:p>
        </w:tc>
        <w:tc>
          <w:tcPr>
            <w:tcW w:w="98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Denominator for basic earnings per share – weighted average shares outstanding</w:t>
            </w:r>
          </w:p>
        </w:tc>
        <w:tc>
          <w:tcPr>
            <w:tcW w:w="9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79,661</w:t>
            </w:r>
          </w:p>
        </w:tc>
        <w:tc>
          <w:tcPr>
            <w:tcW w:w="9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78,483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7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Effect of dilutive securities– Employee and director stock options and restricted share</w:t>
            </w:r>
          </w:p>
        </w:tc>
        <w:tc>
          <w:tcPr>
            <w:tcW w:w="9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78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awards</w:t>
            </w:r>
          </w:p>
        </w:tc>
        <w:tc>
          <w:tcPr>
            <w:tcW w:w="98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2,720</w:t>
            </w:r>
          </w:p>
        </w:tc>
        <w:tc>
          <w:tcPr>
            <w:tcW w:w="9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2,971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ind w:left="160"/>
              <w:spacing w:after="0" w:line="198" w:lineRule="exact"/>
              <w:rPr>
                <w:sz w:val="20"/>
                <w:szCs w:val="20"/>
                <w:color w:val="auto"/>
              </w:rPr>
            </w:pPr>
            <w:r>
              <w:rPr>
                <w:rFonts w:ascii="Times New Roman" w:cs="Times New Roman" w:eastAsia="Times New Roman" w:hAnsi="Times New Roman"/>
                <w:sz w:val="18"/>
                <w:szCs w:val="18"/>
                <w:color w:val="auto"/>
              </w:rPr>
              <w:t>Denominator for diluted earnings per share – adjusted weighted average shares</w:t>
            </w:r>
          </w:p>
        </w:tc>
        <w:tc>
          <w:tcPr>
            <w:tcW w:w="9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6780" w:type="dxa"/>
            <w:vAlign w:val="bottom"/>
            <w:vMerge w:val="continue"/>
          </w:tcPr>
          <w:p>
            <w:pPr>
              <w:spacing w:after="0"/>
              <w:rPr>
                <w:sz w:val="15"/>
                <w:szCs w:val="15"/>
                <w:color w:val="auto"/>
              </w:rPr>
            </w:pPr>
          </w:p>
        </w:tc>
        <w:tc>
          <w:tcPr>
            <w:tcW w:w="980" w:type="dxa"/>
            <w:vAlign w:val="bottom"/>
          </w:tcPr>
          <w:p>
            <w:pPr>
              <w:spacing w:after="0"/>
              <w:rPr>
                <w:sz w:val="15"/>
                <w:szCs w:val="15"/>
                <w:color w:val="auto"/>
              </w:rPr>
            </w:pPr>
          </w:p>
        </w:tc>
        <w:tc>
          <w:tcPr>
            <w:tcW w:w="7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82,381</w:t>
            </w:r>
          </w:p>
        </w:tc>
        <w:tc>
          <w:tcPr>
            <w:tcW w:w="960" w:type="dxa"/>
            <w:vAlign w:val="bottom"/>
          </w:tcPr>
          <w:p>
            <w:pPr>
              <w:spacing w:after="0"/>
              <w:rPr>
                <w:sz w:val="15"/>
                <w:szCs w:val="15"/>
                <w:color w:val="auto"/>
              </w:rPr>
            </w:pP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81,454</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67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outstanding and assumed conversions</w:t>
            </w:r>
          </w:p>
        </w:tc>
        <w:tc>
          <w:tcPr>
            <w:tcW w:w="980" w:type="dxa"/>
            <w:vAlign w:val="bottom"/>
          </w:tcPr>
          <w:p>
            <w:pPr>
              <w:spacing w:after="0"/>
              <w:rPr>
                <w:sz w:val="22"/>
                <w:szCs w:val="22"/>
                <w:color w:val="auto"/>
              </w:rPr>
            </w:pPr>
          </w:p>
        </w:tc>
        <w:tc>
          <w:tcPr>
            <w:tcW w:w="740" w:type="dxa"/>
            <w:vAlign w:val="bottom"/>
            <w:gridSpan w:val="2"/>
            <w:vMerge w:val="continue"/>
          </w:tcPr>
          <w:p>
            <w:pPr>
              <w:spacing w:after="0"/>
              <w:rPr>
                <w:sz w:val="22"/>
                <w:szCs w:val="22"/>
                <w:color w:val="auto"/>
              </w:rPr>
            </w:pPr>
          </w:p>
        </w:tc>
        <w:tc>
          <w:tcPr>
            <w:tcW w:w="960" w:type="dxa"/>
            <w:vAlign w:val="bottom"/>
          </w:tcPr>
          <w:p>
            <w:pPr>
              <w:spacing w:after="0"/>
              <w:rPr>
                <w:sz w:val="22"/>
                <w:szCs w:val="22"/>
                <w:color w:val="auto"/>
              </w:rPr>
            </w:pPr>
          </w:p>
        </w:tc>
        <w:tc>
          <w:tcPr>
            <w:tcW w:w="560" w:type="dxa"/>
            <w:vAlign w:val="bottom"/>
            <w:gridSpan w:val="2"/>
            <w:vMerge w:val="continue"/>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780" w:type="dxa"/>
            <w:vAlign w:val="bottom"/>
            <w:tcBorders>
              <w:top w:val="single" w:sz="8" w:color="CCEEFF"/>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Basic earnings per common share</w:t>
            </w:r>
          </w:p>
        </w:tc>
        <w:tc>
          <w:tcPr>
            <w:tcW w:w="98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0.76</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960" w:type="dxa"/>
            <w:vAlign w:val="bottom"/>
            <w:tcBorders>
              <w:top w:val="single" w:sz="8" w:color="auto"/>
              <w:bottom w:val="single" w:sz="8" w:color="auto"/>
            </w:tcBorders>
            <w:shd w:val="clear" w:color="auto" w:fill="CCEEFF"/>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0.91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Diluted earnings per common share and common share equivalents</w:t>
            </w: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80" w:type="dxa"/>
            <w:vAlign w:val="bottom"/>
            <w:vMerge w:val="continue"/>
          </w:tcPr>
          <w:p>
            <w:pPr>
              <w:spacing w:after="0"/>
              <w:rPr>
                <w:sz w:val="17"/>
                <w:szCs w:val="17"/>
                <w:color w:val="auto"/>
              </w:rPr>
            </w:pPr>
          </w:p>
        </w:tc>
        <w:tc>
          <w:tcPr>
            <w:tcW w:w="980" w:type="dxa"/>
            <w:vAlign w:val="bottom"/>
            <w:tcBorders>
              <w:bottom w:val="single" w:sz="8" w:color="auto"/>
            </w:tcBorders>
          </w:tcPr>
          <w:p>
            <w:pPr>
              <w:jc w:val="right"/>
              <w:ind w:right="813"/>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0.73</w:t>
            </w:r>
          </w:p>
        </w:tc>
        <w:tc>
          <w:tcPr>
            <w:tcW w:w="200" w:type="dxa"/>
            <w:vAlign w:val="bottom"/>
            <w:vMerge w:val="continue"/>
          </w:tcPr>
          <w:p>
            <w:pPr>
              <w:spacing w:after="0"/>
              <w:rPr>
                <w:sz w:val="17"/>
                <w:szCs w:val="17"/>
                <w:color w:val="auto"/>
              </w:rPr>
            </w:pPr>
          </w:p>
        </w:tc>
        <w:tc>
          <w:tcPr>
            <w:tcW w:w="960" w:type="dxa"/>
            <w:vAlign w:val="bottom"/>
            <w:tcBorders>
              <w:bottom w:val="single" w:sz="8" w:color="auto"/>
            </w:tcBorders>
          </w:tcPr>
          <w:p>
            <w:pPr>
              <w:jc w:val="right"/>
              <w:ind w:right="7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0.88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Options to purchase shares of common stock that were outstanding for the three months ended March 31, 2025 and 2024 that were not included in the computation of diluted earnings per share because the effect would have been anti-dilutive are as follows (in thousands):</w:t>
      </w:r>
    </w:p>
    <w:p>
      <w:pPr>
        <w:spacing w:after="0" w:line="162"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Three Months Ended</w:t>
      </w:r>
    </w:p>
    <w:p>
      <w:pPr>
        <w:spacing w:after="0" w:line="27" w:lineRule="exact"/>
        <w:rPr>
          <w:sz w:val="20"/>
          <w:szCs w:val="20"/>
          <w:color w:val="auto"/>
        </w:rPr>
      </w:pPr>
    </w:p>
    <w:p>
      <w:pPr>
        <w:jc w:val="center"/>
        <w:ind w:left="5560"/>
        <w:spacing w:after="0"/>
        <w:rPr>
          <w:sz w:val="20"/>
          <w:szCs w:val="20"/>
          <w:color w:val="auto"/>
        </w:rPr>
      </w:pPr>
      <w:r>
        <w:rPr>
          <w:rFonts w:ascii="Times New Roman" w:cs="Times New Roman" w:eastAsia="Times New Roman" w:hAnsi="Times New Roman"/>
          <w:sz w:val="18"/>
          <w:szCs w:val="18"/>
          <w:color w:val="auto"/>
        </w:rPr>
        <w:t>March 31,</w:t>
      </w:r>
    </w:p>
    <w:p>
      <w:pPr>
        <w:spacing w:after="0" w:line="9" w:lineRule="exact"/>
        <w:rPr>
          <w:sz w:val="20"/>
          <w:szCs w:val="20"/>
          <w:color w:val="auto"/>
        </w:rPr>
      </w:pPr>
    </w:p>
    <w:tbl>
      <w:tblPr>
        <w:tblLayout w:type="fixed"/>
        <w:tblInd w:w="1120" w:type="dxa"/>
        <w:tblCellMar>
          <w:top w:w="0" w:type="dxa"/>
          <w:left w:w="0" w:type="dxa"/>
          <w:bottom w:w="0" w:type="dxa"/>
          <w:right w:w="0" w:type="dxa"/>
        </w:tblCellMar>
      </w:tblPr>
      <w:tr>
        <w:trPr>
          <w:trHeight w:val="223"/>
        </w:trPr>
        <w:tc>
          <w:tcPr>
            <w:tcW w:w="5680" w:type="dxa"/>
            <w:vAlign w:val="bottom"/>
            <w:tcBorders>
              <w:bottom w:val="single" w:sz="8" w:color="CCEEFF"/>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2025</w:t>
            </w:r>
          </w:p>
        </w:tc>
        <w:tc>
          <w:tcPr>
            <w:tcW w:w="4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CCEEFF"/>
            </w:tcBorders>
          </w:tcPr>
          <w:p>
            <w:pPr>
              <w:spacing w:after="0"/>
              <w:rPr>
                <w:sz w:val="19"/>
                <w:szCs w:val="19"/>
                <w:color w:val="auto"/>
              </w:rPr>
            </w:pPr>
          </w:p>
        </w:tc>
        <w:tc>
          <w:tcPr>
            <w:tcW w:w="1500" w:type="dxa"/>
            <w:vAlign w:val="bottom"/>
            <w:tcBorders>
              <w:top w:val="single" w:sz="8" w:color="auto"/>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anti-dilutive options</w:t>
            </w:r>
          </w:p>
        </w:tc>
        <w:tc>
          <w:tcPr>
            <w:tcW w:w="1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8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8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4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Stock Options and Restricted Stock Awards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Valuation and Expense Information</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accounts for stock-based compensation in accordance with Accounting Standards Codification (“ASC”) 718-10,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 xml:space="preserve">Stock Compensation, </w:t>
      </w:r>
      <w:r>
        <w:rPr>
          <w:rFonts w:ascii="Times New Roman" w:cs="Times New Roman" w:eastAsia="Times New Roman" w:hAnsi="Times New Roman"/>
          <w:sz w:val="18"/>
          <w:szCs w:val="18"/>
          <w:color w:val="auto"/>
        </w:rPr>
        <w:t>which requires the measurement and recognition of compensation expense for all share-based payment awards made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employees and directors, including employee stock options, restricted stock awards and employee stock purchases related to the Employee Stock Purchase Plan, based on estimated fair values.</w:t>
      </w:r>
    </w:p>
    <w:p>
      <w:pPr>
        <w:spacing w:after="0" w:line="18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Stock-based compensation expense, calculated using the Black-Scholes option-pricing model for employee stock options, and included in selling, general and administrative expense, was $13.7 million for the three months ended March 31, 2025, and $14.1 million for the three months ended March 31, 2024.</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of March 31, 2025, the Company had $19.7 million of unrecognized compensation expense related to non-vested employee stock options to be recognized over a weighted-average period of 2.5 years and $25.0 million of unrecognized compensation cost related to non-vested restricted stock awards to be recognized over a weighted-average period of 1.5 years.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5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Financial Instruments and Fair Value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measures certain financial assets and liabilities at fair value on a recurring basis. Financial instruments consist primarily of cash, accounts receivable, accounts payable and floor plan notes payable. The carrying values of the Company’s financial instruments approximate fair value due either to their short-term nature or existence of variable interest rates, which approximate market rates. Certain methods and assumptions were used by the Company in estimating the fair value of financial instruments as of March 31, 2025, and December 31, 2024. The carrying value of current assets and current liabilities approximates the fair value due to the short maturity of these items.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fair value of the Company’s long-term debt is based on secondary market indicators. Because the Company’s debt is not quoted, estimates are based on each obligation’s characteristics, including remaining maturities, variable interest rate, credit rating, collateral and liquidity. Accordingly, the Company concluded that the valuation measurement inputs of its long-term debt represent, at its lowest level, current market interest rates available to the Company for similar debt and the Company’s current credit standing. Thus, the carrying amount of such debt approximates fair value.</w:t>
      </w:r>
    </w:p>
    <w:p>
      <w:pPr>
        <w:sectPr>
          <w:pgSz w:w="11900" w:h="16838" w:orient="portrait"/>
          <w:cols w:equalWidth="0" w:num="1">
            <w:col w:w="11240"/>
          </w:cols>
          <w:pgMar w:left="320" w:top="121" w:right="339" w:bottom="1440" w:gutter="0" w:footer="0" w:header="0"/>
        </w:sectPr>
      </w:pP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6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Segment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reports information based on operating segments identified in accordance with how the chief operating decision maker (“CODM”) evaluates business performance and allocates resources. As of the reporting period, the Company operates with one CODM: W.M. “Rusty” Rush, the Chief Executive Officer, President and Chairman of the Board.</w:t>
      </w:r>
    </w:p>
    <w:p>
      <w:pPr>
        <w:spacing w:after="0" w:line="17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of the reporting period, the Company currently has one reportable business segment - the Truck Segment. The Truck Segment includes the Company’s operation of a network of commercial vehicle dealerships in the United States and Ontario, Canada that provide an integrated one-stop source for the commercial vehicle needs of its customers, including retail sales of new and used commercial vehicles; aftermarket parts sales, service and collision center facilities; vehicle upfitting and financial services, including the financing of new and used commercial vehicle purchases, insurance products and truck leasing and rentals. The commercial vehicle dealerships are deemed a single reporting unit because they have similar economic characteristics. The Company’s CODM considers the entire Truck Segment, not individual dealerships or departments within its dealerships, when making decisions about resources to be allocated to the segment and assessing its performance.</w:t>
      </w:r>
    </w:p>
    <w:p>
      <w:pPr>
        <w:spacing w:after="0" w:line="189" w:lineRule="exact"/>
        <w:rPr>
          <w:sz w:val="20"/>
          <w:szCs w:val="20"/>
          <w:color w:val="auto"/>
        </w:rPr>
      </w:pPr>
    </w:p>
    <w:p>
      <w:pPr>
        <w:jc w:val="both"/>
        <w:ind w:firstLine="162"/>
        <w:spacing w:after="0" w:line="261" w:lineRule="auto"/>
        <w:rPr>
          <w:sz w:val="20"/>
          <w:szCs w:val="20"/>
          <w:color w:val="auto"/>
        </w:rPr>
      </w:pPr>
      <w:r>
        <w:rPr>
          <w:rFonts w:ascii="Times New Roman" w:cs="Times New Roman" w:eastAsia="Times New Roman" w:hAnsi="Times New Roman"/>
          <w:sz w:val="18"/>
          <w:szCs w:val="18"/>
          <w:color w:val="auto"/>
        </w:rPr>
        <w:t>In addition to the Truck Segment, the Company generates revenue from two additional operating segments: Retail Tire Sales and Insurance Services. These operating segments do not meet the quantitative thresholds for separate reporting as specified under the guidance of ASU 2023-07. Therefore, they are consolidated under the “All Other” category in the segment disclosures below. These segments share accounting policies consistent with the summary of significant accounting policies.</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accounting policies of the segments are the same as those described in the summary of significant accounting policies. The Company evaluates performance based on segment operating income, not including extraordinary items.</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contains summarized information about reportable segment revenues, segment income or loss from continuing operations and segment assets for the periods ended March 31, 2025 and 2024 (in thousands):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Truck Segment</w:t>
            </w:r>
          </w:p>
        </w:tc>
        <w:tc>
          <w:tcPr>
            <w:tcW w:w="260" w:type="dxa"/>
            <w:vAlign w:val="bottom"/>
          </w:tcPr>
          <w:p>
            <w:pPr>
              <w:spacing w:after="0"/>
              <w:rPr>
                <w:sz w:val="20"/>
                <w:szCs w:val="20"/>
                <w:color w:val="auto"/>
              </w:rPr>
            </w:pPr>
          </w:p>
        </w:tc>
        <w:tc>
          <w:tcPr>
            <w:tcW w:w="138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All Other</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Totals</w:t>
            </w:r>
          </w:p>
        </w:tc>
        <w:tc>
          <w:tcPr>
            <w:tcW w:w="240" w:type="dxa"/>
            <w:vAlign w:val="bottom"/>
          </w:tcPr>
          <w:p>
            <w:pPr>
              <w:spacing w:after="0"/>
              <w:rPr>
                <w:sz w:val="20"/>
                <w:szCs w:val="20"/>
                <w:color w:val="auto"/>
              </w:rPr>
            </w:pPr>
          </w:p>
        </w:tc>
      </w:tr>
      <w:tr>
        <w:trPr>
          <w:trHeight w:val="210"/>
        </w:trPr>
        <w:tc>
          <w:tcPr>
            <w:tcW w:w="340" w:type="dxa"/>
            <w:vAlign w:val="bottom"/>
          </w:tcPr>
          <w:p>
            <w:pPr>
              <w:spacing w:after="0"/>
              <w:rPr>
                <w:sz w:val="18"/>
                <w:szCs w:val="18"/>
                <w:color w:val="auto"/>
              </w:rPr>
            </w:pPr>
          </w:p>
        </w:tc>
        <w:tc>
          <w:tcPr>
            <w:tcW w:w="4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2025</w:t>
            </w:r>
          </w:p>
        </w:tc>
        <w:tc>
          <w:tcPr>
            <w:tcW w:w="1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1,847,106</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3,723</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1,850,830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1,492,706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363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1,493,070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Controllable expenses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191,190</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2,965</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194,156</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71,336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399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71,735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91,874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w:t>
            </w: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91,869</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(440)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674</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13,447</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13,538</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17,949</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17,949</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60,712</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(96</w:t>
            </w: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60,617</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4,628,663</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59,277</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4,687,941</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113,314</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113,314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17,116</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17,256</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As of and for the three months ended March 31, 2024</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 from external customers</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1,876,325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(4,326)</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1,871,999</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Cost of products sold</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1,481,654</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1,482,124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Controllable expenses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198,366</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3,145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201,510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Allocated expenses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77,241</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514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77,754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operating income (loss)</w:t>
            </w:r>
          </w:p>
        </w:tc>
        <w:tc>
          <w:tcPr>
            <w:tcW w:w="12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119,065</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(8,454</w:t>
            </w:r>
            <w:r>
              <w:rPr>
                <w:rFonts w:ascii="Times New Roman" w:cs="Times New Roman" w:eastAsia="Times New Roman" w:hAnsi="Times New Roman"/>
                <w:sz w:val="18"/>
                <w:szCs w:val="18"/>
                <w:b w:val="1"/>
                <w:bCs w:val="1"/>
                <w:color w:val="auto"/>
              </w:rPr>
              <w:t>)</w:t>
            </w:r>
          </w:p>
        </w:tc>
        <w:tc>
          <w:tcPr>
            <w:tcW w:w="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110,610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200</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18,082</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18,174</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taxes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21,325</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21,325</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80,035</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(8,546</w:t>
            </w:r>
            <w:r>
              <w:rPr>
                <w:rFonts w:ascii="Times New Roman" w:cs="Times New Roman" w:eastAsia="Times New Roman" w:hAnsi="Times New Roman"/>
                <w:sz w:val="18"/>
                <w:szCs w:val="18"/>
                <w:b w:val="1"/>
                <w:bCs w:val="1"/>
                <w:color w:val="auto"/>
              </w:rPr>
              <w:t>)</w:t>
            </w:r>
          </w:p>
        </w:tc>
        <w:tc>
          <w:tcPr>
            <w:tcW w:w="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71,489</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assets</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4,570,652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58,354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4,629,006</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93,056</w:t>
            </w:r>
          </w:p>
        </w:tc>
        <w:tc>
          <w:tcPr>
            <w:tcW w:w="260" w:type="dxa"/>
            <w:vAlign w:val="bottom"/>
          </w:tcPr>
          <w:p>
            <w:pPr>
              <w:spacing w:after="0"/>
              <w:rPr>
                <w:sz w:val="18"/>
                <w:szCs w:val="18"/>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93,130</w:t>
            </w:r>
          </w:p>
        </w:tc>
        <w:tc>
          <w:tcPr>
            <w:tcW w:w="2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15,622</w:t>
            </w:r>
          </w:p>
        </w:tc>
        <w:tc>
          <w:tcPr>
            <w:tcW w:w="2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128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15,750</w:t>
            </w:r>
          </w:p>
        </w:tc>
        <w:tc>
          <w:tcPr>
            <w:tcW w:w="240" w:type="dxa"/>
            <w:vAlign w:val="bottom"/>
          </w:tcPr>
          <w:p>
            <w:pPr>
              <w:spacing w:after="0"/>
              <w:rPr>
                <w:sz w:val="18"/>
                <w:szCs w:val="18"/>
                <w:color w:val="auto"/>
              </w:rPr>
            </w:pPr>
          </w:p>
        </w:tc>
      </w:tr>
      <w:tr>
        <w:trPr>
          <w:trHeight w:val="432"/>
        </w:trPr>
        <w:tc>
          <w:tcPr>
            <w:tcW w:w="340" w:type="dxa"/>
            <w:vAlign w:val="bottom"/>
          </w:tcPr>
          <w:p>
            <w:pPr>
              <w:spacing w:after="0"/>
              <w:rPr>
                <w:sz w:val="24"/>
                <w:szCs w:val="24"/>
                <w:color w:val="auto"/>
              </w:rPr>
            </w:pPr>
          </w:p>
        </w:tc>
        <w:tc>
          <w:tcPr>
            <w:tcW w:w="4520" w:type="dxa"/>
            <w:vAlign w:val="bottom"/>
          </w:tcPr>
          <w:p>
            <w:pPr>
              <w:spacing w:after="0"/>
              <w:rPr>
                <w:sz w:val="24"/>
                <w:szCs w:val="24"/>
                <w:color w:val="auto"/>
              </w:rPr>
            </w:pPr>
          </w:p>
        </w:tc>
        <w:tc>
          <w:tcPr>
            <w:tcW w:w="112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45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34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7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Income Taxes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had unrecognized income tax benefits totaling $6.4 million as a component of accrued liabilities as of March 31, 2025 and December 31, 2024, the total of which, if recognized, would impact the Company’s effective tax rate. An unfavorable settlement would require a charge to income tax expense and a favorable resolution would be recognized as a reduction to income tax expense. The Company recognizes interest accrued related to unrecognized tax benefits in income tax expense. The Company had approximately $530,000 accrued for the payment of interest as of March 31, 2025 and December 31, 2024. No amounts were accrued for penalties.</w:t>
      </w:r>
    </w:p>
    <w:p>
      <w:pPr>
        <w:spacing w:after="0" w:line="18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 does not anticipate a significant change in the amount of unrecognized tax benefits in the next 12 months. As of December 31, 2024, the tax years ended December 31, 2020 through 2023 remained subject to audit by federal tax authorities and the tax years ended December 31, 2019 through 2023, remained subject to audit by state tax authorities.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8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Revenue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Company’s non-lease and rental revenues are primarily generated from the sale of finished products to customers. Those sales predominantly contain a single delivery element and revenue from such sales is recognized when the customer obtains control, which is typically when the finished product is delivered to the customer. The Company’s material revenue streams have been identified as the following: the sale of new and used commercial vehicles, the arrangement of associated commercial vehicle financing and insurance contracts, the performance of commercial vehicle repair services and the sale of commercial vehicle parts. Taxes collected from customers relating to product sales and remitted to governmental authorities are excluded from revenues.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disaggregated revenue by revenue source, excluding lease and rental revenue, for the three months ended March 31, 2025 and 2024 (in thousands):</w:t>
      </w:r>
    </w:p>
    <w:p>
      <w:pPr>
        <w:spacing w:after="0" w:line="162"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960" w:type="dxa"/>
            <w:vAlign w:val="bottom"/>
            <w:gridSpan w:val="5"/>
          </w:tcPr>
          <w:p>
            <w:pPr>
              <w:jc w:val="right"/>
              <w:ind w:right="920"/>
              <w:spacing w:after="0"/>
              <w:rPr>
                <w:sz w:val="20"/>
                <w:szCs w:val="20"/>
                <w:color w:val="auto"/>
              </w:rPr>
            </w:pPr>
            <w:r>
              <w:rPr>
                <w:rFonts w:ascii="Times New Roman" w:cs="Times New Roman" w:eastAsia="Times New Roman" w:hAnsi="Times New Roman"/>
                <w:sz w:val="18"/>
                <w:szCs w:val="18"/>
                <w:color w:val="auto"/>
              </w:rPr>
              <w:t>Three Months Ended</w:t>
            </w:r>
          </w:p>
        </w:tc>
      </w:tr>
      <w:tr>
        <w:trPr>
          <w:trHeight w:val="234"/>
        </w:trPr>
        <w:tc>
          <w:tcPr>
            <w:tcW w:w="56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March 31,</w:t>
            </w:r>
          </w:p>
        </w:tc>
        <w:tc>
          <w:tcPr>
            <w:tcW w:w="10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16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c>
          <w:tcPr>
            <w:tcW w:w="80" w:type="dxa"/>
            <w:vAlign w:val="bottom"/>
            <w:tcBorders>
              <w:bottom w:val="single" w:sz="8" w:color="CCEEFF"/>
            </w:tcBorders>
          </w:tcPr>
          <w:p>
            <w:pPr>
              <w:spacing w:after="0"/>
              <w:rPr>
                <w:sz w:val="19"/>
                <w:szCs w:val="19"/>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1,130,770</w:t>
            </w:r>
          </w:p>
        </w:tc>
        <w:tc>
          <w:tcPr>
            <w:tcW w:w="16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1,123,319</w:t>
            </w:r>
          </w:p>
        </w:tc>
        <w:tc>
          <w:tcPr>
            <w:tcW w:w="80" w:type="dxa"/>
            <w:vAlign w:val="bottom"/>
            <w:shd w:val="clear" w:color="auto" w:fill="CCEEFF"/>
          </w:tcPr>
          <w:p>
            <w:pPr>
              <w:spacing w:after="0"/>
              <w:rPr>
                <w:sz w:val="18"/>
                <w:szCs w:val="18"/>
                <w:color w:val="auto"/>
              </w:rPr>
            </w:pP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Parts</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363,442</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373,426</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Commercial vehicle repair services</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255,626</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275,770</w:t>
            </w:r>
          </w:p>
        </w:tc>
      </w:tr>
      <w:tr>
        <w:trPr>
          <w:trHeight w:val="216"/>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w:t>
            </w:r>
          </w:p>
        </w:tc>
        <w:tc>
          <w:tcPr>
            <w:tcW w:w="34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2,030</w:t>
            </w:r>
          </w:p>
        </w:tc>
        <w:tc>
          <w:tcPr>
            <w:tcW w:w="44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2,074</w:t>
            </w:r>
          </w:p>
        </w:tc>
      </w:tr>
      <w:tr>
        <w:trPr>
          <w:trHeight w:val="216"/>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Insurance</w:t>
            </w:r>
          </w:p>
        </w:tc>
        <w:tc>
          <w:tcPr>
            <w:tcW w:w="34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3,182</w:t>
            </w:r>
          </w:p>
        </w:tc>
        <w:tc>
          <w:tcPr>
            <w:tcW w:w="4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3,320</w:t>
            </w: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0" w:type="dxa"/>
            <w:vAlign w:val="bottom"/>
          </w:tcPr>
          <w:p>
            <w:pPr>
              <w:spacing w:after="0"/>
              <w:rPr>
                <w:sz w:val="19"/>
                <w:szCs w:val="19"/>
                <w:color w:val="auto"/>
              </w:rPr>
            </w:pP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5,527</w:t>
            </w:r>
          </w:p>
        </w:tc>
        <w:tc>
          <w:tcPr>
            <w:tcW w:w="440" w:type="dxa"/>
            <w:vAlign w:val="bottom"/>
          </w:tcPr>
          <w:p>
            <w:pPr>
              <w:spacing w:after="0"/>
              <w:rPr>
                <w:sz w:val="19"/>
                <w:szCs w:val="19"/>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6,169</w:t>
            </w:r>
          </w:p>
        </w:tc>
      </w:tr>
      <w:tr>
        <w:trPr>
          <w:trHeight w:val="223"/>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1,760,577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1,784,078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All of the Company's performance obligations and associated revenues are generally transferred to customers at a point in time. The Company did not have any material contract assets or contract liabilities on the balance sheet as of March 31, 2025. Revenues related to commercial vehicle sales, parts sales, commercial vehicle repair service, finance and most other revenues are related to the Truck Segment.</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9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Leases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of Vehicles as Lessor</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primarily leases commercial vehicles that the Company owns to customers over periods of one to ten years. The Company does not separate lease and nonlease components. Nonlease components typically consist of maintenance and licensing for the commercial vehicle. The variable nonlease components are generally based on mileage. Some leases contain an option for the lessee to purchase the commercial vehicle at the end of the lease term.</w:t>
      </w:r>
    </w:p>
    <w:p>
      <w:pPr>
        <w:spacing w:after="0" w:line="180"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Company’s policy is to depreciate its lease and rental fleet using a straight-line method over each customer’s contractual lease term. The lease unit is depreciated to a residual value that approximates fair value at the expiration of the lease term. This policy results in the Company realizing reasonable gross margins while the unit is in service and a corresponding gain or loss on sale when the unit is sold at the end of the lease term.</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Lease and rental income during the three months ended March 31, 2025 and March 31, 2024 consisted of the following (in thousands):</w:t>
      </w:r>
    </w:p>
    <w:p>
      <w:pPr>
        <w:spacing w:after="0" w:line="225"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5680" w:type="dxa"/>
            <w:vAlign w:val="bottom"/>
          </w:tcPr>
          <w:p>
            <w:pPr>
              <w:spacing w:after="0"/>
              <w:rPr>
                <w:sz w:val="18"/>
                <w:szCs w:val="18"/>
                <w:color w:val="auto"/>
              </w:rPr>
            </w:pPr>
          </w:p>
        </w:tc>
        <w:tc>
          <w:tcPr>
            <w:tcW w:w="268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Three Months Ended</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568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March 31,</w:t>
            </w:r>
          </w:p>
        </w:tc>
        <w:tc>
          <w:tcPr>
            <w:tcW w:w="5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5680" w:type="dxa"/>
            <w:vAlign w:val="bottom"/>
            <w:tcBorders>
              <w:bottom w:val="single" w:sz="8" w:color="CCEEFF"/>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5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54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r>
      <w:tr>
        <w:trPr>
          <w:trHeight w:val="209"/>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Minimum rental payments</w:t>
            </w:r>
          </w:p>
        </w:tc>
        <w:tc>
          <w:tcPr>
            <w:tcW w:w="1000" w:type="dxa"/>
            <w:vAlign w:val="bottom"/>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79,686</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76,868</w:t>
            </w:r>
          </w:p>
        </w:tc>
        <w:tc>
          <w:tcPr>
            <w:tcW w:w="80" w:type="dxa"/>
            <w:vAlign w:val="bottom"/>
            <w:shd w:val="clear" w:color="auto" w:fill="CCEEFF"/>
          </w:tcPr>
          <w:p>
            <w:pPr>
              <w:spacing w:after="0"/>
              <w:rPr>
                <w:sz w:val="18"/>
                <w:szCs w:val="18"/>
                <w:color w:val="auto"/>
              </w:rPr>
            </w:pPr>
          </w:p>
        </w:tc>
      </w:tr>
      <w:tr>
        <w:trPr>
          <w:trHeight w:val="23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Nonlease payments</w:t>
            </w:r>
          </w:p>
        </w:tc>
        <w:tc>
          <w:tcPr>
            <w:tcW w:w="100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10,567</w:t>
            </w:r>
          </w:p>
        </w:tc>
        <w:tc>
          <w:tcPr>
            <w:tcW w:w="980" w:type="dxa"/>
            <w:vAlign w:val="bottom"/>
          </w:tcPr>
          <w:p>
            <w:pPr>
              <w:spacing w:after="0"/>
              <w:rPr>
                <w:sz w:val="19"/>
                <w:szCs w:val="19"/>
                <w:color w:val="auto"/>
              </w:rPr>
            </w:pPr>
          </w:p>
        </w:tc>
        <w:tc>
          <w:tcPr>
            <w:tcW w:w="6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11,053</w:t>
            </w:r>
          </w:p>
        </w:tc>
      </w:tr>
      <w:tr>
        <w:trPr>
          <w:trHeight w:val="223"/>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90,253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92"/>
              </w:rPr>
              <w:t>87,921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10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Accumulated Other Comprehensive Income (Loss)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shows the components of accumulated other comprehensive income (loss) (in thousands):</w:t>
      </w:r>
    </w:p>
    <w:p>
      <w:pPr>
        <w:spacing w:after="0" w:line="243"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7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December 31, 2024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(9,293)</w:t>
            </w:r>
          </w:p>
        </w:tc>
      </w:tr>
      <w:tr>
        <w:trPr>
          <w:trHeight w:val="229"/>
        </w:trPr>
        <w:tc>
          <w:tcPr>
            <w:tcW w:w="7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58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7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as of March 31, 2025</w:t>
            </w:r>
          </w:p>
        </w:tc>
        <w:tc>
          <w:tcPr>
            <w:tcW w:w="58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(9,305</w:t>
            </w:r>
          </w:p>
        </w:tc>
        <w:tc>
          <w:tcPr>
            <w:tcW w:w="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73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The functional currency of the Company’s foreign subsidiary, RTC Canada, is its local currency. Results of operations of RTC Canada are translated into USD using the average exchange rates monthly during the year. The assets and liabilities of RTC Canada are translated into USD using the exchange rates in effect on the balance sheet date. The related translation adjustments are recorded in a separate component of stockholders’ equity in Accumulated other comprehensive income (loss) and the statements of comprehensive income (loss).</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Accounts Receivable and Allowance for Credit Losses</w:t>
      </w:r>
    </w:p>
    <w:p>
      <w:pPr>
        <w:spacing w:after="0" w:line="229"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 xml:space="preserve">The Company establishes an allowance for credit losses to present the net amount of accounts receivable expected to be collected. Under Accounting Standards Update No. 2016-13, </w:t>
      </w:r>
      <w:r>
        <w:rPr>
          <w:rFonts w:ascii="Times New Roman" w:cs="Times New Roman" w:eastAsia="Times New Roman" w:hAnsi="Times New Roman"/>
          <w:sz w:val="18"/>
          <w:szCs w:val="18"/>
          <w:i w:val="1"/>
          <w:iCs w:val="1"/>
          <w:color w:val="auto"/>
        </w:rPr>
        <w:t>Financial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Credit Losses (Topic 326): Measurement of Credit Losses on Financial Instruments</w:t>
      </w:r>
      <w:r>
        <w:rPr>
          <w:rFonts w:ascii="Times New Roman" w:cs="Times New Roman" w:eastAsia="Times New Roman" w:hAnsi="Times New Roman"/>
          <w:sz w:val="18"/>
          <w:szCs w:val="18"/>
          <w:color w:val="auto"/>
        </w:rPr>
        <w:t>, the Company is required to remeasure expected credit losses for financial instruments held on the reporting date based on historical experience, current conditions, and reasonable forecasts.</w:t>
      </w:r>
    </w:p>
    <w:p>
      <w:pPr>
        <w:spacing w:after="0" w:line="180" w:lineRule="exact"/>
        <w:rPr>
          <w:sz w:val="20"/>
          <w:szCs w:val="20"/>
          <w:color w:val="auto"/>
        </w:rPr>
      </w:pPr>
    </w:p>
    <w:p>
      <w:pPr>
        <w:jc w:val="both"/>
        <w:ind w:right="80" w:firstLine="648"/>
        <w:spacing w:after="0" w:line="261" w:lineRule="auto"/>
        <w:rPr>
          <w:sz w:val="20"/>
          <w:szCs w:val="20"/>
          <w:color w:val="auto"/>
        </w:rPr>
      </w:pPr>
      <w:r>
        <w:rPr>
          <w:rFonts w:ascii="Times New Roman" w:cs="Times New Roman" w:eastAsia="Times New Roman" w:hAnsi="Times New Roman"/>
          <w:sz w:val="18"/>
          <w:szCs w:val="18"/>
          <w:color w:val="auto"/>
        </w:rPr>
        <w:t>Accounts receivable consists primarily of commercial vehicle sales receivables, manufacturers’ receivables and leasing, parts and service sales receivables and other trade receivables. The Company maintains an allowance for credit losses based on the probability of default, its historical rate of losses, aging and current economic conditions. The Company writes off account balances when it has exhausted reasonable collection efforts and determined that the likelihood of collection is remote. These write-offs are charged against the allowance for credit losses.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the changes in the allowance for credit losses (in thousands):</w:t>
      </w:r>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Provision For</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Write offs</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rPr>
              <w:t>the Three</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Against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w w:val="99"/>
              </w:rPr>
              <w:t>Balance</w:t>
            </w:r>
          </w:p>
        </w:tc>
        <w:tc>
          <w:tcPr>
            <w:tcW w:w="140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color w:val="auto"/>
              </w:rPr>
              <w:t>Months Ended</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Allowance,</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Balance</w:t>
            </w:r>
          </w:p>
        </w:tc>
      </w:tr>
      <w:tr>
        <w:trPr>
          <w:trHeight w:val="216"/>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color w:val="auto"/>
              </w:rPr>
              <w:t>December 31,</w:t>
            </w: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color w:val="auto"/>
                <w:w w:val="99"/>
              </w:rPr>
              <w:t>March 31,</w:t>
            </w:r>
          </w:p>
        </w:tc>
        <w:tc>
          <w:tcPr>
            <w:tcW w:w="1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rPr>
              <w:t>net of</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color w:val="auto"/>
                <w:w w:val="99"/>
              </w:rPr>
              <w:t>March 31,</w:t>
            </w:r>
          </w:p>
        </w:tc>
      </w:tr>
      <w:tr>
        <w:trPr>
          <w:trHeight w:val="234"/>
        </w:trPr>
        <w:tc>
          <w:tcPr>
            <w:tcW w:w="5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2024</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2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8"/>
                <w:szCs w:val="18"/>
                <w:color w:val="auto"/>
                <w:w w:val="99"/>
              </w:rPr>
              <w:t>Recoveries</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color w:val="auto"/>
                <w:w w:val="99"/>
              </w:rPr>
              <w:t>2025</w:t>
            </w:r>
          </w:p>
        </w:tc>
        <w:tc>
          <w:tcPr>
            <w:tcW w:w="100" w:type="dxa"/>
            <w:vAlign w:val="bottom"/>
          </w:tcPr>
          <w:p>
            <w:pPr>
              <w:spacing w:after="0"/>
              <w:rPr>
                <w:sz w:val="20"/>
                <w:szCs w:val="20"/>
                <w:color w:val="auto"/>
              </w:rPr>
            </w:pPr>
          </w:p>
        </w:tc>
      </w:tr>
      <w:tr>
        <w:trPr>
          <w:trHeight w:val="209"/>
        </w:trPr>
        <w:tc>
          <w:tcPr>
            <w:tcW w:w="5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Commercial vehicle receivables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237</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r>
      <w:tr>
        <w:trPr>
          <w:trHeight w:val="216"/>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Manufacturers’ receivables</w:t>
            </w:r>
          </w:p>
        </w:tc>
        <w:tc>
          <w:tcPr>
            <w:tcW w:w="8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654</w:t>
            </w:r>
          </w:p>
        </w:tc>
        <w:tc>
          <w:tcPr>
            <w:tcW w:w="1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598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927</w:t>
            </w:r>
          </w:p>
        </w:tc>
      </w:tr>
      <w:tr>
        <w:trPr>
          <w:trHeight w:val="216"/>
        </w:trPr>
        <w:tc>
          <w:tcPr>
            <w:tcW w:w="5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parts and service receivables</w:t>
            </w:r>
          </w:p>
        </w:tc>
        <w:tc>
          <w:tcPr>
            <w:tcW w:w="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393</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492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1,405</w:t>
            </w:r>
          </w:p>
        </w:tc>
      </w:tr>
      <w:tr>
        <w:trPr>
          <w:trHeight w:val="20"/>
        </w:trPr>
        <w:tc>
          <w:tcPr>
            <w:tcW w:w="524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979</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1,108</w:t>
            </w:r>
          </w:p>
        </w:tc>
        <w:tc>
          <w:tcPr>
            <w:tcW w:w="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2,521</w:t>
            </w:r>
          </w:p>
        </w:tc>
      </w:tr>
      <w:tr>
        <w:trPr>
          <w:trHeight w:val="20"/>
        </w:trPr>
        <w:tc>
          <w:tcPr>
            <w:tcW w:w="5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12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Acquisition</w:t>
      </w:r>
    </w:p>
    <w:p>
      <w:pPr>
        <w:spacing w:after="0" w:line="229"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On July 15, 2024, we acquired certain assets of Nebraska Peterbilt, which included real estate and a Peterbilt commercial vehicle franchise in Grand Island and North Platte, Nebraska, along with commercial vehicle and parts inventory. The transaction was valued at approximately $16.5 million, with the purchase price paid in cash.</w:t>
      </w:r>
    </w:p>
    <w:p>
      <w:pPr>
        <w:spacing w:after="0" w:line="17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320"/>
          </w:cols>
          <w:pgMar w:left="320" w:top="121" w:right="2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Discussion and Analysis of Financial Condition and Results of Operations.</w:t>
      </w:r>
    </w:p>
    <w:p>
      <w:pPr>
        <w:spacing w:after="0" w:line="22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i w:val="1"/>
          <w:iCs w:val="1"/>
          <w:color w:val="auto"/>
        </w:rPr>
        <w:t>Certain statements contained in this Form 10-Q (or otherwise made by the Company or on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behalf from time to time in other reports, filings with the Securities and Exchange Commission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news releases, conferences, website postings or otherwise) that are not statements of historical fact constitute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forward-looking statements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within the meaning of the Private Securities Litigation Reform Act of 1995, Section 27A of the Securities Act of 1933,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Section 21E of the Exchange Act of 1934, as amended (the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Exchange Act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notwithstanding that such statements are not specifically identified. Forward-looking statements include statements about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financial position, business strategy and plans and objectives of management of the Company for future operations. These forward-looking statements reflect the best judgments of the Company about the future events and trends based on the beliefs of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management as well as assumptions made by and information currently available to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s management. Use of the words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may,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should,</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plan,</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potential,</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anticipate,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believe,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estimate,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expect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and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intend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words or phrases of similar import, as they relate to the Company or its subsidiaries or Company management, are intended to identify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forward-looking statements but are not the exclusive means of identifying such statements. Forward-looking statements reflect our current view of the Company with respect to future events and are subject to risks and uncertainties that could cause actual results to differ materially from those in such statements. Please read Item 1A.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 Annual Report on Form 10-K for the year ended December 31, 2024, for a discussion of certain of those risks. Other unknown or unpredictable factors could also have a material adverse effect on future results. Although the Company believes that its expectations are reasonable as of the date of this Form 10-Q, it can give no assurance that such expectations will prove to be correct. The Company does not intend to update or revise any forward-looking statements unless securities laws require it to do so, and the Company undertakes no obligation to publicly release any revisions to forward-looking statements, whether because of new information, future events or otherwise.</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comments should be read in conjunction with the Company’s consolidated financial statements and related notes included elsewhere in this Quarterly Report on Form 10-Q.</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Regarding Trademarks Commonly Used in the Company</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Filings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Peterbilt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Peterbilt Motors Company. PACCAR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Inc. PacLease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PACCAR Leasing Corporation. International</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International Motors, LLC (f/k/a Navistar, Inc.). Idealease is a registered trademark of Idealease, Inc. aka Idealease of North America, Inc. Blue Bird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Blue Bird Investment Corporation. IC Bus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IC Bus, LLC. Hino</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Hino Motors, Ltd. Isuzu</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Isuzu Motors Limited. Ford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Ford Motor Company. Dennis Eagle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Dennis Eagle Limited. Cummins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Cummins, Inc. Blue Arc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The Shyft Group Inc. Battle Motors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is a registered trademark of Battle Motors, Inc. This report contains additional trade names or trademarks of other companies. Our use of such trade names or trademarks should not imply any endorsement or relationship with such companies.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Rush Enterprises, Inc. was incorporated in Texas in 1965 and consists of one reportable segment, the Truck Segment, and conducts business through its subsidiaries. Our principal offices are located at 555 IH 35 South, Suite 500, New Braunfels, Texas 78130.</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are a full-service, integrated retailer of commercial vehicles and related services. The Truck Segment includes our operation of a network of commercial vehicle dealerships under the name “Rush Truck Centers.” Rush Truck Centers primarily sell commercial vehicles manufactured by Peterbilt, International, Hino, Ford, Isuzu, IC Bus, Blue Bird, Dennis Eagle, Blue Arc and Battle Motors. Through our strategically located network of Rush Truck Centers, we provide one-stop service for the needs of our commercial vehicle customers, including retail sales of new and used commercial vehicles, aftermarket parts sales, service and repair facilities, financing, leasing and rental, and insurance products.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Rush Truck Centers are principally located in high traffic areas throughout the United States and Ontario, Canada. Since commencing operations as a Peterbilt heavy-duty truck dealer in 1966, we have grown to operate over 125 franchised Rush Truck Centers in 23 states. We own an 80% equity interest in Rush Truck Centres of Canada Limited (“RTC Canada”). RTC Canada currently owns and operates 12 International dealership locations in Ontario. The operating results of RTC Canada are consolidated in the Consolidated Statements of Operations, the Statements of Comprehensive Income, the Consolidated Balance Sheets and commercial vehicle unit sales data.</w:t>
      </w:r>
    </w:p>
    <w:p>
      <w:pPr>
        <w:spacing w:after="0" w:line="183"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business strategy consists of providing solutions to the commercial vehicle industry through our network of commercial vehicle dealerships. We offer an integrated approach to meeting customer needs by providing service, parts and collision repairs in addition to new and used commercial vehicle sales and leasing, plus financial services, vehicle upfitting, CNG fuel systems through our joint venture with Cummins and vehicle telematics products. We intend to continue to implement our business strategy, reinforce customer loyalty and remain a market leader by continuing to develop our Rush Truck Centers as we expand our product offerings and extend our dealership network through strategic acquisitions of new locations and opening new dealerships in our existing areas of operation to enable us to better serve our customers.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A.C.T. Research Co., LLC (“A.C.T. Research”), a commercial vehicle industry data and forecasting service provider, currently forecasts new U.S. Class 8 retail truck sales to be 213,300 units in 2025, which would represent a 13.8% decrease compared to 2024. The challenges that have plagued the industry for some time, including the ongoing freight recession and general economic uncertainty, have been exacerbated by increasing concerns related to U.S. trade policy, tariffs, and uncertainty concerning engine emissions regulations, causing many customers, particularly in the over-the-road segment, to delay vehicle purchases. Consequently, new Class 8 truck sales demand has softened significantly. We expect our U.S. market share of new Class 8 truck sales to range between 5.4% and 5.9% in 2025 based on A.C.T. Research’s current forecast. This market share percentage would result in the sale of approximately 11,500 to 12,500 new Class 8 trucks in 2025. We expect to sell approximately 450 new Class 8 trucks in Canada in 2025.</w:t>
      </w:r>
    </w:p>
    <w:p>
      <w:pPr>
        <w:spacing w:after="0" w:line="18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With respect to new U.S. Class 4 through 7 retail commercial vehicle sales, A.C.T. Research currently forecasts sales to be 213,300 units in 2025, which would represent an 8.5% decrease compared to 2024. We believe that most medium-duty customers will remain cautious in 2025 and will look to replace vehicles rather than expand their fleets. We expect our U.S. market share of new Class 4 through 7 commercial vehicle sales to range between 5.6% and 6.1% in 2025 based on A.C.T. Research’s current forecast. This market share percentage would result in the sale of approximately 12,000 to 13,000 new Class 4 through 7 commercial vehicles in 2025. We expect to sell approximately 500 new Class 5 through 7 commercial vehicles in Canada in 2025.</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expect to sell approximately 2,000 light-duty vehicles and approximately 6,500 to 7,500 used commercial vehicles in 2025, and we expect lease and rental revenue to increase approximately 3.0% during 2025, compared to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With respect to our parts, service, and collision center (collectively referred to herein as “Aftermarket Products and Services”) operations, we expect that the same economic challenges that are negatively impacting new commercial vehicle sales will continue to negatively impact demand for Aftermarket Products and Services. We believe that our Aftermarket Products and Services revenues will be flat to down 2% in 2025, compared to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preparation of our interim unaudited consolidated financial statements in accordance with GAAP requires us to make estimates and assumptions that affect the reported amounts of assets and liabilities, revenues and expenses and the related disclosures of contingent assets and liabilities in our interim unaudited consolidated financial statements and accompanying notes. In accordance with GAAP, we base our estimates on historical experience and on various other assumptions that we believe are reasonable under the circumstances. We evaluate our estimates, judgments and assumptions on an ongoing basis, and while we believe that our estimates, judgments and assumptions are reasonable, they are based upon information available at the time. Actual results might differ from these estimates under different assumptions or conditions.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Our significant accounting policies are discussed in Item 7, "Management's Discussion and Analysis of Financial Condition and Results of Operations" under the heading "Critical Accounting Policies and Estimates" in our Form 10-K. There were no material changes to our significant accounting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The following discussion and analysis include our historical results of operations for the three months ended March 31, 2025, and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sets forth certain financial data as a percentage of total revenues for the periods indicated:</w:t>
      </w:r>
    </w:p>
    <w:p>
      <w:pPr>
        <w:spacing w:after="0" w:line="22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Three Months Ended</w:t>
      </w:r>
    </w:p>
    <w:p>
      <w:pPr>
        <w:spacing w:after="0" w:line="3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8"/>
          <w:szCs w:val="18"/>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5715</wp:posOffset>
            </wp:positionV>
            <wp:extent cx="20828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9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10"/>
        </w:trPr>
        <w:tc>
          <w:tcPr>
            <w:tcW w:w="8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61.1%</w:t>
            </w:r>
          </w:p>
        </w:tc>
        <w:tc>
          <w:tcPr>
            <w:tcW w:w="10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33.4</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34.7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and rental sales</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4.9</w:t>
            </w:r>
          </w:p>
        </w:tc>
        <w:tc>
          <w:tcPr>
            <w:tcW w:w="102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4.7</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0.3</w:t>
            </w:r>
          </w:p>
        </w:tc>
        <w:tc>
          <w:tcPr>
            <w:tcW w:w="102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0.3</w:t>
            </w:r>
          </w:p>
        </w:tc>
        <w:tc>
          <w:tcPr>
            <w:tcW w:w="86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products sold</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80.7</w:t>
            </w:r>
          </w:p>
        </w:tc>
        <w:tc>
          <w:tcPr>
            <w:tcW w:w="102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79.2</w:t>
            </w:r>
          </w:p>
        </w:tc>
        <w:tc>
          <w:tcPr>
            <w:tcW w:w="86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13.4</w:t>
            </w:r>
          </w:p>
        </w:tc>
        <w:tc>
          <w:tcPr>
            <w:tcW w:w="102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14.1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0.9</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0.8</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Gain on sale of assets</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income</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0.7</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1.0</w:t>
            </w:r>
          </w:p>
        </w:tc>
        <w:tc>
          <w:tcPr>
            <w:tcW w:w="86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40" w:type="dxa"/>
            <w:vAlign w:val="bottom"/>
          </w:tcPr>
          <w:p>
            <w:pPr>
              <w:spacing w:after="0"/>
              <w:rPr>
                <w:sz w:val="19"/>
                <w:szCs w:val="19"/>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1.0</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1.1</w:t>
            </w:r>
          </w:p>
        </w:tc>
        <w:tc>
          <w:tcPr>
            <w:tcW w:w="860" w:type="dxa"/>
            <w:vAlign w:val="bottom"/>
          </w:tcPr>
          <w:p>
            <w:pPr>
              <w:spacing w:after="0"/>
              <w:rPr>
                <w:sz w:val="19"/>
                <w:szCs w:val="19"/>
                <w:color w:val="auto"/>
              </w:rPr>
            </w:pPr>
          </w:p>
        </w:tc>
      </w:tr>
      <w:tr>
        <w:trPr>
          <w:trHeight w:val="210"/>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0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9"/>
        </w:trPr>
        <w:tc>
          <w:tcPr>
            <w:tcW w:w="840" w:type="dxa"/>
            <w:vAlign w:val="bottom"/>
          </w:tcPr>
          <w:p>
            <w:pPr>
              <w:spacing w:after="0"/>
              <w:rPr>
                <w:sz w:val="19"/>
                <w:szCs w:val="19"/>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0.0</w:t>
            </w:r>
          </w:p>
        </w:tc>
        <w:tc>
          <w:tcPr>
            <w:tcW w:w="10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0.0</w:t>
            </w:r>
          </w:p>
        </w:tc>
        <w:tc>
          <w:tcPr>
            <w:tcW w:w="860" w:type="dxa"/>
            <w:vAlign w:val="bottom"/>
          </w:tcPr>
          <w:p>
            <w:pPr>
              <w:spacing w:after="0"/>
              <w:rPr>
                <w:sz w:val="19"/>
                <w:szCs w:val="19"/>
                <w:color w:val="auto"/>
              </w:rPr>
            </w:pPr>
          </w:p>
        </w:tc>
      </w:tr>
      <w:tr>
        <w:trPr>
          <w:trHeight w:val="210"/>
        </w:trPr>
        <w:tc>
          <w:tcPr>
            <w:tcW w:w="840" w:type="dxa"/>
            <w:vAlign w:val="bottom"/>
          </w:tcPr>
          <w:p>
            <w:pPr>
              <w:spacing w:after="0"/>
              <w:rPr>
                <w:sz w:val="18"/>
                <w:szCs w:val="18"/>
                <w:color w:val="auto"/>
              </w:rPr>
            </w:pPr>
          </w:p>
        </w:tc>
        <w:tc>
          <w:tcPr>
            <w:tcW w:w="6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Rush Enterprises, Inc.</w:t>
            </w:r>
          </w:p>
        </w:tc>
        <w:tc>
          <w:tcPr>
            <w:tcW w:w="10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spacing w:after="0"/>
              <w:rPr>
                <w:sz w:val="18"/>
                <w:szCs w:val="18"/>
                <w:color w:val="auto"/>
              </w:rPr>
            </w:pPr>
          </w:p>
        </w:tc>
      </w:tr>
      <w:tr>
        <w:trPr>
          <w:trHeight w:val="425"/>
        </w:trPr>
        <w:tc>
          <w:tcPr>
            <w:tcW w:w="7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The following table sets forth for the periods indicated the percent of gross profit by revenue source:</w:t>
            </w: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410"/>
        </w:trPr>
        <w:tc>
          <w:tcPr>
            <w:tcW w:w="84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2800" w:type="dxa"/>
            <w:vAlign w:val="bottom"/>
            <w:gridSpan w:val="4"/>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38"/>
        </w:trPr>
        <w:tc>
          <w:tcPr>
            <w:tcW w:w="840" w:type="dxa"/>
            <w:vAlign w:val="bottom"/>
          </w:tcPr>
          <w:p>
            <w:pPr>
              <w:spacing w:after="0"/>
              <w:rPr>
                <w:sz w:val="20"/>
                <w:szCs w:val="20"/>
                <w:color w:val="auto"/>
              </w:rPr>
            </w:pPr>
          </w:p>
        </w:tc>
        <w:tc>
          <w:tcPr>
            <w:tcW w:w="610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4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39"/>
        </w:trPr>
        <w:tc>
          <w:tcPr>
            <w:tcW w:w="7980" w:type="dxa"/>
            <w:vAlign w:val="bottom"/>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76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2024</w:t>
            </w: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10"/>
        </w:trPr>
        <w:tc>
          <w:tcPr>
            <w:tcW w:w="8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04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New and used commercial vehicle sales</w:t>
            </w:r>
          </w:p>
        </w:tc>
        <w:tc>
          <w:tcPr>
            <w:tcW w:w="74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28.0%</w:t>
            </w:r>
          </w:p>
        </w:tc>
        <w:tc>
          <w:tcPr>
            <w:tcW w:w="102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Aftermarket products and services sales</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61.9</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60.8</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Lease and rental</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7.1</w:t>
            </w:r>
          </w:p>
        </w:tc>
        <w:tc>
          <w:tcPr>
            <w:tcW w:w="1020" w:type="dxa"/>
            <w:vAlign w:val="bottom"/>
          </w:tcPr>
          <w:p>
            <w:pPr>
              <w:spacing w:after="0"/>
              <w:rPr>
                <w:sz w:val="18"/>
                <w:szCs w:val="18"/>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6.2</w:t>
            </w:r>
          </w:p>
        </w:tc>
        <w:tc>
          <w:tcPr>
            <w:tcW w:w="860" w:type="dxa"/>
            <w:vAlign w:val="bottom"/>
          </w:tcPr>
          <w:p>
            <w:pPr>
              <w:spacing w:after="0"/>
              <w:rPr>
                <w:sz w:val="18"/>
                <w:szCs w:val="18"/>
                <w:color w:val="auto"/>
              </w:rPr>
            </w:pPr>
          </w:p>
        </w:tc>
      </w:tr>
      <w:tr>
        <w:trPr>
          <w:trHeight w:val="216"/>
        </w:trPr>
        <w:tc>
          <w:tcPr>
            <w:tcW w:w="840" w:type="dxa"/>
            <w:vAlign w:val="bottom"/>
          </w:tcPr>
          <w:p>
            <w:pPr>
              <w:spacing w:after="0"/>
              <w:rPr>
                <w:sz w:val="18"/>
                <w:szCs w:val="18"/>
                <w:color w:val="auto"/>
              </w:rPr>
            </w:pPr>
          </w:p>
        </w:tc>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and insurance</w:t>
            </w:r>
          </w:p>
        </w:tc>
        <w:tc>
          <w:tcPr>
            <w:tcW w:w="74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860" w:type="dxa"/>
            <w:vAlign w:val="bottom"/>
          </w:tcPr>
          <w:p>
            <w:pPr>
              <w:spacing w:after="0"/>
              <w:rPr>
                <w:sz w:val="18"/>
                <w:szCs w:val="18"/>
                <w:color w:val="auto"/>
              </w:rPr>
            </w:pPr>
          </w:p>
        </w:tc>
      </w:tr>
      <w:tr>
        <w:trPr>
          <w:trHeight w:val="230"/>
        </w:trPr>
        <w:tc>
          <w:tcPr>
            <w:tcW w:w="840" w:type="dxa"/>
            <w:vAlign w:val="bottom"/>
          </w:tcPr>
          <w:p>
            <w:pPr>
              <w:spacing w:after="0"/>
              <w:rPr>
                <w:sz w:val="19"/>
                <w:szCs w:val="19"/>
                <w:color w:val="auto"/>
              </w:rPr>
            </w:pPr>
          </w:p>
        </w:tc>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7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color w:val="auto"/>
              </w:rPr>
              <w:t>1.5</w:t>
            </w:r>
          </w:p>
        </w:tc>
        <w:tc>
          <w:tcPr>
            <w:tcW w:w="1020" w:type="dxa"/>
            <w:vAlign w:val="bottom"/>
          </w:tcPr>
          <w:p>
            <w:pPr>
              <w:spacing w:after="0"/>
              <w:rPr>
                <w:sz w:val="19"/>
                <w:szCs w:val="19"/>
                <w:color w:val="auto"/>
              </w:rPr>
            </w:pPr>
          </w:p>
        </w:tc>
        <w:tc>
          <w:tcPr>
            <w:tcW w:w="64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860" w:type="dxa"/>
            <w:vAlign w:val="bottom"/>
          </w:tcPr>
          <w:p>
            <w:pPr>
              <w:spacing w:after="0"/>
              <w:rPr>
                <w:sz w:val="19"/>
                <w:szCs w:val="19"/>
                <w:color w:val="auto"/>
              </w:rPr>
            </w:pPr>
          </w:p>
        </w:tc>
      </w:tr>
      <w:tr>
        <w:trPr>
          <w:trHeight w:val="209"/>
        </w:trPr>
        <w:tc>
          <w:tcPr>
            <w:tcW w:w="840" w:type="dxa"/>
            <w:vAlign w:val="bottom"/>
          </w:tcPr>
          <w:p>
            <w:pPr>
              <w:spacing w:after="0"/>
              <w:rPr>
                <w:sz w:val="18"/>
                <w:szCs w:val="18"/>
                <w:color w:val="auto"/>
              </w:rPr>
            </w:pPr>
          </w:p>
        </w:tc>
        <w:tc>
          <w:tcPr>
            <w:tcW w:w="6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gross profit</w:t>
            </w:r>
          </w:p>
        </w:tc>
        <w:tc>
          <w:tcPr>
            <w:tcW w:w="104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tcBorders>
              <w:top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3"/>
              </w:rPr>
              <w:t>%</w:t>
            </w:r>
          </w:p>
        </w:tc>
        <w:tc>
          <w:tcPr>
            <w:tcW w:w="102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860" w:type="dxa"/>
            <w:vAlign w:val="bottom"/>
          </w:tcPr>
          <w:p>
            <w:pPr>
              <w:spacing w:after="0"/>
              <w:rPr>
                <w:sz w:val="18"/>
                <w:szCs w:val="18"/>
                <w:color w:val="auto"/>
              </w:rPr>
            </w:pPr>
          </w:p>
        </w:tc>
      </w:tr>
      <w:tr>
        <w:trPr>
          <w:trHeight w:val="426"/>
        </w:trPr>
        <w:tc>
          <w:tcPr>
            <w:tcW w:w="6940" w:type="dxa"/>
            <w:vAlign w:val="bottom"/>
            <w:gridSpan w:val="2"/>
          </w:tcPr>
          <w:p>
            <w:pPr>
              <w:jc w:val="right"/>
              <w:ind w:right="1130"/>
              <w:spacing w:after="0"/>
              <w:rPr>
                <w:sz w:val="20"/>
                <w:szCs w:val="20"/>
                <w:color w:val="auto"/>
              </w:rPr>
            </w:pPr>
            <w:r>
              <w:rPr>
                <w:rFonts w:ascii="Times New Roman" w:cs="Times New Roman" w:eastAsia="Times New Roman" w:hAnsi="Times New Roman"/>
                <w:sz w:val="18"/>
                <w:szCs w:val="18"/>
                <w:color w:val="auto"/>
              </w:rPr>
              <w:t>15</w:t>
            </w: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40" w:type="dxa"/>
            <w:vAlign w:val="bottom"/>
            <w:tcBorders>
              <w:bottom w:val="single" w:sz="8" w:color="auto"/>
            </w:tcBorders>
          </w:tcPr>
          <w:p>
            <w:pPr>
              <w:spacing w:after="0"/>
              <w:rPr>
                <w:sz w:val="10"/>
                <w:szCs w:val="10"/>
                <w:color w:val="auto"/>
              </w:rPr>
            </w:pPr>
          </w:p>
        </w:tc>
        <w:tc>
          <w:tcPr>
            <w:tcW w:w="61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unit sales and revenues for new heavy-duty, new medium-duty, new light-duty and used commercial vehicles and our absorption ratio (revenue in millions):</w:t>
      </w:r>
    </w:p>
    <w:p>
      <w:pPr>
        <w:spacing w:after="0" w:line="158" w:lineRule="exact"/>
        <w:rPr>
          <w:sz w:val="20"/>
          <w:szCs w:val="20"/>
          <w:color w:val="auto"/>
        </w:rPr>
      </w:pPr>
    </w:p>
    <w:tbl>
      <w:tblPr>
        <w:tblLayout w:type="fixed"/>
        <w:tblInd w:w="84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60" w:type="dxa"/>
            <w:vAlign w:val="bottom"/>
            <w:gridSpan w:val="4"/>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48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480" w:type="dxa"/>
            <w:vAlign w:val="bottom"/>
          </w:tcPr>
          <w:p>
            <w:pPr>
              <w:spacing w:after="0"/>
              <w:rPr>
                <w:sz w:val="18"/>
                <w:szCs w:val="18"/>
                <w:color w:val="auto"/>
              </w:rPr>
            </w:pPr>
          </w:p>
        </w:tc>
      </w:tr>
      <w:tr>
        <w:trPr>
          <w:trHeight w:val="238"/>
        </w:trPr>
        <w:tc>
          <w:tcPr>
            <w:tcW w:w="44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2025</w:t>
            </w: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8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2024</w:t>
            </w:r>
          </w:p>
        </w:tc>
        <w:tc>
          <w:tcPr>
            <w:tcW w:w="380" w:type="dxa"/>
            <w:vAlign w:val="bottom"/>
          </w:tcPr>
          <w:p>
            <w:pPr>
              <w:spacing w:after="0"/>
              <w:rPr>
                <w:sz w:val="20"/>
                <w:szCs w:val="20"/>
                <w:color w:val="auto"/>
              </w:rPr>
            </w:pPr>
          </w:p>
        </w:tc>
        <w:tc>
          <w:tcPr>
            <w:tcW w:w="148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 Change</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Vehicle unit sales: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heavy-duty vehicles</w:t>
            </w: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3,222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3,494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medium-duty vehicles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3,329</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3,331</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light-duty vehicles</w:t>
            </w:r>
          </w:p>
        </w:tc>
        <w:tc>
          <w:tcPr>
            <w:tcW w:w="9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456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9"/>
        </w:trPr>
        <w:tc>
          <w:tcPr>
            <w:tcW w:w="4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unit sales</w:t>
            </w:r>
          </w:p>
        </w:tc>
        <w:tc>
          <w:tcPr>
            <w:tcW w:w="9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7,021</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7,281</w:t>
            </w:r>
          </w:p>
        </w:tc>
        <w:tc>
          <w:tcPr>
            <w:tcW w:w="3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vehicles</w:t>
            </w:r>
          </w:p>
        </w:tc>
        <w:tc>
          <w:tcPr>
            <w:tcW w:w="960" w:type="dxa"/>
            <w:vAlign w:val="bottom"/>
          </w:tcPr>
          <w:p>
            <w:pPr>
              <w:spacing w:after="0"/>
              <w:rPr>
                <w:sz w:val="18"/>
                <w:szCs w:val="18"/>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1,769</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1,818</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Vehicle revenues:</w:t>
            </w:r>
          </w:p>
        </w:tc>
        <w:tc>
          <w:tcPr>
            <w:tcW w:w="9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heavy-duty vehicles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625.8</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666.3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New medium-duty vehicles</w:t>
            </w:r>
          </w:p>
        </w:tc>
        <w:tc>
          <w:tcPr>
            <w:tcW w:w="9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378.4</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333.6</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New light-duty vehicles</w:t>
            </w:r>
          </w:p>
        </w:tc>
        <w:tc>
          <w:tcPr>
            <w:tcW w:w="960" w:type="dxa"/>
            <w:vAlign w:val="bottom"/>
          </w:tcPr>
          <w:p>
            <w:pPr>
              <w:spacing w:after="0"/>
              <w:rPr>
                <w:sz w:val="19"/>
                <w:szCs w:val="19"/>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27.5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0"/>
        </w:trPr>
        <w:tc>
          <w:tcPr>
            <w:tcW w:w="4400" w:type="dxa"/>
            <w:vAlign w:val="bottom"/>
            <w:tcBorders>
              <w:top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new vehicle revenue</w:t>
            </w:r>
          </w:p>
        </w:tc>
        <w:tc>
          <w:tcPr>
            <w:tcW w:w="960" w:type="dxa"/>
            <w:vAlign w:val="bottom"/>
            <w:tcBorders>
              <w:top w:val="single" w:sz="8" w:color="auto"/>
            </w:tcBorders>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1,033.4</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1,027.4</w:t>
            </w:r>
          </w:p>
        </w:tc>
        <w:tc>
          <w:tcPr>
            <w:tcW w:w="38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Used vehicle revenue</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90.8</w:t>
            </w:r>
          </w:p>
        </w:tc>
        <w:tc>
          <w:tcPr>
            <w:tcW w:w="30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88.0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4400" w:type="dxa"/>
            <w:vAlign w:val="bottom"/>
            <w:shd w:val="clear" w:color="auto" w:fill="CCEEFF"/>
          </w:tcPr>
          <w:p>
            <w:pPr>
              <w:ind w:left="20"/>
              <w:spacing w:after="0" w:line="216" w:lineRule="exact"/>
              <w:rPr>
                <w:sz w:val="20"/>
                <w:szCs w:val="20"/>
                <w:color w:val="auto"/>
              </w:rPr>
            </w:pPr>
            <w:r>
              <w:rPr>
                <w:rFonts w:ascii="Times New Roman" w:cs="Times New Roman" w:eastAsia="Times New Roman" w:hAnsi="Times New Roman"/>
                <w:sz w:val="16"/>
                <w:szCs w:val="16"/>
                <w:b w:val="1"/>
                <w:bCs w:val="1"/>
                <w:color w:val="auto"/>
              </w:rPr>
              <w:t>Other vehicle revenues:</w:t>
            </w:r>
            <w:r>
              <w:rPr>
                <w:rFonts w:ascii="Times New Roman" w:cs="Times New Roman" w:eastAsia="Times New Roman" w:hAnsi="Times New Roman"/>
                <w:sz w:val="25"/>
                <w:szCs w:val="25"/>
                <w:color w:val="auto"/>
                <w:vertAlign w:val="superscript"/>
              </w:rPr>
              <w:t>(1)</w:t>
            </w:r>
          </w:p>
        </w:tc>
        <w:tc>
          <w:tcPr>
            <w:tcW w:w="960" w:type="dxa"/>
            <w:vAlign w:val="bottom"/>
            <w:shd w:val="clear" w:color="auto" w:fill="CCEEFF"/>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shd w:val="clear" w:color="auto" w:fill="CCEEFF"/>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CEEFF"/>
          </w:tcPr>
          <w:p>
            <w:pPr>
              <w:jc w:val="right"/>
              <w:ind w:right="360"/>
              <w:spacing w:after="0"/>
              <w:rPr>
                <w:sz w:val="20"/>
                <w:szCs w:val="20"/>
                <w:color w:val="auto"/>
              </w:rPr>
            </w:pPr>
            <w:r>
              <w:rPr>
                <w:rFonts w:ascii="Times New Roman" w:cs="Times New Roman" w:eastAsia="Times New Roman" w:hAnsi="Times New Roman"/>
                <w:sz w:val="18"/>
                <w:szCs w:val="18"/>
                <w:color w:val="auto"/>
              </w:rPr>
              <w:t>7.9</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w:t>
            </w:r>
          </w:p>
        </w:tc>
      </w:tr>
      <w:tr>
        <w:trPr>
          <w:trHeight w:val="21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Absorption ratio:</w:t>
            </w:r>
          </w:p>
        </w:tc>
        <w:tc>
          <w:tcPr>
            <w:tcW w:w="96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130.1%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bl>
    <w:p>
      <w:pPr>
        <w:ind w:left="860"/>
        <w:spacing w:after="0"/>
        <w:rPr>
          <w:sz w:val="20"/>
          <w:szCs w:val="20"/>
          <w:color w:val="auto"/>
        </w:rPr>
      </w:pPr>
      <w:r>
        <w:rPr>
          <w:rFonts w:ascii="Times New Roman" w:cs="Times New Roman" w:eastAsia="Times New Roman" w:hAnsi="Times New Roman"/>
          <w:sz w:val="18"/>
          <w:szCs w:val="18"/>
          <w:color w:val="auto"/>
        </w:rPr>
        <w:t>(1) Includes sales of truck bodies, trailers and other new equipment.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Performance Indicator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Absorption Ratio</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Management uses several performance metrics to evaluate the performance of our commercial vehicle dealerships and considers Rush Truck Centers’ “absorption ratio” to be of critical importance. Our absorption ratio is calculated by dividing the gross profit from our Aftermarket Products and Services departments by the overhead expenses of all of a dealership’s departments, except for the selling expenses of the new and used commercial vehicle departments and carrying costs of new and used commercial vehicle inventory. When 100% absorption is achieved, all of the gross profit from the sale of a commercial vehicle, after sales commissions and inventory carrying costs, directly impacts operating profit. Our commercial vehicle dealerships achieved a 128.6% absorption ratio for the first quarter of 2025, compared to a 130.1% absorption ratio for the first quarter of 2024.</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March 31, 2025 Compared to Three Months Ended March 31,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Revenues</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Total revenues decreased $21.2 million, or 1.1%, in the first quarter of 2025, compared to the first quarter of 2024. This decrease was primarily the result of decreased Aftermarket Products and Services revenue due to continued weak demand from over-the-road customers.</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Aftermarket Products and Services revenues totaled $619.1 million in the first quarter of 2025, down 4.6% from the first quarter of 2024. The decrease in Aftermarket Parts and Services revenues was related to the continued freight recession, in addition to 2025 having one less working day than 2024, the completion of certain customer service projects and campaigns in 2024 that did not occur in 2025 and a decrease in business related to winter storms in January of 2025.</w:t>
      </w:r>
    </w:p>
    <w:p>
      <w:pPr>
        <w:spacing w:after="0" w:line="180"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Revenues from sales of new and used commercial vehicles increased $7.5 million, or 0.7%, in the first quarter of 2025, compared to the first quarter of 2024. The slight increase in new commercial vehicle revenues was primarily the result of the mix of products sold.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sold 3,222 new Class 8 trucks in the first quarter of 2025, a 7.8% decrease compared to 3,494 new Class 8 trucks sold in the first quarter of 2024. The decrease in new Class 8 truck sales was primarily related to the ongoing freight recession, high interest rates and general economic uncertainty, as well as concerns related to tariffs and U.S. trade policy. New U.S. Class 8 retail truck sales totaled 51,938 units in the first quarter of 2025, a decrease of 9.2% compared to the first quarter of 2024, according to ACT Research.</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sold 3,329 new Class 4 through 7 medium-duty commercial vehicles, including 310 buses, in the first quarter of 2025, a 0.1% decrease compared to 3,331 new medium-duty commercial vehicles, including 386 buses, in the first quarter of 2024. New U.S. Class 4 through 7 retail commercial vehicle sales totaled 52,897 units in the first quarter of 2025, up 0.3% compared to the first quarter of 2024, according to ACT Research.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We sold 470 light-duty vehicles in the first quarter of 2025, a 3.1% increase compared to 456 light-duty vehicles sold in the first quarter of 2024.</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sold 1,769 used commercial vehicles in the first quarter of 2025, a 2.7% decrease compared to 1,818 used commercial vehicles in the first quarter of 2024.</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Commercial vehicle lease and rental revenues increased $2.3 million, or 2.7%, in the first quarter of 2025, compared to the first quarter of 2024. The increase in commercial vehicle lease and rental revenues was primarily due to an increase in the delivery of new leased vehicles, which was partially offset by a slight decrease in rental utilization.</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Finance and insurance revenues decreased $0.2 million, or 3.4%, in the first quarter of 2025, compared to the first quarter of 2024. This decrease is primarily due to the mix of purchasers of commercial vehicles. During the first quarter of 2025, most of our sales were to larger fleets, which usually arrange their own financing. We are more likely to provide financing to owner-operators and smaller fleets, which comprised a smaller percentage of commercial vehicle sales during the first quarter of 2025. Finance and insurance revenues have limited direct costs and, therefore, contribute a disproportionate share of our operating profits.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Gross Profit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decreased $32.1 million, or 8.2%, in the first quarter of 2025, compared to the first quarter of 2024. This decrease is primarily related to decreased demand for Aftermarket Products and Services due to the continued freight recession, high interest rate and general economic uncertainty related to tariffs and U.S Trade Policy. Gross profit as a percentage of sales decreased to 19.3% in the first quarter of 2025, from 20.8% in the first quarter of 2024.</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Gross margins from our Aftermarket Products and Services operations decreased to 35.8% in the first quarter of 2025, from 36.5% in the first quarter of 2024. Gross profit for the Aftermarket Products and Services departments decreased to $221.3 million in the first quarter of 2025, from $236.9 million in the first quarter of 2024. This decrease is primarily related to decreased demand due to difficult economic conditions impacting many of our customers. Historically, gross margins on parts sales range from 28% to 30% and gross margins on service and collision center operations range from 66% to 68%. Gross profits from parts sales represented 58.3% of total gross profit for Aftermarket Products and Services operations in the first quarter of 2025 and 57.5% in the first quarter of 2024. Service and collision center operations represented 41.7% of total gross profit for Aftermarket Products and Services operations in the first quarter of 2025 and 42.5% in the first quarter of 2024. We expect blended gross margins on Aftermarket Products and Services operations to range from 35.5% to 37.5% in 2025.</w:t>
      </w:r>
    </w:p>
    <w:p>
      <w:pPr>
        <w:spacing w:after="0" w:line="192"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Gross margins on new Class 8 truck sales decreased to 9.0% in the first quarter of 2025, from 9.7% in the first quarter of 2024. In 2025, we expect overall gross margins from new heavy-duty truck sales of approximately 8.5% to 9.5%.</w:t>
      </w:r>
    </w:p>
    <w:p>
      <w:pPr>
        <w:spacing w:after="0" w:line="162"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Gross margins on new Class 4 through 7 commercial vehicle sales decreased to 7.9% in the first quarter of 2025, from 9.3% in the first quarter of 2024. This decrease was primarily due to the mix of purchasers during the first quarter of 2025. For 2025, we expect overall gross margins from new medium-duty commercial vehicle sales of approximately 7.5% to 9.0%, but this will largely depend upon the mix of purchasers and types of vehicles sold.</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Gross margins on used commercial vehicle sales decreased to 14.4% in the first quarter of 2025, from 21.6% in the first quarter of 2024. This decrease was primarily due to a change in sales mix between wholesale and retail. We expect margins on used commercial vehicles to range between 12.0% and 17.0% in 2025.</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margins from truck lease and rental sales increased to 28.2% in the first quarter of 2025, from 27.5% in the first quarter of 2024. This increase is primarily related to the delivery of new lease vehicles, which have lower operating costs. We expect gross margins from lease and rental sales of approximately 27.0% to 29.0% during 2025. Our policy is to depreciate our lease and rental fleet using a straight-line method over each customer’s contractual lease term. The lease unit is depreciated to a residual value that approximates fair value at the expiration of the lease term. This policy results in us realizing reasonable gross margins while the unit is in service and a corresponding gain or loss on sale when the unit is sold at the end of the lease term.</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Finance and insurance revenues and other income, as described above, have limited direct costs and, therefore, contribute a disproportionate share of gross profit.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Selling, General and Administrative (“SG&amp;A”) expenses decreased $14.9 million, or 5.6%, in the first quarter of 2025, compared to the first quarter of 2024. This decrease primarily resulted from reductions to our operating expenses that occurred in the first half of 2024. SG&amp;A expenses as a percentage of total revenues decreased to 13.4% in the first quarter of 2025, from 14.1% in the first quarter of 2024. Annual SG&amp;A expenses as a percentage of total revenues have ranged from approximately 12.4% to 14.4% over the last five years. In general, when new and used commercial vehicle revenues increase as a percentage of total revenues, SG&amp;A expenses as a percentage of total revenues will be at the lower end of this range. For 2025, we expect SG&amp;A expenses as a percentage of total revenues to range from 13.0% to 14.0%. For 2025, we expect the selling portion of SG&amp;A expenses to be approximately 25.0% to 30.0% of new and used commercial vehicle gross profit.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interest expense decreased $5.1 million, or 28.4%, in the first quarter of 2025, compared to the first quarter of 2024. This decrease in interest expense is primarily the result of decreased inventory levels and lower interest rates compared to the first quarter of 2024. We expect net interest expense in 2025 to decrease compared to 2024, but the amount of the decrease will depend on inventory levels, interest rate fluctuations and the amount of cash available to make prepayments on our floor plan arrangements.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before Income Taxes</w:t>
      </w:r>
    </w:p>
    <w:p>
      <w:pPr>
        <w:spacing w:after="0" w:line="22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a result of the factors described above, income before income taxes decreased $14.2 million, or 15.4%, in the first quarter of 2025, compared to the first quarter of 2024.</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Income taxes decreased $3.4 million, or 15.8%, in the first quarter of 2025, compared to the first quarter of 2024. We provided for taxes at a 22.8% effective rate in the first quarter of 2025 and 23.0% in the first quarter of 2024. We expect our effective tax rate to be approximately 23.0% to 24.0% of pretax income in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short-term cash requirements are primarily for working capital, inventory financing, the renovation and expansion of existing facilities and the construction or purchase of new facilities. Historically, these cash requirements have been met through the retention of profits, borrowings under our floor plan arrangements and bank financings. As of March 31, 2025, we had working capital of approximately $751.3 million, including $228.7 million in cash, available to fund our operations. We believe that these funds, together with expected cash flows from operations, are sufficient to meet our operating requirements for at least the next twelve months. From time to time, we utilize our excess cash on hand to pay down our outstanding borrowings under various credit agreements.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continually evaluate our liquidity and capital resources based upon: (i) our cash, cash equivalents and restricted cash on hand; (ii) the funds that we expect to generate through future operations; (iii) current and expected borrowing availability under our secured line of credit, working capital lines of credit available under certain of our credit agreements and our floor plan credit agreements; and (iv) the potential impact of our capital allocation strategy and any contemplated or pending future transactions, including, but not limited to, acquisitions, equity repurchases, dividends, or other capital expenditures. We believe we will have sufficient liquidity to meet our debt service and working capital requirements, commitments and contingencies, debt repayments, acquisitions, capital expenditures and any operating requirements for at least the next twelve months.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have a secured line of credit that provides for a maximum borrowing of $25.0 million. There were no advances outstanding under this secured line of credit on March 31, 2025, however, $18.8 million was pledged to secure various letters of credit related to self-insurance products, leaving $6.2 million available for future borrowings as of March 31, 2025.</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floor plan credit agreements and our credit agreement with Wells Fargo Bank, National Association (“WF”) require us to satisfy various financial ratios such as the leverage ratio, the asset coverage ratio and the fixed charge coverage ratio. As of March 31, 2025, we were in compliance with all debt covenants related to debt secured by lease and rental units, our floor plan credit agreements and our credit agreement with WF. We do not anticipate any breach of these covenants in the foreseeable future.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expect to purchase or lease commercial vehicles worth approximately $250.0 million to $300.0 million for our leasing operations during 2025, depending on customer demand. We also expect to make capital expenditures for the purchase of recurring items such as computers, shop tools and equipment and company vehicles of approximately $35.0 million to $40.0 million during 2025.</w:t>
      </w:r>
    </w:p>
    <w:p>
      <w:pPr>
        <w:spacing w:after="0" w:line="176"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first quarter of 2025, we paid a cash dividend of $14.3 million. Additionally, on April 30, 2025, our Board of Directors declared a cash dividend of $0.18 per share of Class A and Class B common stock, to be paid on June 12, 2025, to all shareholders of record as of May 12, 2025. The total dividend disbursement is estimated at approximately $14.4 million. We expect to continue paying cash dividends on a quarterly basis. However, there is no assurance as to future dividends because the declaration and payment of such dividends is subject to the business judgment of our Board of Directors and will depend on historic and projected earnings, capital requirements, covenant compliance and financial conditions and such other factors as our Board of Directors deem relevant.</w:t>
      </w:r>
    </w:p>
    <w:p>
      <w:pPr>
        <w:spacing w:after="0" w:line="18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2, 2024, we announced that our Board of Directors approved a new stock repurchase program authorizing management to repurchase, from time to time, up to an aggregate of $150.0 million of our shares of Class A common stock and/or Class B common stock. In connection with the adoption of the new stock repurchase plan, we terminated the prior stock repurchase plan, which was scheduled to expire on December 31, 2024. Repurchases, if any, are made at times and in amounts as we deem appropriate and may be made through open market transactions at prevailing market prices, privately negotiated transactions or by other means in accordance with federal securities laws. The actual timing, number of shares and value of repurchases under the stock repurchase program will be determined by management at its discretion and will depend on a number of factors, including market conditions, stock price and other factors. As of March 31, 2025, we had repurchased $37.4 million of our shares of common stock under the current stock repurchase program, excluding federal excise tax. The current stock repurchase program expires on December 31, 2025, and may be suspended or discontinued at any time.</w:t>
      </w:r>
    </w:p>
    <w:p>
      <w:pPr>
        <w:spacing w:after="0" w:line="18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Inflation Reduction Act of 2022 imposed a nondeductible 1% excise tax on the net value of certain stock repurchases made after December 31, 2022. We have reflected the applicable excise tax in treasury stock as part of the cost basis of the stock repurchased.</w:t>
      </w:r>
    </w:p>
    <w:p>
      <w:pPr>
        <w:spacing w:after="0" w:line="16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anticipate funding the capital expenditures for the improvement and expansion of existing facilities and recurring expenses through our operating cash flows. We can fund the construction or purchase of new facilities through our operating cash flows or by financing.</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currently under contract to construct a new facility on the land adjacent to our current location in Huntley, IL with a current budget of $23.8 million. We will continue to purchase vehicles for our lease and rental operations and authorize capital expenditures for the improvement or expansion of our existing dealership facilities.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Flows</w:t>
            </w:r>
          </w:p>
        </w:tc>
        <w:tc>
          <w:tcPr>
            <w:tcW w:w="9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8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summarizes our cash flows for the periods indicated (in thousands):</w:t>
            </w:r>
          </w:p>
        </w:tc>
        <w:tc>
          <w:tcPr>
            <w:tcW w:w="9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11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Three months</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Ended March 31,</w:t>
            </w:r>
          </w:p>
        </w:tc>
        <w:tc>
          <w:tcPr>
            <w:tcW w:w="960" w:type="dxa"/>
            <w:vAlign w:val="bottom"/>
            <w:vMerge w:val="restart"/>
          </w:tcPr>
          <w:p>
            <w:pPr>
              <w:jc w:val="right"/>
              <w:ind w:right="490"/>
              <w:spacing w:after="0"/>
              <w:rPr>
                <w:sz w:val="20"/>
                <w:szCs w:val="20"/>
                <w:color w:val="auto"/>
              </w:rPr>
            </w:pPr>
            <w:r>
              <w:rPr>
                <w:rFonts w:ascii="Times New Roman" w:cs="Times New Roman" w:eastAsia="Times New Roman" w:hAnsi="Times New Roman"/>
                <w:sz w:val="18"/>
                <w:szCs w:val="18"/>
                <w:color w:val="auto"/>
                <w:w w:val="99"/>
              </w:rPr>
              <w:t>2024</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(used in):</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9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5"/>
              </w:rPr>
              <w:t>154,198</w:t>
            </w:r>
          </w:p>
        </w:tc>
        <w:tc>
          <w:tcPr>
            <w:tcW w:w="6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(155,053)</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Investing activities</w:t>
            </w:r>
          </w:p>
        </w:tc>
        <w:tc>
          <w:tcPr>
            <w:tcW w:w="9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(97,173)</w:t>
            </w:r>
          </w:p>
        </w:tc>
        <w:tc>
          <w:tcPr>
            <w:tcW w:w="6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(69,188)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56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Financing activities</w:t>
            </w:r>
          </w:p>
        </w:tc>
        <w:tc>
          <w:tcPr>
            <w:tcW w:w="9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(56,422)</w:t>
            </w:r>
          </w:p>
        </w:tc>
        <w:tc>
          <w:tcPr>
            <w:tcW w:w="6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196,451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5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Effect of exchange rate changes on cash</w:t>
            </w:r>
          </w:p>
        </w:tc>
        <w:tc>
          <w:tcPr>
            <w:tcW w:w="9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60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3"/>
        </w:trPr>
        <w:tc>
          <w:tcPr>
            <w:tcW w:w="1120" w:type="dxa"/>
            <w:vAlign w:val="bottom"/>
          </w:tcPr>
          <w:p>
            <w:pPr>
              <w:spacing w:after="0"/>
              <w:rPr>
                <w:sz w:val="19"/>
                <w:szCs w:val="19"/>
                <w:color w:val="auto"/>
              </w:rPr>
            </w:pPr>
          </w:p>
        </w:tc>
        <w:tc>
          <w:tcPr>
            <w:tcW w:w="5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w:t>
            </w:r>
          </w:p>
        </w:tc>
        <w:tc>
          <w:tcPr>
            <w:tcW w:w="960" w:type="dxa"/>
            <w:vAlign w:val="bottom"/>
            <w:tcBorders>
              <w:top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603</w:t>
            </w:r>
          </w:p>
        </w:tc>
        <w:tc>
          <w:tcPr>
            <w:tcW w:w="600" w:type="dxa"/>
            <w:vAlign w:val="bottom"/>
            <w:tcBorders>
              <w:top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(27,790</w:t>
            </w:r>
          </w:p>
        </w:tc>
        <w:tc>
          <w:tcPr>
            <w:tcW w:w="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56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Cash flows from operating activities include net income adjusted for non-cash items and the effects of changes in working capital. During the first quarter of 2025, operating activities resulted in net cash provided by operations of $153.5 million. Net cash provided by operating activities primarily consisted of $60.6 million in net income, as well as non-cash adjustments related to depreciation and amortization of $61.5 million, and stock-based compensation of $13.7 million. Cash used by operating activities included an aggregate of $16.6 million net change in operating assets and liabilities. Included in the net change in operating assets and liabilities were cash inflows of $75.4 million from the increase in accounts payable and $50.3 million from the decrease in accounts receivable, which was offset primarily by cash outflows of $77.0 million from the increase in inventories, $12.6 million from the decrease in customer deposits and $19.6 million from the decrease in accrued expenses. Most of our commercial vehicle inventory is financed through our floor plan credit agreements.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During the first quarter of 2024, operating activities resulted in net cash used in operations of $155.1 million. Net cash provided by operating activities primarily consisted of $71.5 million in net income, as well as non-cash adjustments related to depreciation and amortization of $56.8 million, and stock-based compensation of $14.1 million. Cash used by operating activities included an aggregate of $297.4 million net change in operating assets and liabilities. Included in the net change in operating assets and liabilities were cash inflows of $17.4 million from the increase in accounts payable, which was offset primarily by cash outflows of $215.5 million from the increase in inventories, $49.9 million from the increase in accounts receivable, $17.7 million from the decrease in customer deposits and $26.9 million from the increase in accrued expenses. Most of our commercial vehicle inventory is financed through our floor plan credit agreements.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2025, cash used in investing activities was $97.2 million. Cash flows used in investing activities consist primarily of cash used for the acquisition of property and equipment. Acquisition of property and equipment totaled $109.1 million during the first three months of 2025 and consisted primarily of purchases of machinery and shop equipment, furniture and fixtures, real estate and facilities, improvements to our existing dealership facilities and $94.0 million for purchases of rental and lease vehicles for our rental and leasing operations.</w:t>
      </w:r>
    </w:p>
    <w:p>
      <w:pPr>
        <w:spacing w:after="0" w:line="18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first quarter of 2024, cash used in investing activities was $69.2 million. Cash flows used in investing activities consist primarily of cash used for the acquisition of property and equipment. Acquisition of property and equipment totaled $79.1 million during the first three months of 2025 and consisted primarily of purchases of machinery and shop equipment, furniture and fixtures, real estate and facilities, improvements to our existing dealership facilities and $52.1 million for purchases of rental and lease vehicles for our rental and leasing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Cash flows from financing activities include borrowings and repayments of long-term debt and net proceeds of floor plan notes payable, non-trade. During the first quarter of 2025, financing activities resulted in net cash used in financing activities of $56.4 million, primarily related to $288.4 million from borrowings of long-term debt and $6.2 million from the issuance of shares related to equity compensation plans. These cash inflows were offset by cash outflows of $0.6 million from net draws on floor plan notes payable, non-trade, $293.2 million used for principal repayments of long-term debt and finance lease obligations, $29.6 million used for repurchases of common stock, $9.4 million for taxes paid related to net share settlement of equity awards and $14.4 million used for payment of cash dividends.</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During the first quarter of 2024, financing activities resulted in net cash provided by financing activities of $196.5 million, primarily related to $110.2 million from net draws on floor plan notes payable, non-trade, $713.8 million from borrowings of long-term debt and $9.4 million from the issuance of shares related to equity compensation plans. These cash inflows were offset by cash outflows of $607.9 million used for principal repayments of long-term debt and finance lease obligations, $5.6 million used for repurchases of common stock, $9.5 million for taxes paid related to net share settlement of equity awards and $13.9 million used for payment of cash dividends.</w:t>
      </w:r>
    </w:p>
    <w:p>
      <w:pPr>
        <w:spacing w:after="0" w:line="183"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September 14, 2021, we entered into a credit agreement with WF, with the lenders signatory thereto (“WF Lenders”) and WF as administrative agent (the “Well Fargo Credit Agreement”). Pursuant to the terms of the WF Credit Agreement (as amended), the WF Lenders have agreed to make up to $175.0 million of revolving credit loans for certain of our capital expenditures, including commercial vehicle purchases for our Idealease leasing and rental fleet, and general working capital needs. We expect to use the revolving credit loans available under the WF Credit Agreement primarily for the purpose of purchasing commercial vehicles for our Idealease lease and rental fleet. We may borrow, repay and reborrow amounts pursuant to the WF Credit Agreement from time to time until the maturity date. Borrowings under the WF Credit Agreement bear interest per annum, payable on each interest payment date, as defined in the WF Credit Agreement, at (A) the daily Secured Overnight Financing Rate (“SOFR”) plus (i) 1.25% or (ii) 1.5%, depending on our consolidated leverage ratio or (B) on or after the SOFR transition date, SOFR plus (i) 1.25% or (ii) 1.5%, depending on our consolidated leverage ratio. The WF Credit Agreement expires on September 14, 2026, although, upon the occurrence and during the continuance of an event of default, the agent has the right to, or upon the request of the required lenders must, terminate the commitments and declare all outstanding principal and interest due and payable. We may terminate the commitments at any time. On March 31, 2025, we had approximately $142.4 million outstanding under the WF Credit Agreement.</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November 1, 2023, we entered into that certain Second Amended and Restated Inventory Financing and Purchase Money Security Agreement with PACCAR Leasing Company (“PLC”), a division of Paccar Financing Corp. (“PFC”) (“the PLC Agreement”). Pursuant to the terms of the PLC Agreement (as amended), PLC agreed to make up to $500.0 million of revolving credit loans to finance certain of our capital expenditures, including commercial vehicle purchases and other equipment to be leased or rented through our PacLease franchises. We may borrow, repay and reborrow amounts pursuant to the PLC Agreement from time to time until the maturity date, provided, however, that the outstanding principal amount on any date shall not exceed the borrowing base. In addition, we must maintain a minimum balance of $220.0 million or we are subject to an unused commitment fee 0.20% of the amount by which the average daily outstanding principal balance of the loan during such quarter is less than $220.0 million. Advances under the PLC Agreement bear interest per annum, payable on the fifth day of the following month, at our option, at either (A) the prime rate, minus 2.10%, provided that the floating rate of interest is subject to a floor of 0%, or (B) a fixed rate, to be determined between us and PLC in each instance of borrowing at a fixed rate. The PLC Agreement expires on December 16, 2029, although either party has the right to terminate the PLC Agreement at any time upon 360 days written notice. On March 31, 2025, we had approximately $220.0 million outstanding under the PLC Agreement.</w:t>
      </w:r>
    </w:p>
    <w:p>
      <w:pPr>
        <w:spacing w:after="0" w:line="19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May 31, 2022, RTC Canada entered into that certain BMO Revolving Lease and Rental Credit Agreement (“the RTC Canada Revolving Credit Agreement”) with Bank of Montreal (“BMO”). Pursuant to the terms of the RTC Canada Revolving Credit Agreement (as amended), BMO agreed to make up to $120.0 million CAD of revolving credit loans to finance certain of RTC Canada’s capital expenditures, including commercial vehicle purchases and other equipment to be leased or rented through RTC Canada’s Idealease franchise, with an additional $20.0 million CAD available upon the request of RTC Canada and consent of BMO. Borrowings under the RTC Canada Revolving Credit Agreement bear interest per annum payable monthly at Canadian Overnight Repo Rate Average (“CORRA”), plus 1.72%. The RTC Canada Revolving Credit Agreement expires on September 14, 2026. On March 31, 2025, we had approximately $59.4 million CAD outstanding under the RTC Canada Revolving Credit Agreement.</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Most of our commercial vehicle purchases are made on terms requiring payment to the manufacturer within 15 to 60 days or less from the date the commercial vehicles are invoiced from the factory. Navistar Financial Corporation and Peterbilt offer trade terms that provide an interest-free inventory stocking period for certain new commercial vehicles. This interest-free period is 15 to 60 days. If the commercial vehicle is not sold within the interest-free period, we finance the commercial vehicle under the credit agreements described below.</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December 16, 2024, we entered into the Inventory Financing and Purchase Money Security Agreement (“the PFC Floor Plan Credit Agreement”) with PFC. The PFC Floor Plan Credit Agreement includes an aggregate loan commitment of $800.0 million for the financing of new Peterbilt trucks, tractors, chassis and other related equipment manufactured by Peterbilt. Borrowings under the PFC Floor Plan Credit Agreement bear interest per annum, payable on the fifth day of the following month, at our option, at either (A) the prime rate, minus 2.10%, provided that the floating rate of interest is subject to a floor of 0%, or (B) a fixed rate, to be determined between us and PFC in each instance of borrowing at a fixed rate. The PFC Floor Plan Credit Agreement expires on December 16, 2029, although either party has the right to terminate the PFC Floor Plan Credit Agreement at any time upon 360 days written notice. On March 31, 2025, we had approximately $480.0 million outstanding under the PFC Floor Plan Credit Agreement. We utilize our excess cash on hand to pay down our outstanding borrowings under the PFC Floor Plan Credit Agreement, and the resulting interest earned is recognized as an offset to our gross interest expense under the PFC Floor Plan Credit Agreement.</w:t>
      </w:r>
    </w:p>
    <w:p>
      <w:pPr>
        <w:spacing w:after="0" w:line="188"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On September 14, 2021, we entered into the Fifth Amended and Restate Credit Agreement (“the BMO Floor Plan Credit Agreement”) (as amended) with BMO Bank and the lenders signatory thereto. This agreement previously had an aggregate loan commitment of $1.0 billion, which we utilized to finance all of our new and used commercial vehicle inventory in the United States until we entered into the PFC Floor Plan Credit Agreement. On December 12, 2024, we entered into an amendment of the BMO Floor Plan Credit Agreement. Pursuant to the terms of the amendment, the aggregate loan commitment was reduced from $1.0 billion to $675.0 million and the definition of “Inventory” was amended to remove trucks, tractors and chassis manufactured by Peterbilt. We utilize the BMO Floor Plan Credit Agreement to finance all of our new commercial vehicle inventory, except for equipment manufactured by Peterbilt, and all of our used commercial vehicle inventory and for working capital purposes. Borrowings under the BMO Floor Plan Credit Agreement bear interest per annum, payable monthly, at (A) the greater of (i) zero and (ii) Term SOFR (as defined in the agreement), plus (B) 1.20%. Borrowings under the BMO Floor Plan Credit Agreement for the purchase of used inventory are limited to $150.0 million and loans for working capital purposes are limited to $200.0 million. The BMO Floor Plan Credit Agreement expires on December 31, 2029, although BMO Bank has the right to terminate at any time upon 360 days written notice and we may terminate at any time, subject to specified limited exceptions. On March 31, 2025, we had approximately $368.1 million outstanding under the BMO Floor Plan Credit Agreement. We utilize our excess cash on hand to pay down our outstanding borrowings under the BMO Floor Plan Credit Agreement, and the resulting interest earned is recognized as an offset to our gross interest expense under the BMO Floor Plan Credit Agreement.</w:t>
      </w:r>
    </w:p>
    <w:p>
      <w:pPr>
        <w:spacing w:after="0" w:line="19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July 15, 2022, RTC Canada entered into that certain Amended and Restated BMO Wholesale Financing and Security Agreement (“the RTC Canada Floor Plan Credit Agreement”) with BMO. Pursuant to the terms of the RTC Canada Floor Plan Credit Agreement (as amended), BMO agreed to make up to $116.7 million CAD of revolving credit loans to finance RTC Canada’s purchase of new and used vehicle inventory. Loans to purchase used vehicle inventory are limited to twenty percent (20%) of the credit limit available at such time. RTC Canada may borrow, repay and reborrow loans from time to time until the maturity date, provided, however, that the outstanding principal amount on any date shall not exceed the credit limits set forth above with respect to new and used vehicles. Advances required to be made in CAD dollars under the RTC Canada Floor Plan Credit Agreement bear interest per annum, payable monthly, at CORRA, plus 1.27%. Advances required to be made in USD dollars bear interest per annum, payable monthly, at SOFR, plus 1.20%. The RTC Canada Floor Plan Credit Agreement expires on September 14, 2026. On March 31, 2025, we had approximately $85.0 million CAD outstanding under the RTC Canada Floor Plan Credit Agreement. We utilize our excess cash on hand to pay down our outstanding borrowings under the RTC Canada Floor Plan Credit Agreement, and the resulting interest earned is recognized as an offset to our gross interest expense under the RTC Canada Floor Plan Credit Agreement.</w:t>
      </w:r>
    </w:p>
    <w:p>
      <w:pPr>
        <w:sectPr>
          <w:pgSz w:w="11900" w:h="16838" w:orient="portrait"/>
          <w:cols w:equalWidth="0" w:num="1">
            <w:col w:w="11240"/>
          </w:cols>
          <w:pgMar w:left="320" w:top="121" w:right="339" w:bottom="1440"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22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March 31, 2025, our backlog of commercial vehicle orders was approximately $1,401.3 million, compared to a backlog of commercial vehicle orders of approximately $2,047.1 million on March 31, 2024. Given the current uncertainty regarding tariffs, we believe that certain commercial vehicle orders currently reflected in our backlog could be cancelled in the event that such tariffs are enacted and significantly increase the aggregate price that our customers will have to pay for such vehicles. Our backlog is determined quarterly by multiplying the number of new commercial vehicles for each type of commercial vehicle ordered by a customer at our Rush Truck Centers by the recent average selling price for that type of commercial vehicle. We include only confirmed orders in our backlog. However, such orders are subject to cancellation. In the event of order cancellation, we have no contractual right to the total revenues reflected in our backlog. The delivery time for a custom-ordered commercial vehicle varies depending on the truck specifications and demand for the model ordered. We sell most of our new heavy-duty commercial vehicles by customer special order, and we sell the majority of our medium- and light-duty commercial vehicles out of inventory. Orders from several of our major fleet customers are included in our backlog as of March 31, 2025, and we expect to fill most of our backlog orders during 2025, assuming that the manufacturers we represent can meet their current production schedule.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Seasonality</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Truck Segment is moderately seasonal. Seasonal effects on new commercial vehicle sales related to the seasonal purchasing patterns of any single customer type are mitigated by the diverse geographic locations of our dealerships and our diverse customer base, including regional and national fleets, local and state governments, corporations, and owner-operators. However, Aftermarket Products and Services operations historically have experienced higher sales volumes in the second and third quarters.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Cyclicality</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is dependent on a number of factors including general economic conditions, fuel prices, interest rate fluctuations, credit availability, environmental and other government regulations and customer business cycles. Unit sales of new commercial vehicles have historically been subject to substantial cyclical variation based on these general economic conditions. According to data published by A.C.T. Research, in the last ten years, total U.S. retail sales of new Class 8 commercial vehicles have ranged from a low of approximately 197,000 in 2016, to a high of approximately 281,440 in 2019. Through geographic expansion, concentration on higher margin Aftermarket Products and Services and diversification of our customer base, we have attempted to reduce the negative impact of adverse general economic conditions or cyclical trends affecting the Class 8 commercial vehicle industry on our earnings.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Environmental Standards and Other Governmental Regulations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federal, state, and local environmental laws and regulations governing the following: discharges into the air and water; the operation and removal of underground and aboveground storage tanks; the use, handling, storage and disposal of hazardous substances, petroleum and other materials; and the investigation and remediation of environmental impacts. As with commercial vehicle dealerships generally, and vehicle service, parts and collision center operations in particular, our business involves the generation, use, storage, handling and contracting for recycling or disposal of hazardous materials or wastes and other environmentally sensitive materials. We have incurred, and will continue to incur, capital and operating expenditures and other costs in complying with such laws and regulations.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Our operations involving the use, handling, storage, and disposal of hazardous and nonhazardous materials are subject to the requirements of the federal Resource Conservation and Recovery Act, or RCRA, and comparable state statutes. Pursuant to these laws, federal and state environmental agencies have established approved methods for handling, storage, treatment, transportation, and disposal of regulated substances with which we must comply. Our business also involves the operation and use of aboveground and underground storage tanks. These storage tanks are subject to periodic testing, containment, upgrading and removal under RCRA and comparable state statutes. Furthermore, investigation or remediation may be necessary in the event of leaks or other discharges from current or former underground or aboveground storage tanks.</w:t>
      </w:r>
    </w:p>
    <w:p>
      <w:pPr>
        <w:spacing w:after="0" w:line="18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may also have liability in connection with materials that were sent to third party recycling, treatment, or disposal facilities under the federal Comprehensive Environmental Response, Compensation and Liability Act, or CERCLA, and comparable state statutes. These statutes impose liability for investigation and remediation of environmental impacts without regard to fault or the legality of the conduct that contributed to the impacts. Responsible parties under these statutes may include the owner or operator of the site where impacts occurred and companies that disposed, or arranged for the disposal, of the hazardous substances released at these sites. These responsible parties also may be liable for damages to natural resources. In addition, it is not uncommon for neighboring landowners and other third parties to file claims for personal injury and property damage allegedly caused by the release of hazardous substances or other materials into the environment.</w:t>
      </w:r>
    </w:p>
    <w:p>
      <w:pPr>
        <w:spacing w:after="0" w:line="18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federal Clean Water Act and comparable state statutes require containment of potential discharges of oil or hazardous substances and require preparation of spill contingency plans. Water quality protection programs govern certain discharges from some of our operations. Similarly, the federal Clean Air Act and comparable state statutes regulate emissions of various air emissions through permitting programs and the imposition of standards and other requirements.</w:t>
      </w:r>
    </w:p>
    <w:p>
      <w:pPr>
        <w:spacing w:after="0" w:line="180"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do not believe that we currently have any material environmental liabilities or that compliance with environmental laws and regulations will have a material adverse effect on our results of operations, financial condition, or cash flows. However, soil and groundwater impacts are known to exist at some of our dealerships. Further, environmental laws and regulations are complex and subject to change. In addition, in connection with acquisitions, it is possible that we will assume or become subject to new or unforeseen environmental costs or liabilities, some of which may be material. In connection with our dispositions, or prior dispositions made by companies we acquire, we may retain exposure for environmental costs and liabilities, some of which may be material. Compliance with current or amended, or new or more stringent, laws or regulations, stricter interpretations of existing laws or the future discovery of environmental conditions could require additional expenditures by us, which could materially adversely affect our results of operations, financial condition, or cash flows. In addition, such laws could affect demand for the products that we sell.</w:t>
      </w:r>
    </w:p>
    <w:p>
      <w:pPr>
        <w:sectPr>
          <w:pgSz w:w="11900" w:h="16838" w:orient="portrait"/>
          <w:cols w:equalWidth="0" w:num="1">
            <w:col w:w="11240"/>
          </w:cols>
          <w:pgMar w:left="320" w:top="121" w:right="339" w:bottom="609" w:gutter="0" w:footer="0" w:header="0"/>
        </w:sectPr>
      </w:pP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609"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5"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18"/>
          <w:szCs w:val="18"/>
          <w:color w:val="auto"/>
        </w:rPr>
        <w:t>We are also subject to federal and state laws and regulations governing the commercial vehicle engine emissions. The Environmental Protection Agency (“EPA”) and the National Highway Traffic Safety Administration on behalf of the U.S. Department of Transportation, have issued rules associated with reducing greenhouse gas (“GHG”) and Nitrogen Oxide (“NOx”) emissions and improving the fuel efficiency of medium and heavy-duty trucks and buses. One of these rules, referred to herein as the “EPA 2027 Low NOx” rule, will require commercial vehicle engines to emit significantly less NOx than such engines do today, beginning in model year 2027. The EPA 2027 Low NOx rule also would increase the useful life of each vehicle and would require that manufacturers extend the warranty term of each vehicle to ensure that commercial vehicles remain compliant with the EPA’s emission standards as such vehicles age. In March 2024, the EPA issued an additional rule associated with reducing GHG emissions from heavy-duty trucks and buses for model years 2027 through 2032 (the “GHG-3” rule). While the GHG-3 rule claims to be technology neutral, in order to comply with the rule, commercial vehicle engine manufacturers would be required to manufacture an increasing percentage of “zero-emission” vehicles over time, which would likely reduce the number of diesel internal combustion engines (“ICE”) vehicles that could be manufactured over that time period. Similarly, the California Air Resources Board (“CARB”) has adopted rules and regulations that are intended to reduce NOx emissions (the “HD Omnibus” rule), phase out the sale of ICE commercial vehicles over time by requiring a certain percentage of each manufacturer’s commercial vehicles sold within the state to be “zero-emission vehicles” (the “Advanced Clean Trucks” rule) and require fleets to purchase a certain number of “zero-emission vehicles” (the “Advanced Clean Fleet” rule). The EPA granted waivers to CARB with respect to the HD Omnibus and Advanced Clean Truck rules, each of which became effective in January 2024. CARB withdrew its request for a waiver from the EPA with respect to the Advanced Clean Fleet rule in January 2025, and thus, it is unlikely that this rule will become effective in the near future. In addition, the EPA asked Congress to review the previously granted waivers that CARB received with respect to the HD Omnibus and Advanced Clean Truck rules, and the U.S. House of Representatives recently passed resolutions to rescind such waivers pursuant to the Congressional Review Act. The U.S. Senate must now vote on the resolutions. However, if the U.S. Senate votes to approve the resolutions, it is expected that there will be multiple legal challenges regarding Congress’s authority to revoke the waivers. In addition, in March 2025, the EPA announced that it was reconsidering various previously approved engine emissions regulations, including the EPA 2027 Low NOx rule and the GHG-3 rule. With respect to the EPA’s engine emission rules, while it is widely expected that that the current GHG-3 rule will be revoked or modified by a branch of the federal government, it is less clear whether a branch of the federal government may attempt to revoke or modify the EPA 2027 Low NOx rule. It is also worth noting that there are currently multiple lawsuits pending where plaintiffs are challenging CARB’s rules on the basis that, amongst other things, such rules are preempted by other federal laws and that the EPA exceeded its authority in granting the waivers with respect to the HD Omnibus and Advanced Clean Truck rules. There are also multiple lawsuits pending where plaintiffs are challenging the GHG-3 rule on multiple grounds, including that the EPA exceeded its statutory authority in creating the rule.</w:t>
      </w:r>
    </w:p>
    <w:p>
      <w:pPr>
        <w:spacing w:after="0" w:line="204"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In July 2023, CARB and various manufacturers of heavy-duty commercial vehicles and engines, including PACCAR, International, Ford, Hino, Isuzu and Cummins, entered into the Clean Truck Partnership, whereby the manufacturers agreed to comply with CARB’s emission requirements where applicable, regardless of whether any entity challenges CARB’s rule-making authority, and CARB agreed to work with manufacturers to provide reasonable lead time to meet CARB’s requirements and before imposing new regulations. In addition, CARB agreed to align its HD Omnibus rule with the EPA 2027 Low NOx rule, which goes into effect starting in model year 2027, and modify certain provisions of its HD Omnibus rule currently in effect. A group of seventeen U.S. states and the District of Columbia have entered into a joint memorandum of understanding that adopts at least a portion of CARB’s emissions regulations and commits each of them to work together to advance and accelerate the market for electric Class 3 through 8 commercial vehicles. Six of the states are states where we operate new commercial vehicle dealerships: California, Colorado, Nevada, New Mexico, North Carolina, and Virginia. The signatories to the memorandum all agreed on a goal of ensuring that 100% of new Class 3 through 8 commercial vehicles are zero emission by 2050, with an interim target of 30% zero emission vehicles by 2030, although multiple of these states have recently announced plans to delay various aspects of CARB’s regulations. Attaining these goals would likely require the adoption of new laws and regulations and we cannot predict at this time whether such laws and regulations would have an adverse impact on our business. Additional regulations, or CARB’s enforcement of its existing regulations, could result in increased compliance costs, additional operating restrictions, or changes in demand for our products and services, which could have a material adverse effect on our business, financial condition and results of operations.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Market risk represents the risk of loss that may impact the financial position, results of operations, or cash flows of the Company due to adverse changes in financial market prices, including interest rate risk, and other relevant market rate or price risks.</w:t>
      </w:r>
    </w:p>
    <w:p>
      <w:pPr>
        <w:spacing w:after="0" w:line="162"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are exposed to market risk through interest rates related to the PFC Floor Plan Credit Agreement, the BMO Floor Plan Credit Agreement, the WF Credit Agreement, the PLC Agreement, the RTC Canada Revolving Credit Agreement, the RTC Canada Floor Plan Credit Agreement and discount rates related to finance sales. The PFC Floor Plan Credit Agreement and the PLC Agreement are both based on the prime rate. The BMO Floor Plan Credit Agreement and the WF Credit Agreement are both based on SOFR. The RTC Canada Revolving Credit Agreement and RTC Canada Floor Plan Credit Agreement are both based on CORRA. As of March 31, 2025, we had outstanding floor plan borrowings and lease and rental fleet borrowings in the aggregate amount of $1,329.0 million. Assuming an increase or decrease in the prime rate, SOFR or CORRA of 100 basis points, annual interest expense could correspondingly increase or decrease by approximately $13.3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Company, under the supervision and with the participation of management, including the Company’s principal executive officer and chief financial officer, evaluated the effectiveness of our disclosure controls and procedures as of the end of the period covered by this report. Based on that evaluation, the principal executive officer and chief financial officer concluded that our disclosure controls and procedures were effective as of March 31, 2025, to ensure that information required to be disclosed in the reports filed or submitted under the Securities Exchange Act of 1934 is (i) recorded, processed, summarized and reported within the time periods specified in the Securities and Exchange Commission’s rules and forms, and (ii) is accumulated and communicated to Company management, including the principal executive officer and chief financial officer, as appropriate, to allow timely decisions regarding required disclosure.</w:t>
      </w:r>
    </w:p>
    <w:p>
      <w:pPr>
        <w:spacing w:after="0" w:line="18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that occurred during the three months ended March 31, 2025, that has materially affected, or is reasonably likely to materially affect, our internal control over financial reporting.</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ectPr>
          <w:pgSz w:w="11900" w:h="16838" w:orient="portrait"/>
          <w:cols w:equalWidth="0" w:num="1">
            <w:col w:w="11240"/>
          </w:cols>
          <w:pgMar w:left="320" w:top="121" w:right="339" w:bottom="181" w:gutter="0" w:footer="0" w:header="0"/>
        </w:sectPr>
      </w:pPr>
    </w:p>
    <w:bookmarkStart w:id="23" w:name="page24"/>
    <w:bookmarkEnd w:id="23"/>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From time to time, we are involved in litigation arising out of our operations in the ordinary course of business. We maintain liability insurance, through self-insurance and third-party excess insurance, including product liability coverage, in amounts deemed adequate by management. However, an uninsured or partially insured claim, or claim for which indemnification is not available, could have a material adverse effect on our financial condition or results of operations. As of March 31, 2025, we believe that there are no pending claims or litigation, individually or in the aggregate, that are reasonably likely to have a material adverse effect on our financial position or results of operations. However, due to the inherent uncertainty of litigation, there can be no assurance that the resolution of any particular claim or proceeding would not have a material adverse effect on our financial condition or results of operations for the fiscal period in which such resolution occurred.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we attempt to identify, manage and mitigate risks and uncertainties associated with our business to the extent practical under the circumstances, some level of risk and uncertainty will always be present. Item 1A, Part I of our 2024 Annual Report on Form 10-K (the “2024 Annual Report”) describes some of the risks and uncertainties associated with our business that have the potential to materially affect our business, financial condition or results of operations.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has been no material change in our risk factors disclosed in our 2024 Annual Report.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did not make any unregistered sales of equity securities during the first quarter of 2025.</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summary of the Company’s stock repurchase activity for the first quarter of 2025 is as follows:</w:t>
      </w:r>
    </w:p>
    <w:p>
      <w:pPr>
        <w:spacing w:after="0" w:line="221" w:lineRule="exact"/>
        <w:rPr>
          <w:sz w:val="20"/>
          <w:szCs w:val="20"/>
          <w:color w:val="auto"/>
        </w:rPr>
      </w:pPr>
    </w:p>
    <w:tbl>
      <w:tblPr>
        <w:tblLayout w:type="fixed"/>
        <w:tblInd w:w="820" w:type="dxa"/>
        <w:tblCellMar>
          <w:top w:w="0" w:type="dxa"/>
          <w:left w:w="0" w:type="dxa"/>
          <w:bottom w:w="0" w:type="dxa"/>
          <w:right w:w="0" w:type="dxa"/>
        </w:tblCellMar>
      </w:tblP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Approximate</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6"/>
              </w:rPr>
              <w:t>Total Number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Dollar Value of</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of Shares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Shares that</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Purchased as</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May</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Part of</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6"/>
              </w:rPr>
              <w:t>Yet be</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Average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Publicly</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Purchased</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rPr>
              <w:t>Price Paid</w:t>
            </w:r>
          </w:p>
        </w:tc>
        <w:tc>
          <w:tcPr>
            <w:tcW w:w="14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Announced</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Under</w:t>
            </w:r>
          </w:p>
        </w:tc>
      </w:tr>
      <w:tr>
        <w:trPr>
          <w:trHeight w:val="216"/>
        </w:trPr>
        <w:tc>
          <w:tcPr>
            <w:tcW w:w="4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Purchased</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4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Plans or</w:t>
            </w: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the Plans or</w:t>
            </w:r>
          </w:p>
        </w:tc>
      </w:tr>
      <w:tr>
        <w:trPr>
          <w:trHeight w:val="238"/>
        </w:trPr>
        <w:tc>
          <w:tcPr>
            <w:tcW w:w="4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0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(1)(2)(3)</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5"/>
              </w:rPr>
              <w:t>(1)</w:t>
            </w:r>
          </w:p>
        </w:tc>
        <w:tc>
          <w:tcPr>
            <w:tcW w:w="300" w:type="dxa"/>
            <w:vAlign w:val="bottom"/>
          </w:tcPr>
          <w:p>
            <w:pPr>
              <w:spacing w:after="0"/>
              <w:rPr>
                <w:sz w:val="20"/>
                <w:szCs w:val="20"/>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Programs (2)</w:t>
            </w:r>
          </w:p>
        </w:tc>
        <w:tc>
          <w:tcPr>
            <w:tcW w:w="180" w:type="dxa"/>
            <w:vAlign w:val="bottom"/>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Programs (3)</w:t>
            </w:r>
          </w:p>
        </w:tc>
        <w:tc>
          <w:tcPr>
            <w:tcW w:w="100" w:type="dxa"/>
            <w:vAlign w:val="bottom"/>
          </w:tcPr>
          <w:p>
            <w:pPr>
              <w:spacing w:after="0"/>
              <w:rPr>
                <w:sz w:val="20"/>
                <w:szCs w:val="20"/>
                <w:color w:val="auto"/>
              </w:rPr>
            </w:pPr>
          </w:p>
        </w:tc>
      </w:tr>
      <w:tr>
        <w:trPr>
          <w:trHeight w:val="209"/>
        </w:trPr>
        <w:tc>
          <w:tcPr>
            <w:tcW w:w="4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1 – January 31, 2025</w:t>
            </w:r>
          </w:p>
        </w:tc>
        <w:tc>
          <w:tcPr>
            <w:tcW w:w="14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125,902</w:t>
            </w: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55.21(4)</w:t>
            </w:r>
          </w:p>
        </w:tc>
        <w:tc>
          <w:tcPr>
            <w:tcW w:w="14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125,902</w:t>
            </w:r>
          </w:p>
        </w:tc>
        <w:tc>
          <w:tcPr>
            <w:tcW w:w="1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  136,573,636</w:t>
            </w:r>
          </w:p>
        </w:tc>
      </w:tr>
      <w:tr>
        <w:trPr>
          <w:trHeight w:val="216"/>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February 1 – February 28, 2025</w:t>
            </w:r>
          </w:p>
        </w:tc>
        <w:tc>
          <w:tcPr>
            <w:tcW w:w="1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83,696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56.25(5)</w:t>
            </w:r>
          </w:p>
        </w:tc>
        <w:tc>
          <w:tcPr>
            <w:tcW w:w="14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83,696</w:t>
            </w: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131,863,396</w:t>
            </w:r>
          </w:p>
        </w:tc>
      </w:tr>
      <w:tr>
        <w:trPr>
          <w:trHeight w:val="216"/>
        </w:trPr>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1 – March 31, 2025</w:t>
            </w:r>
          </w:p>
        </w:tc>
        <w:tc>
          <w:tcPr>
            <w:tcW w:w="10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354,308</w:t>
            </w:r>
          </w:p>
        </w:tc>
        <w:tc>
          <w:tcPr>
            <w:tcW w:w="2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54.32(6)</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354,308</w:t>
            </w:r>
          </w:p>
        </w:tc>
        <w:tc>
          <w:tcPr>
            <w:tcW w:w="1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112,605,717</w:t>
            </w:r>
          </w:p>
        </w:tc>
      </w:tr>
      <w:tr>
        <w:trPr>
          <w:trHeight w:val="210"/>
        </w:trPr>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564,106</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564,106</w:t>
            </w: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1120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99" w:lineRule="exact"/>
        <w:rPr>
          <w:sz w:val="20"/>
          <w:szCs w:val="20"/>
          <w:color w:val="auto"/>
        </w:rPr>
      </w:pPr>
    </w:p>
    <w:p>
      <w:pPr>
        <w:ind w:left="660" w:hanging="652"/>
        <w:spacing w:after="0" w:line="26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calculation of the average price paid per share does not give effect to any fees, commissions or other costs associated with the repurchase of such shares.</w:t>
      </w:r>
    </w:p>
    <w:p>
      <w:pPr>
        <w:ind w:left="660" w:hanging="652"/>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shares represent Class A Common Stock and/or Class B Common Stock repurchased by the Company.</w:t>
      </w:r>
    </w:p>
    <w:p>
      <w:pPr>
        <w:spacing w:after="0" w:line="9" w:lineRule="exact"/>
        <w:rPr>
          <w:rFonts w:ascii="Times New Roman" w:cs="Times New Roman" w:eastAsia="Times New Roman" w:hAnsi="Times New Roman"/>
          <w:sz w:val="18"/>
          <w:szCs w:val="18"/>
          <w:color w:val="auto"/>
        </w:rPr>
      </w:pPr>
    </w:p>
    <w:p>
      <w:pPr>
        <w:ind w:left="66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December 2, 2024, we announced the approval of a new stock repurchase program, effective December 3, 2024, authorizing management to repurchase, from time to time, up to an aggregate of $150.0 million of our shares of Class A common stock and/or Class B common stock.</w:t>
      </w:r>
    </w:p>
    <w:p>
      <w:pPr>
        <w:ind w:left="660" w:right="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54,587 shares of Class A Common Stock at an average price paid per share of $54.98 and 71,315 shares of Class B Common Stock at an average price paid per share of $55.45.</w:t>
      </w:r>
    </w:p>
    <w:p>
      <w:pPr>
        <w:ind w:left="660" w:right="20" w:hanging="652"/>
        <w:spacing w:after="0" w:line="25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23,009 shares of Class A Common Stock at an average price paid per share of $57.27 and 60,687 shares of Class B Common Stock at an average price paid per share of $55.86.</w:t>
      </w:r>
    </w:p>
    <w:p>
      <w:pPr>
        <w:ind w:left="660" w:hanging="652"/>
        <w:spacing w:after="0" w:line="260"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253,854 shares of Class A Common Stock at an average price paid per share of $53.83 and 100,654 shares of Class B Common Stock at an average price paid per share of $55.56.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none of the Company's directors or officers (as defined in Rule 16a-1(f) of the Securities Exchange Act of 1934) adopted, terminated or modified a Rule 10b5-1 trading arrangement or non-Rule 10b5-1 trading arrangement (as such terms are defined in Item 408 of Regulation S-K).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0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40" w:type="dxa"/>
            <w:vAlign w:val="bottom"/>
          </w:tcPr>
          <w:p>
            <w:pPr>
              <w:spacing w:after="0"/>
              <w:rPr>
                <w:sz w:val="17"/>
                <w:szCs w:val="17"/>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b w:val="1"/>
                <w:bCs w:val="1"/>
                <w:color w:val="auto"/>
              </w:rPr>
              <w:t>Exhibit Title</w:t>
            </w:r>
          </w:p>
        </w:tc>
      </w:tr>
      <w:tr>
        <w:trPr>
          <w:trHeight w:val="237"/>
        </w:trPr>
        <w:tc>
          <w:tcPr>
            <w:tcW w:w="8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340" w:type="dxa"/>
            <w:vAlign w:val="bottom"/>
          </w:tcPr>
          <w:p>
            <w:pPr>
              <w:spacing w:after="0"/>
              <w:rPr>
                <w:sz w:val="20"/>
                <w:szCs w:val="20"/>
                <w:color w:val="auto"/>
              </w:rPr>
            </w:pPr>
          </w:p>
        </w:tc>
        <w:tc>
          <w:tcPr>
            <w:tcW w:w="980" w:type="dxa"/>
            <w:vAlign w:val="bottom"/>
            <w:tcBorders>
              <w:top w:val="single" w:sz="8" w:color="auto"/>
              <w:bottom w:val="single" w:sz="8" w:color="auto"/>
            </w:tcBorders>
          </w:tcPr>
          <w:p>
            <w:pPr>
              <w:spacing w:after="0"/>
              <w:rPr>
                <w:sz w:val="20"/>
                <w:szCs w:val="20"/>
                <w:color w:val="auto"/>
              </w:rPr>
            </w:pPr>
          </w:p>
        </w:tc>
        <w:tc>
          <w:tcPr>
            <w:tcW w:w="28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r>
      <w:tr>
        <w:trPr>
          <w:trHeight w:val="169"/>
        </w:trPr>
        <w:tc>
          <w:tcPr>
            <w:tcW w:w="80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3.1</w:t>
            </w:r>
          </w:p>
        </w:tc>
        <w:tc>
          <w:tcPr>
            <w:tcW w:w="340" w:type="dxa"/>
            <w:vAlign w:val="bottom"/>
          </w:tcPr>
          <w:p>
            <w:pPr>
              <w:spacing w:after="0"/>
              <w:rPr>
                <w:sz w:val="14"/>
                <w:szCs w:val="14"/>
                <w:color w:val="auto"/>
              </w:rPr>
            </w:pPr>
          </w:p>
        </w:tc>
        <w:tc>
          <w:tcPr>
            <w:tcW w:w="10100" w:type="dxa"/>
            <w:vAlign w:val="bottom"/>
            <w:gridSpan w:val="11"/>
          </w:tcPr>
          <w:p>
            <w:pPr>
              <w:spacing w:after="0" w:line="169"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Restated Articles of Incorporation of Rush Enterprises, Inc. (incorporated herein by reference to Exhibit 3.1 of the Company’s Quarterly</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8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Report on Form 10-Q (File No. 000-20797) for the quarter ended June 30, 2008)</w:t>
              </w:r>
            </w:hyperlink>
          </w:p>
        </w:tc>
        <w:tc>
          <w:tcPr>
            <w:tcW w:w="20" w:type="dxa"/>
            <w:vAlign w:val="bottom"/>
          </w:tcPr>
          <w:p>
            <w:pPr>
              <w:spacing w:after="0"/>
              <w:rPr>
                <w:sz w:val="17"/>
                <w:szCs w:val="17"/>
                <w:color w:val="auto"/>
              </w:rPr>
            </w:pPr>
          </w:p>
        </w:tc>
      </w:tr>
      <w:tr>
        <w:trPr>
          <w:trHeight w:val="20"/>
        </w:trPr>
        <w:tc>
          <w:tcPr>
            <w:tcW w:w="8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780" w:type="dxa"/>
            <w:vAlign w:val="bottom"/>
            <w:gridSpan w:val="2"/>
            <w:shd w:val="clear" w:color="auto" w:fill="0000EE"/>
          </w:tcPr>
          <w:p>
            <w:pPr>
              <w:spacing w:after="0" w:line="20" w:lineRule="exact"/>
              <w:rPr>
                <w:sz w:val="1"/>
                <w:szCs w:val="1"/>
                <w:color w:val="auto"/>
              </w:rPr>
            </w:pPr>
          </w:p>
        </w:tc>
        <w:tc>
          <w:tcPr>
            <w:tcW w:w="20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3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Certificate of Amendment to the Restated Articles of Incorporation of Rush Enterprises, Inc. (incorporated herein by reference to Exhibit</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14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9"/>
              </w:rPr>
            </w:pPr>
            <w:hyperlink r:id="rId31">
              <w:r>
                <w:rPr>
                  <w:rFonts w:ascii="Times New Roman" w:cs="Times New Roman" w:eastAsia="Times New Roman" w:hAnsi="Times New Roman"/>
                  <w:sz w:val="18"/>
                  <w:szCs w:val="18"/>
                  <w:color w:val="0000EE"/>
                  <w:w w:val="99"/>
                </w:rPr>
                <w:t>3.</w:t>
              </w:r>
              <w:r>
                <w:rPr>
                  <w:rFonts w:ascii="Times New Roman" w:cs="Times New Roman" w:eastAsia="Times New Roman" w:hAnsi="Times New Roman"/>
                  <w:sz w:val="18"/>
                  <w:szCs w:val="18"/>
                  <w:u w:val="single" w:color="auto"/>
                  <w:color w:val="0000EE"/>
                  <w:w w:val="99"/>
                </w:rPr>
                <w:t>2</w:t>
              </w:r>
              <w:r>
                <w:rPr>
                  <w:rFonts w:ascii="Times New Roman" w:cs="Times New Roman" w:eastAsia="Times New Roman" w:hAnsi="Times New Roman"/>
                  <w:sz w:val="18"/>
                  <w:szCs w:val="18"/>
                  <w:color w:val="0000EE"/>
                  <w:w w:val="99"/>
                </w:rPr>
                <w:t xml:space="preserve"> of the Company’s Quarterly Report on Form 10-Q (File No. 000-20797) for the quarter ended June 30, 2023)</w:t>
              </w:r>
            </w:hyperlink>
          </w:p>
        </w:tc>
        <w:tc>
          <w:tcPr>
            <w:tcW w:w="1960" w:type="dxa"/>
            <w:vAlign w:val="bottom"/>
            <w:gridSpan w:val="6"/>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3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Rush Enterprises, Inc. Amended and Restated Bylaws (incorporated herein by reference to Exhibit 3.1 of the Company’s Current Report on</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78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8-K (File No. 000-20797) filed May 21, 2013)</w:t>
              </w:r>
            </w:hyperlink>
          </w:p>
        </w:tc>
        <w:tc>
          <w:tcPr>
            <w:tcW w:w="6320" w:type="dxa"/>
            <w:vAlign w:val="bottom"/>
            <w:gridSpan w:val="9"/>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340" w:type="dxa"/>
            <w:vAlign w:val="bottom"/>
          </w:tcPr>
          <w:p>
            <w:pPr>
              <w:spacing w:after="0"/>
              <w:rPr>
                <w:sz w:val="17"/>
                <w:szCs w:val="17"/>
                <w:color w:val="auto"/>
              </w:rPr>
            </w:pPr>
          </w:p>
        </w:tc>
        <w:tc>
          <w:tcPr>
            <w:tcW w:w="1010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First Amendment to Amended and Restated Bylaws of Rush Enterprises, Inc. (incorporated herein by reference to Exhibit 3.1 of the</w:t>
              </w:r>
            </w:hyperlink>
          </w:p>
        </w:tc>
      </w:tr>
      <w:tr>
        <w:trPr>
          <w:trHeight w:val="196"/>
        </w:trPr>
        <w:tc>
          <w:tcPr>
            <w:tcW w:w="8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Company’s Current Report on Form 8-K (File No. 000-20797) filed May 24, 2021)</w:t>
              </w:r>
            </w:hyperlink>
          </w:p>
        </w:tc>
        <w:tc>
          <w:tcPr>
            <w:tcW w:w="4100" w:type="dxa"/>
            <w:vAlign w:val="bottom"/>
            <w:gridSpan w:val="7"/>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31.1*</w:t>
            </w:r>
          </w:p>
        </w:tc>
        <w:tc>
          <w:tcPr>
            <w:tcW w:w="340" w:type="dxa"/>
            <w:vAlign w:val="bottom"/>
          </w:tcPr>
          <w:p>
            <w:pPr>
              <w:spacing w:after="0"/>
              <w:rPr>
                <w:sz w:val="17"/>
                <w:szCs w:val="17"/>
                <w:color w:val="auto"/>
              </w:rPr>
            </w:pPr>
          </w:p>
        </w:tc>
        <w:tc>
          <w:tcPr>
            <w:tcW w:w="9600" w:type="dxa"/>
            <w:vAlign w:val="bottom"/>
            <w:tcBorders>
              <w:bottom w:val="single" w:sz="8" w:color="0000EE"/>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Rules 13a-14(a) and 15d-14(a) adopted pursuant to Section 302 of the Sarbanes-Oxley Act of 2002.</w:t>
            </w:r>
          </w:p>
        </w:tc>
        <w:tc>
          <w:tcPr>
            <w:tcW w:w="500" w:type="dxa"/>
            <w:vAlign w:val="bottom"/>
            <w:gridSpan w:val="2"/>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31.2*</w:t>
            </w:r>
          </w:p>
        </w:tc>
        <w:tc>
          <w:tcPr>
            <w:tcW w:w="340" w:type="dxa"/>
            <w:vAlign w:val="bottom"/>
          </w:tcPr>
          <w:p>
            <w:pPr>
              <w:spacing w:after="0"/>
              <w:rPr>
                <w:sz w:val="17"/>
                <w:szCs w:val="17"/>
                <w:color w:val="auto"/>
              </w:rPr>
            </w:pPr>
          </w:p>
        </w:tc>
        <w:tc>
          <w:tcPr>
            <w:tcW w:w="958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CFO pursuant to Rules 13a-14(a) and 15d-14(a) adopted pursuant to Section 302 of the Sarbanes-Oxley Act of 2002.</w:t>
            </w:r>
          </w:p>
        </w:tc>
        <w:tc>
          <w:tcPr>
            <w:tcW w:w="520" w:type="dxa"/>
            <w:vAlign w:val="bottom"/>
            <w:gridSpan w:val="3"/>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340" w:type="dxa"/>
            <w:vAlign w:val="bottom"/>
          </w:tcPr>
          <w:p>
            <w:pPr>
              <w:spacing w:after="0"/>
              <w:rPr>
                <w:sz w:val="17"/>
                <w:szCs w:val="17"/>
                <w:color w:val="auto"/>
              </w:rPr>
            </w:pPr>
          </w:p>
        </w:tc>
        <w:tc>
          <w:tcPr>
            <w:tcW w:w="92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CEO pursuant to 18 U.S.C. Section 1350 as adopted pursuant to Section 906 of the Sarbanes-Oxley Act of 2002.</w:t>
            </w:r>
          </w:p>
        </w:tc>
        <w:tc>
          <w:tcPr>
            <w:tcW w:w="820" w:type="dxa"/>
            <w:vAlign w:val="bottom"/>
            <w:gridSpan w:val="4"/>
          </w:tcPr>
          <w:p>
            <w:pPr>
              <w:spacing w:after="0"/>
              <w:rPr>
                <w:sz w:val="17"/>
                <w:szCs w:val="17"/>
                <w:color w:val="auto"/>
              </w:rPr>
            </w:pPr>
          </w:p>
        </w:tc>
      </w:tr>
      <w:tr>
        <w:trPr>
          <w:trHeight w:val="196"/>
        </w:trPr>
        <w:tc>
          <w:tcPr>
            <w:tcW w:w="8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340" w:type="dxa"/>
            <w:vAlign w:val="bottom"/>
          </w:tcPr>
          <w:p>
            <w:pPr>
              <w:spacing w:after="0"/>
              <w:rPr>
                <w:sz w:val="17"/>
                <w:szCs w:val="17"/>
                <w:color w:val="auto"/>
              </w:rPr>
            </w:pPr>
          </w:p>
        </w:tc>
        <w:tc>
          <w:tcPr>
            <w:tcW w:w="926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CFO pursuant to 18 U.S.C. Section 1350 as adopted pursuant to Section 906 of the Sarbanes-Oxley Act of 2002.</w:t>
            </w:r>
          </w:p>
        </w:tc>
        <w:tc>
          <w:tcPr>
            <w:tcW w:w="840" w:type="dxa"/>
            <w:vAlign w:val="bottom"/>
            <w:gridSpan w:val="5"/>
          </w:tcPr>
          <w:p>
            <w:pPr>
              <w:spacing w:after="0"/>
              <w:rPr>
                <w:sz w:val="17"/>
                <w:szCs w:val="17"/>
                <w:color w:val="auto"/>
              </w:rPr>
            </w:pPr>
          </w:p>
        </w:tc>
      </w:tr>
      <w:tr>
        <w:trPr>
          <w:trHeight w:val="218"/>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XBRL Instance Document – The instance document does not appear in the Interactive Data File because its XBRL tags are embedded</w:t>
            </w:r>
          </w:p>
        </w:tc>
      </w:tr>
      <w:tr>
        <w:trPr>
          <w:trHeight w:val="216"/>
        </w:trPr>
        <w:tc>
          <w:tcPr>
            <w:tcW w:w="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216"/>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340" w:type="dxa"/>
            <w:vAlign w:val="bottom"/>
          </w:tcPr>
          <w:p>
            <w:pPr>
              <w:spacing w:after="0"/>
              <w:rPr>
                <w:sz w:val="18"/>
                <w:szCs w:val="18"/>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234"/>
        </w:trPr>
        <w:tc>
          <w:tcPr>
            <w:tcW w:w="8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340" w:type="dxa"/>
            <w:vAlign w:val="bottom"/>
          </w:tcPr>
          <w:p>
            <w:pPr>
              <w:spacing w:after="0"/>
              <w:rPr>
                <w:sz w:val="20"/>
                <w:szCs w:val="20"/>
                <w:color w:val="auto"/>
              </w:rPr>
            </w:pPr>
          </w:p>
        </w:tc>
        <w:tc>
          <w:tcPr>
            <w:tcW w:w="10100" w:type="dxa"/>
            <w:vAlign w:val="bottom"/>
            <w:gridSpan w:val="11"/>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and contained in Exhibit 101)</w:t>
            </w:r>
          </w:p>
        </w:tc>
      </w:tr>
    </w:tbl>
    <w:p>
      <w:pPr>
        <w:spacing w:after="0" w:line="198" w:lineRule="exact"/>
        <w:rPr>
          <w:sz w:val="20"/>
          <w:szCs w:val="20"/>
          <w:color w:val="auto"/>
        </w:rPr>
      </w:pPr>
    </w:p>
    <w:p>
      <w:pPr>
        <w:ind w:left="820" w:hanging="812"/>
        <w:spacing w:after="0"/>
        <w:tabs>
          <w:tab w:leader="none" w:pos="8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820" w:right="140" w:hanging="812"/>
        <w:spacing w:after="0" w:line="255" w:lineRule="auto"/>
        <w:tabs>
          <w:tab w:leader="none" w:pos="8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exhibit shall not be deemed “filed” for purposes of Section 18 of the Securities Exchange Act of 1934, or otherwise subject to the liability of that section, and shall not be deemed to be incorporated by reference into any filing under the Securities Act of 1933 or the Securities Exchange Act of 1934.</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4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2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rPr>
              <w:t>RUSH ENTERPRISES, INC.</w:t>
            </w:r>
          </w:p>
        </w:tc>
      </w:tr>
      <w:tr>
        <w:trPr>
          <w:trHeight w:val="607"/>
        </w:trPr>
        <w:tc>
          <w:tcPr>
            <w:tcW w:w="60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30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May 9, 2025</w:t>
            </w:r>
          </w:p>
        </w:tc>
        <w:tc>
          <w:tcPr>
            <w:tcW w:w="4260" w:type="dxa"/>
            <w:vAlign w:val="bottom"/>
            <w:gridSpan w:val="2"/>
          </w:tcPr>
          <w:p>
            <w:pPr>
              <w:ind w:left="1960"/>
              <w:spacing w:after="0"/>
              <w:rPr>
                <w:sz w:val="20"/>
                <w:szCs w:val="20"/>
                <w:color w:val="auto"/>
              </w:rPr>
            </w:pPr>
            <w:r>
              <w:rPr>
                <w:rFonts w:ascii="Times New Roman" w:cs="Times New Roman" w:eastAsia="Times New Roman" w:hAnsi="Times New Roman"/>
                <w:sz w:val="18"/>
                <w:szCs w:val="18"/>
                <w:color w:val="auto"/>
                <w:w w:val="99"/>
              </w:rPr>
              <w:t>By: /S/ W.M. “RUSTY” RUSH</w:t>
            </w:r>
          </w:p>
        </w:tc>
      </w:tr>
      <w:tr>
        <w:trPr>
          <w:trHeight w:val="20"/>
        </w:trPr>
        <w:tc>
          <w:tcPr>
            <w:tcW w:w="60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960" w:type="dxa"/>
            <w:vAlign w:val="bottom"/>
            <w:shd w:val="clear" w:color="auto" w:fill="000000"/>
          </w:tcPr>
          <w:p>
            <w:pPr>
              <w:spacing w:after="0" w:line="20" w:lineRule="exact"/>
              <w:rPr>
                <w:sz w:val="1"/>
                <w:szCs w:val="1"/>
                <w:color w:val="auto"/>
              </w:rPr>
            </w:pPr>
          </w:p>
        </w:tc>
      </w:tr>
    </w:tbl>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W.M. “Rusty” Rush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800" w:right="3400" w:hanging="596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xml:space="preserve">May 9, 2025 By: </w:t>
      </w:r>
      <w:r>
        <w:rPr>
          <w:rFonts w:ascii="Times New Roman" w:cs="Times New Roman" w:eastAsia="Times New Roman" w:hAnsi="Times New Roman"/>
          <w:sz w:val="18"/>
          <w:szCs w:val="18"/>
          <w:u w:val="single" w:color="auto"/>
          <w:color w:val="auto"/>
        </w:rPr>
        <w:t>/S/ STEVEN L. KELLER</w:t>
      </w:r>
      <w:r>
        <w:rPr>
          <w:rFonts w:ascii="Times New Roman" w:cs="Times New Roman" w:eastAsia="Times New Roman" w:hAnsi="Times New Roman"/>
          <w:sz w:val="18"/>
          <w:szCs w:val="18"/>
          <w:color w:val="auto"/>
        </w:rPr>
        <w:t xml:space="preserve"> Steven L. Keller</w:t>
      </w:r>
    </w:p>
    <w:p>
      <w:pPr>
        <w:spacing w:after="0" w:line="2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W.M. “Rusty” Rush, certify that:</w:t>
      </w:r>
    </w:p>
    <w:p>
      <w:pPr>
        <w:spacing w:after="0" w:line="225" w:lineRule="exact"/>
        <w:rPr>
          <w:sz w:val="20"/>
          <w:szCs w:val="20"/>
          <w:color w:val="auto"/>
        </w:rPr>
      </w:pPr>
    </w:p>
    <w:p>
      <w:pPr>
        <w:ind w:left="540" w:hanging="532"/>
        <w:spacing w:after="0"/>
        <w:tabs>
          <w:tab w:leader="none" w:pos="5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97"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spacing w:after="0"/>
        <w:tabs>
          <w:tab w:leader="none" w:pos="780" w:val="left"/>
          <w:tab w:leader="none" w:pos="562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9,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W.M. “Rusty” Rush</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Chief Executive Officer and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31.2</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L. Keller, certify that:</w:t>
      </w:r>
    </w:p>
    <w:p>
      <w:pPr>
        <w:spacing w:after="0" w:line="225" w:lineRule="exact"/>
        <w:rPr>
          <w:sz w:val="20"/>
          <w:szCs w:val="20"/>
          <w:color w:val="auto"/>
        </w:rPr>
      </w:pPr>
    </w:p>
    <w:p>
      <w:pPr>
        <w:ind w:left="540" w:hanging="532"/>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Rush Enterprises, Inc.;</w:t>
      </w:r>
    </w:p>
    <w:p>
      <w:pPr>
        <w:spacing w:after="0" w:line="225" w:lineRule="exact"/>
        <w:rPr>
          <w:rFonts w:ascii="Times New Roman" w:cs="Times New Roman" w:eastAsia="Times New Roman" w:hAnsi="Times New Roman"/>
          <w:sz w:val="18"/>
          <w:szCs w:val="18"/>
          <w:color w:val="auto"/>
        </w:rPr>
      </w:pPr>
    </w:p>
    <w:p>
      <w:pPr>
        <w:ind w:firstLine="8"/>
        <w:spacing w:after="0" w:line="282" w:lineRule="auto"/>
        <w:tabs>
          <w:tab w:leader="none" w:pos="5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8"/>
        <w:spacing w:after="0" w:line="282" w:lineRule="auto"/>
        <w:tabs>
          <w:tab w:leader="none" w:pos="59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8"/>
        <w:spacing w:after="0" w:line="266" w:lineRule="auto"/>
        <w:tabs>
          <w:tab w:leader="none" w:pos="61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5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31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656"/>
        <w:spacing w:after="0" w:line="282" w:lineRule="auto"/>
        <w:tabs>
          <w:tab w:leader="none" w:pos="1384"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373"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8"/>
        <w:spacing w:after="0" w:line="282" w:lineRule="auto"/>
        <w:tabs>
          <w:tab w:leader="none" w:pos="59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452"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20" w:firstLine="656"/>
        <w:spacing w:after="0" w:line="282" w:lineRule="auto"/>
        <w:tabs>
          <w:tab w:leader="none" w:pos="1347"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800" w:right="3400" w:hanging="5966"/>
        <w:spacing w:after="0" w:line="261" w:lineRule="auto"/>
        <w:tabs>
          <w:tab w:leader="none" w:pos="78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 xml:space="preserve">May 9, 2025 By: </w:t>
      </w:r>
      <w:r>
        <w:rPr>
          <w:rFonts w:ascii="Times New Roman" w:cs="Times New Roman" w:eastAsia="Times New Roman" w:hAnsi="Times New Roman"/>
          <w:sz w:val="18"/>
          <w:szCs w:val="18"/>
          <w:u w:val="single" w:color="auto"/>
          <w:color w:val="auto"/>
        </w:rPr>
        <w:t>/S/ STEVEN L. KELLER</w:t>
      </w:r>
      <w:r>
        <w:rPr>
          <w:rFonts w:ascii="Times New Roman" w:cs="Times New Roman" w:eastAsia="Times New Roman" w:hAnsi="Times New Roman"/>
          <w:sz w:val="18"/>
          <w:szCs w:val="18"/>
          <w:color w:val="auto"/>
        </w:rPr>
        <w:t xml:space="preserve"> Steven L. Keller</w:t>
      </w:r>
    </w:p>
    <w:p>
      <w:pPr>
        <w:spacing w:after="0" w:line="2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32.1</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W.M. “Rusty” Rush, President, Chief Executive Officer and Chairman of the Board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18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W.M. “RUSTY” RUSH</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W.M. “Rusty” Rush</w:t>
      </w:r>
    </w:p>
    <w:p>
      <w:pPr>
        <w:spacing w:after="0" w:line="9" w:lineRule="exact"/>
        <w:rPr>
          <w:sz w:val="20"/>
          <w:szCs w:val="20"/>
          <w:color w:val="auto"/>
        </w:rPr>
      </w:pPr>
    </w:p>
    <w:p>
      <w:pPr>
        <w:ind w:left="518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tab/>
        <w:t>President, Chief Executive Officer and</w:t>
      </w:r>
    </w:p>
    <w:p>
      <w:pPr>
        <w:spacing w:after="0" w:line="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Chairman of the Board</w:t>
      </w:r>
    </w:p>
    <w:p>
      <w:pPr>
        <w:spacing w:after="0" w:line="9" w:lineRule="exact"/>
        <w:rPr>
          <w:sz w:val="20"/>
          <w:szCs w:val="20"/>
          <w:color w:val="auto"/>
        </w:rPr>
      </w:pPr>
    </w:p>
    <w:p>
      <w:pPr>
        <w:ind w:left="518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tab/>
        <w:t>May 9, 2025</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auto"/>
        </w:rPr>
        <w:t>EXHIBIT 32.2</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of Rush Enterprises, Inc.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Form 10-Q for the period ended March 31, 2025, as filed with the Securities and Exchange Commission on the date hereof (the “</w:t>
      </w:r>
      <w:r>
        <w:rPr>
          <w:rFonts w:ascii="Times New Roman" w:cs="Times New Roman" w:eastAsia="Times New Roman" w:hAnsi="Times New Roman"/>
          <w:sz w:val="18"/>
          <w:szCs w:val="18"/>
          <w:u w:val="single" w:color="auto"/>
          <w:color w:val="auto"/>
        </w:rPr>
        <w:t>Report</w:t>
      </w:r>
      <w:r>
        <w:rPr>
          <w:rFonts w:ascii="Times New Roman" w:cs="Times New Roman" w:eastAsia="Times New Roman" w:hAnsi="Times New Roman"/>
          <w:sz w:val="18"/>
          <w:szCs w:val="18"/>
          <w:color w:val="auto"/>
        </w:rPr>
        <w:t>”), I, Steven L. Keller, Chief Financial Officer and Treasurer of the Company, certify, pursuant to 18 U.S.C. Section 1350, as adopted pursuant to Section 906 of the Sarbanes-Oxley Act of 2002, that:</w:t>
      </w:r>
    </w:p>
    <w:p>
      <w:pPr>
        <w:spacing w:after="0" w:line="176" w:lineRule="exact"/>
        <w:rPr>
          <w:sz w:val="20"/>
          <w:szCs w:val="20"/>
          <w:color w:val="auto"/>
        </w:rPr>
      </w:pPr>
    </w:p>
    <w:p>
      <w:pPr>
        <w:ind w:left="1300" w:hanging="644"/>
        <w:spacing w:after="0"/>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52" w:lineRule="exact"/>
        <w:rPr>
          <w:rFonts w:ascii="Times New Roman" w:cs="Times New Roman" w:eastAsia="Times New Roman" w:hAnsi="Times New Roman"/>
          <w:sz w:val="18"/>
          <w:szCs w:val="18"/>
          <w:color w:val="auto"/>
        </w:rPr>
      </w:pPr>
    </w:p>
    <w:p>
      <w:pPr>
        <w:ind w:left="1300" w:hanging="644"/>
        <w:spacing w:after="0" w:line="282" w:lineRule="auto"/>
        <w:tabs>
          <w:tab w:leader="none" w:pos="13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4" w:lineRule="exact"/>
        <w:rPr>
          <w:sz w:val="20"/>
          <w:szCs w:val="20"/>
          <w:color w:val="auto"/>
        </w:rPr>
      </w:pPr>
    </w:p>
    <w:p>
      <w:pPr>
        <w:ind w:left="5180"/>
        <w:spacing w:after="0"/>
        <w:tabs>
          <w:tab w:leader="none" w:pos="57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STEVEN L. KELLER</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Name: Steven L. Keller</w:t>
      </w:r>
    </w:p>
    <w:p>
      <w:pPr>
        <w:spacing w:after="0" w:line="9" w:lineRule="exact"/>
        <w:rPr>
          <w:sz w:val="20"/>
          <w:szCs w:val="20"/>
          <w:color w:val="auto"/>
        </w:rPr>
      </w:pPr>
    </w:p>
    <w:p>
      <w:pPr>
        <w:ind w:left="5180"/>
        <w:spacing w:after="0"/>
        <w:tabs>
          <w:tab w:leader="none" w:pos="5720" w:val="left"/>
        </w:tabs>
        <w:rPr>
          <w:sz w:val="20"/>
          <w:szCs w:val="20"/>
          <w:color w:val="auto"/>
        </w:rPr>
      </w:pPr>
      <w:r>
        <w:rPr>
          <w:rFonts w:ascii="Times New Roman" w:cs="Times New Roman" w:eastAsia="Times New Roman" w:hAnsi="Times New Roman"/>
          <w:sz w:val="18"/>
          <w:szCs w:val="18"/>
          <w:color w:val="auto"/>
        </w:rPr>
        <w:t>Title:</w:t>
        <w:tab/>
        <w:t>Chief Financial Officer and Treasurer</w:t>
      </w:r>
    </w:p>
    <w:p>
      <w:pPr>
        <w:spacing w:after="0" w:line="9" w:lineRule="exact"/>
        <w:rPr>
          <w:sz w:val="20"/>
          <w:szCs w:val="20"/>
          <w:color w:val="auto"/>
        </w:rPr>
      </w:pPr>
    </w:p>
    <w:p>
      <w:pPr>
        <w:ind w:left="5180"/>
        <w:spacing w:after="0"/>
        <w:tabs>
          <w:tab w:leader="none" w:pos="5720" w:val="left"/>
        </w:tabs>
        <w:rPr>
          <w:sz w:val="20"/>
          <w:szCs w:val="20"/>
          <w:color w:val="auto"/>
        </w:rPr>
      </w:pPr>
      <w:r>
        <w:rPr>
          <w:rFonts w:ascii="Times New Roman" w:cs="Times New Roman" w:eastAsia="Times New Roman" w:hAnsi="Times New Roman"/>
          <w:sz w:val="18"/>
          <w:szCs w:val="18"/>
          <w:color w:val="auto"/>
        </w:rPr>
        <w:t>Date:</w:t>
        <w:tab/>
        <w:t>May 9, 2025</w:t>
      </w:r>
    </w:p>
    <w:p>
      <w:pPr>
        <w:spacing w:after="0" w:line="200" w:lineRule="exact"/>
        <w:rPr>
          <w:sz w:val="20"/>
          <w:szCs w:val="20"/>
          <w:color w:val="auto"/>
        </w:rPr>
      </w:pPr>
    </w:p>
    <w:p>
      <w:pPr>
        <w:spacing w:after="0" w:line="22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1."/>
      <w:numFmt w:val="decimal"/>
      <w:start w:val="1"/>
    </w:lvl>
    <w:lvl w:ilvl="1">
      <w:lvlJc w:val="left"/>
      <w:lvlText w:val="(%2)"/>
      <w:numFmt w:val="lowerLetter"/>
      <w:start w:val="1"/>
    </w:lvl>
  </w:abstractNum>
  <w:abstractNum w:abstractNumId="6">
    <w:nsid w:val="7545E146"/>
    <w:multiLevelType w:val="hybridMultilevel"/>
    <w:lvl w:ilvl="0">
      <w:lvlJc w:val="left"/>
      <w:lvlText w:val="%1."/>
      <w:numFmt w:val="decimal"/>
      <w:start w:val="1"/>
    </w:lvl>
    <w:lvl w:ilvl="1">
      <w:lvlJc w:val="left"/>
      <w:lvlText w:val="(%2)"/>
      <w:numFmt w:val="lowerLetter"/>
      <w:start w:val="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4" Type="http://schemas.openxmlformats.org/officeDocument/2006/relationships/image" Target="media/image23.png"/><Relationship Id="rId30" Type="http://schemas.openxmlformats.org/officeDocument/2006/relationships/hyperlink" Target="http://www.sec.gov/Archives/edgar/data/1012019/000110465908051789/a08-18770_1ex3d1.htm" TargetMode="External"/><Relationship Id="rId31" Type="http://schemas.openxmlformats.org/officeDocument/2006/relationships/hyperlink" Target="http://www.sec.gov/Archives/edgar/data/1012019/000143774923022761/ex_553893.htm" TargetMode="External"/><Relationship Id="rId32" Type="http://schemas.openxmlformats.org/officeDocument/2006/relationships/hyperlink" Target="http://www.sec.gov/Archives/edgar/data/1012019/000143774913006455/rusha20130517_8kex3-1.htm" TargetMode="External"/><Relationship Id="rId33" Type="http://schemas.openxmlformats.org/officeDocument/2006/relationships/hyperlink" Target="http://www.sec.gov/Archives/edgar/data/1012019/000143774921013172/ex_25271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2025-05-09T15:37:49Z</dcterms:created>
  <dcterms:modified xsi:type="dcterms:W3CDTF">2025-05-09T15:37:49Z</dcterms:modified>
</cp:coreProperties>
</file>