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216535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250825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 One)</w:t>
      </w:r>
    </w:p>
    <w:p>
      <w:pPr>
        <w:spacing w:after="0" w:line="212" w:lineRule="exact"/>
        <w:rPr>
          <w:sz w:val="20"/>
          <w:szCs w:val="20"/>
          <w:color w:val="auto"/>
        </w:rPr>
      </w:pPr>
    </w:p>
    <w:p>
      <w:pPr>
        <w:ind w:left="1460" w:right="2960" w:hanging="890"/>
        <w:spacing w:after="0" w:line="262" w:lineRule="auto"/>
        <w:tabs>
          <w:tab w:leader="none" w:pos="1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2010</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0"/>
          <w:szCs w:val="20"/>
          <w:color w:val="auto"/>
        </w:rPr>
      </w:pPr>
    </w:p>
    <w:p>
      <w:pPr>
        <w:ind w:left="1460" w:right="2980" w:hanging="850"/>
        <w:spacing w:after="0" w:line="262" w:lineRule="auto"/>
        <w:tabs>
          <w:tab w:leader="none" w:pos="14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0"/>
          <w:szCs w:val="20"/>
          <w:color w:val="auto"/>
        </w:rPr>
      </w:pPr>
    </w:p>
    <w:p>
      <w:pPr>
        <w:ind w:left="146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Commission File Number 0-20797</w:t>
      </w:r>
    </w:p>
    <w:p>
      <w:pPr>
        <w:spacing w:after="0" w:line="16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43"/>
          <w:szCs w:val="43"/>
          <w:b w:val="1"/>
          <w:bCs w:val="1"/>
          <w:color w:val="auto"/>
        </w:rPr>
        <w:t>RUSH ENTERPRISES, INC.</w:t>
      </w:r>
    </w:p>
    <w:p>
      <w:pPr>
        <w:spacing w:after="0" w:line="5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118" w:right="239" w:bottom="208" w:gutter="0" w:footer="0" w:header="0"/>
        </w:sectPr>
      </w:pPr>
    </w:p>
    <w:p>
      <w:pPr>
        <w:spacing w:after="0" w:line="20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82" w:lineRule="exact"/>
        <w:rPr>
          <w:sz w:val="20"/>
          <w:szCs w:val="20"/>
          <w:color w:val="auto"/>
        </w:rPr>
      </w:pPr>
    </w:p>
    <w:p>
      <w:pPr>
        <w:sectPr>
          <w:pgSz w:w="11900" w:h="16838" w:orient="portrait"/>
          <w:cols w:equalWidth="0" w:num="2">
            <w:col w:w="5420" w:space="720"/>
            <w:col w:w="5280"/>
          </w:cols>
          <w:pgMar w:left="240" w:top="118" w:right="239" w:bottom="208" w:gutter="0" w:footer="0" w:header="0"/>
          <w:type w:val="continuous"/>
        </w:sectPr>
      </w:pPr>
    </w:p>
    <w:p>
      <w:pPr>
        <w:jc w:val="center"/>
        <w:ind w:right="1420"/>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(Zip Code)</w:t>
      </w:r>
    </w:p>
    <w:p>
      <w:pPr>
        <w:spacing w:after="0" w:line="166"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(830) 626-5200</w:t>
      </w:r>
    </w:p>
    <w:p>
      <w:pPr>
        <w:spacing w:after="0" w:line="27"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0" w:lineRule="exact"/>
        <w:rPr>
          <w:sz w:val="20"/>
          <w:szCs w:val="20"/>
          <w:color w:val="auto"/>
        </w:rPr>
      </w:pPr>
    </w:p>
    <w:p>
      <w:pPr>
        <w:jc w:val="both"/>
        <w:ind w:left="340" w:right="1760" w:firstLine="373"/>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38" w:lineRule="exact"/>
        <w:rPr>
          <w:sz w:val="20"/>
          <w:szCs w:val="20"/>
          <w:color w:val="auto"/>
        </w:rPr>
      </w:pPr>
    </w:p>
    <w:p>
      <w:pPr>
        <w:jc w:val="both"/>
        <w:ind w:left="340" w:right="1760" w:firstLine="373"/>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40" w:lineRule="exact"/>
        <w:rPr>
          <w:sz w:val="20"/>
          <w:szCs w:val="20"/>
          <w:color w:val="auto"/>
        </w:rPr>
      </w:pPr>
    </w:p>
    <w:p>
      <w:pPr>
        <w:jc w:val="both"/>
        <w:ind w:left="340" w:right="1760" w:firstLine="37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18" w:right="239" w:bottom="208" w:gutter="0" w:footer="0" w:header="0"/>
          <w:type w:val="continuous"/>
        </w:sectPr>
      </w:pPr>
    </w:p>
    <w:p>
      <w:pPr>
        <w:spacing w:after="0" w:line="1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25" w:lineRule="exact"/>
        <w:rPr>
          <w:sz w:val="20"/>
          <w:szCs w:val="20"/>
          <w:color w:val="auto"/>
        </w:rPr>
      </w:pPr>
    </w:p>
    <w:p>
      <w:pPr>
        <w:sectPr>
          <w:pgSz w:w="11900" w:h="16838" w:orient="portrait"/>
          <w:cols w:equalWidth="0" w:num="4">
            <w:col w:w="1960" w:space="320"/>
            <w:col w:w="1400" w:space="320"/>
            <w:col w:w="3360" w:space="200"/>
            <w:col w:w="3860"/>
          </w:cols>
          <w:pgMar w:left="240" w:top="118" w:right="239" w:bottom="208" w:gutter="0" w:footer="0" w:header="0"/>
          <w:type w:val="continuous"/>
        </w:sectPr>
      </w:pPr>
    </w:p>
    <w:p>
      <w:pPr>
        <w:ind w:left="340" w:right="1760" w:firstLine="373"/>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May 5,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4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Class A Common Stock, $.01 Par Value</w:t>
            </w:r>
          </w:p>
        </w:tc>
        <w:tc>
          <w:tcPr>
            <w:tcW w:w="460" w:type="dxa"/>
            <w:vAlign w:val="bottom"/>
          </w:tcPr>
          <w:p>
            <w:pPr>
              <w:spacing w:after="0"/>
              <w:rPr>
                <w:sz w:val="16"/>
                <w:szCs w:val="16"/>
                <w:color w:val="auto"/>
              </w:rPr>
            </w:pPr>
          </w:p>
        </w:tc>
        <w:tc>
          <w:tcPr>
            <w:tcW w:w="4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26,592,389</w:t>
            </w: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B Common Stock, $.01 Par Value</w:t>
            </w:r>
          </w:p>
        </w:tc>
        <w:tc>
          <w:tcPr>
            <w:tcW w:w="49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10,692,141</w:t>
            </w:r>
          </w:p>
        </w:tc>
        <w:tc>
          <w:tcPr>
            <w:tcW w:w="176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208"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9"/>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27"/>
            <w:vMerge w:val="restart"/>
          </w:tcPr>
          <w:p>
            <w:pPr>
              <w:ind w:left="340"/>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FINANCIAL INFORMATION</w:t>
              </w:r>
            </w:hyperlink>
          </w:p>
        </w:tc>
        <w:tc>
          <w:tcPr>
            <w:tcW w:w="276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8660" w:type="dxa"/>
            <w:vAlign w:val="bottom"/>
            <w:gridSpan w:val="27"/>
            <w:vMerge w:val="continue"/>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Financial Statements</w:t>
              </w:r>
            </w:hyperlink>
          </w:p>
        </w:tc>
        <w:tc>
          <w:tcPr>
            <w:tcW w:w="800" w:type="dxa"/>
            <w:vAlign w:val="bottom"/>
            <w:tcBorders>
              <w:top w:val="single" w:sz="8" w:color="0000EE"/>
            </w:tcBorders>
            <w:gridSpan w:val="3"/>
          </w:tcPr>
          <w:p>
            <w:pPr>
              <w:spacing w:after="0"/>
              <w:rPr>
                <w:sz w:val="24"/>
                <w:szCs w:val="24"/>
                <w:color w:val="auto"/>
              </w:rPr>
            </w:pPr>
          </w:p>
        </w:tc>
        <w:tc>
          <w:tcPr>
            <w:tcW w:w="526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2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 March 31, 2010 (unaudited) and December 31, 2009</w:t>
              </w:r>
            </w:hyperlink>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Income — For the Three Months Ended March 31, 2010 and 2009</w:t>
              </w:r>
            </w:hyperlink>
          </w:p>
        </w:tc>
        <w:tc>
          <w:tcPr>
            <w:tcW w:w="11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(unaudited)</w:t>
              </w:r>
            </w:hyperlink>
          </w:p>
        </w:tc>
        <w:tc>
          <w:tcPr>
            <w:tcW w:w="6880" w:type="dxa"/>
            <w:vAlign w:val="bottom"/>
            <w:gridSpan w:val="17"/>
          </w:tcPr>
          <w:p>
            <w:pPr>
              <w:spacing w:after="0"/>
              <w:rPr>
                <w:sz w:val="17"/>
                <w:szCs w:val="17"/>
                <w:color w:val="auto"/>
              </w:rPr>
            </w:pPr>
          </w:p>
        </w:tc>
        <w:tc>
          <w:tcPr>
            <w:tcW w:w="2760" w:type="dxa"/>
            <w:vAlign w:val="bottom"/>
            <w:gridSpan w:val="2"/>
          </w:tcPr>
          <w:p>
            <w:pPr>
              <w:jc w:val="right"/>
              <w:ind w:right="184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Cash Flows — For the Three Months Ended March 31, 2010 and 2009</w:t>
              </w:r>
            </w:hyperlink>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(unaudited)</w:t>
              </w:r>
            </w:hyperlink>
          </w:p>
        </w:tc>
        <w:tc>
          <w:tcPr>
            <w:tcW w:w="6880" w:type="dxa"/>
            <w:vAlign w:val="bottom"/>
            <w:gridSpan w:val="17"/>
          </w:tcPr>
          <w:p>
            <w:pPr>
              <w:spacing w:after="0"/>
              <w:rPr>
                <w:sz w:val="17"/>
                <w:szCs w:val="17"/>
                <w:color w:val="auto"/>
              </w:rPr>
            </w:pPr>
          </w:p>
        </w:tc>
        <w:tc>
          <w:tcPr>
            <w:tcW w:w="2760" w:type="dxa"/>
            <w:vAlign w:val="bottom"/>
            <w:gridSpan w:val="2"/>
          </w:tcPr>
          <w:p>
            <w:pPr>
              <w:jc w:val="right"/>
              <w:ind w:right="18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23"/>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Consolidated Financial Statements (unaudited)</w:t>
              </w:r>
            </w:hyperlink>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120" w:type="dxa"/>
            <w:vAlign w:val="bottom"/>
            <w:gridSpan w:val="3"/>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4. Controls and Procedures</w:t>
              </w:r>
            </w:hyperlink>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27"/>
          </w:tcPr>
          <w:p>
            <w:pPr>
              <w:ind w:left="340"/>
              <w:spacing w:after="0"/>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PART II. OTHER INFORMATION</w:t>
              </w:r>
            </w:hyperlink>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5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1. Legal Proceedings</w:t>
              </w:r>
            </w:hyperlink>
          </w:p>
        </w:tc>
        <w:tc>
          <w:tcPr>
            <w:tcW w:w="5560" w:type="dxa"/>
            <w:vAlign w:val="bottom"/>
            <w:gridSpan w:val="11"/>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1A. Risk Factors</w:t>
              </w:r>
            </w:hyperlink>
          </w:p>
        </w:tc>
        <w:tc>
          <w:tcPr>
            <w:tcW w:w="6240" w:type="dxa"/>
            <w:vAlign w:val="bottom"/>
            <w:gridSpan w:val="14"/>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2. Unregistered Sales of Equity Securities and Use of Proceeds</w:t>
              </w:r>
            </w:hyperlink>
          </w:p>
        </w:tc>
        <w:tc>
          <w:tcPr>
            <w:tcW w:w="3220" w:type="dxa"/>
            <w:vAlign w:val="bottom"/>
            <w:gridSpan w:val="6"/>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3. Defaults Upon Senior Securities</w:t>
              </w:r>
            </w:hyperlink>
          </w:p>
        </w:tc>
        <w:tc>
          <w:tcPr>
            <w:tcW w:w="5240" w:type="dxa"/>
            <w:vAlign w:val="bottom"/>
            <w:gridSpan w:val="9"/>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Item 4. Submission of Matters to a Vote of Security Holders</w:t>
              </w:r>
            </w:hyperlink>
          </w:p>
        </w:tc>
        <w:tc>
          <w:tcPr>
            <w:tcW w:w="3800" w:type="dxa"/>
            <w:vAlign w:val="bottom"/>
            <w:gridSpan w:val="7"/>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5. Other Information</w:t>
              </w:r>
            </w:hyperlink>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Item 6. Exhibits</w:t>
              </w:r>
            </w:hyperlink>
          </w:p>
        </w:tc>
        <w:tc>
          <w:tcPr>
            <w:tcW w:w="700" w:type="dxa"/>
            <w:vAlign w:val="bottom"/>
            <w:tcBorders>
              <w:top w:val="single" w:sz="8" w:color="0000EE"/>
            </w:tcBorders>
            <w:gridSpan w:val="3"/>
          </w:tcPr>
          <w:p>
            <w:pPr>
              <w:spacing w:after="0"/>
              <w:rPr>
                <w:sz w:val="24"/>
                <w:szCs w:val="24"/>
                <w:color w:val="auto"/>
              </w:rPr>
            </w:pPr>
          </w:p>
        </w:tc>
        <w:tc>
          <w:tcPr>
            <w:tcW w:w="6260" w:type="dxa"/>
            <w:vAlign w:val="bottom"/>
            <w:gridSpan w:val="15"/>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8660" w:type="dxa"/>
            <w:vAlign w:val="bottom"/>
            <w:gridSpan w:val="27"/>
          </w:tcPr>
          <w:p>
            <w:pPr>
              <w:ind w:left="340"/>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SIGNATURES</w:t>
              </w:r>
            </w:hyperlink>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Exhibit 31.1</w:t>
            </w:r>
          </w:p>
        </w:tc>
        <w:tc>
          <w:tcPr>
            <w:tcW w:w="240" w:type="dxa"/>
            <w:vAlign w:val="bottom"/>
            <w:tcBorders>
              <w:top w:val="single" w:sz="8" w:color="0000EE"/>
            </w:tcBorders>
          </w:tcPr>
          <w:p>
            <w:pPr>
              <w:spacing w:after="0"/>
              <w:rPr>
                <w:sz w:val="24"/>
                <w:szCs w:val="24"/>
                <w:color w:val="auto"/>
              </w:rPr>
            </w:pPr>
          </w:p>
        </w:tc>
        <w:tc>
          <w:tcPr>
            <w:tcW w:w="716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 31.2</w:t>
            </w:r>
          </w:p>
        </w:tc>
        <w:tc>
          <w:tcPr>
            <w:tcW w:w="74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 32.1</w:t>
            </w:r>
          </w:p>
        </w:tc>
        <w:tc>
          <w:tcPr>
            <w:tcW w:w="74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Exhibit 32.2</w:t>
            </w: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380" w:type="dxa"/>
            <w:vAlign w:val="bottom"/>
            <w:gridSpan w:val="2"/>
          </w:tcPr>
          <w:p>
            <w:pPr>
              <w:spacing w:after="0"/>
              <w:rPr>
                <w:sz w:val="24"/>
                <w:szCs w:val="24"/>
                <w:color w:val="auto"/>
              </w:rPr>
            </w:pPr>
          </w:p>
        </w:tc>
        <w:tc>
          <w:tcPr>
            <w:tcW w:w="860" w:type="dxa"/>
            <w:vAlign w:val="bottom"/>
            <w:tcBorders>
              <w:top w:val="single" w:sz="8" w:color="0000EE"/>
            </w:tcBorders>
            <w:gridSpan w:val="4"/>
          </w:tcPr>
          <w:p>
            <w:pPr>
              <w:spacing w:after="0"/>
              <w:rPr>
                <w:sz w:val="24"/>
                <w:szCs w:val="24"/>
                <w:color w:val="auto"/>
              </w:rPr>
            </w:pPr>
          </w:p>
        </w:tc>
        <w:tc>
          <w:tcPr>
            <w:tcW w:w="4200" w:type="dxa"/>
            <w:vAlign w:val="bottom"/>
            <w:gridSpan w:val="15"/>
          </w:tcPr>
          <w:p>
            <w:pPr>
              <w:jc w:val="center"/>
              <w:ind w:left="323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59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12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440" w:type="dxa"/>
            <w:vAlign w:val="bottom"/>
            <w:tcBorders>
              <w:top w:val="single" w:sz="8" w:color="auto"/>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60" w:type="dxa"/>
            <w:vAlign w:val="bottom"/>
            <w:gridSpan w:val="6"/>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MARCH 31, 2010 AND DECEMBER 31, 2009</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w:t>
            </w:r>
          </w:p>
        </w:tc>
        <w:tc>
          <w:tcPr>
            <w:tcW w:w="4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145,840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149,095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48,449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294,269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269,955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3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2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3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472,983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4"/>
                <w:szCs w:val="24"/>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355,636</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354,749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140,836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140,836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Pr>
          <w:p>
            <w:pPr>
              <w:spacing w:after="0"/>
              <w:rPr>
                <w:sz w:val="24"/>
                <w:szCs w:val="24"/>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1,101</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1,007,310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977,297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92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214,664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189,256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59,402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5,821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30,142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39,232</w:t>
            </w:r>
          </w:p>
        </w:tc>
        <w:tc>
          <w:tcPr>
            <w:tcW w:w="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40,843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349,261</w:t>
            </w:r>
          </w:p>
        </w:tc>
        <w:tc>
          <w:tcPr>
            <w:tcW w:w="3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313,801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60" w:type="dxa"/>
            <w:vAlign w:val="bottom"/>
          </w:tcPr>
          <w:p>
            <w:pPr>
              <w:spacing w:after="0"/>
              <w:rPr>
                <w:sz w:val="24"/>
                <w:szCs w:val="24"/>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144,999</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153,957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29,155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28,714</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53,188</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54,600</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920" w:type="dxa"/>
            <w:vAlign w:val="bottom"/>
            <w:gridSpan w:val="8"/>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2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outstanding in 2010 and 2009</w:t>
            </w:r>
          </w:p>
        </w:tc>
        <w:tc>
          <w:tcPr>
            <w:tcW w:w="1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920" w:type="dxa"/>
            <w:vAlign w:val="bottom"/>
            <w:gridSpan w:val="8"/>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 shares authorized; 26,531,316 class A shares and 10,691,589 class B shares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in 2010; and 26,437,848 class A shares and 10,689,375 class B shares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20" w:type="dxa"/>
            <w:vAlign w:val="bottom"/>
            <w:gridSpan w:val="8"/>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in 2009</w:t>
            </w:r>
          </w:p>
        </w:tc>
        <w:tc>
          <w:tcPr>
            <w:tcW w:w="1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190,360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at cost: 1,639,843 class B shares</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(17,948)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257,906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255,669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430,707</w:t>
            </w:r>
          </w:p>
        </w:tc>
        <w:tc>
          <w:tcPr>
            <w:tcW w:w="3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426,225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20" w:type="dxa"/>
            <w:vAlign w:val="bottom"/>
            <w:gridSpan w:val="8"/>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1,007,310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977,297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40" w:type="dxa"/>
            <w:vAlign w:val="bottom"/>
            <w:gridSpan w:val="7"/>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43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1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180,604</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195,988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Parts and service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105,101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109,218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Construction equipment sales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5,623</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and rental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14,032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Finance and insurance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1,542</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308,396</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329,086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166,346</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182,827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Parts and service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64,535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Construction equipment sales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4,882</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and rental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12,250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11,928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248,013</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267,386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60,383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61,700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51,668</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5,022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1,408</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3,614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1,377</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2,237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ind w:left="20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37,171</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36,991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37,745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7"/>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2,237</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10,248</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000" w:type="dxa"/>
            <w:vAlign w:val="bottom"/>
            <w:gridSpan w:val="6"/>
          </w:tcPr>
          <w:p>
            <w:pPr>
              <w:ind w:left="600"/>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related to employee stock options and employee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rPr>
              <w:t>stock purchases</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1,856</w:t>
            </w: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(Benefit) provision for deferred income tax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(9,580)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Change in inventories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(22,602)</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7,715</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(1,587)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(8,579)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(11,681)</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41,827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(9,921)</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Change in other assets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(9,898)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(10,893)</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Draws (payments) on floor plan notes payable,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25,408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3,080</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(8,181)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(2,372)</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shares relating to employee stock options and employee stock purchases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18,324</w:t>
            </w:r>
          </w:p>
        </w:tc>
        <w:tc>
          <w:tcPr>
            <w:tcW w:w="2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(3,255)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(14,797)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149,095</w:t>
            </w: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146,411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145,840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131,614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3,194</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ind w:left="20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2,904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 Principles of Consolidation and Basis of Presentation</w:t>
      </w:r>
    </w:p>
    <w:p>
      <w:pPr>
        <w:spacing w:after="0" w:line="189"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2009. Results of operations for interim periods are not necessarily indicative of results that may be expected for any other interim periods or the full fiscal year.</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 Goodwill and Other Intangible Assets</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units to be its operating segments, the Truck segment and the Construction Equipment segment, which is the level at which segment management regularly reviews operating results and makes resource allocation decisions.</w:t>
      </w:r>
    </w:p>
    <w:p>
      <w:pPr>
        <w:spacing w:after="0" w:line="145"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each reporting unit discounted at rates consistent with the cost of capital specific to the reporting unit.</w:t>
      </w:r>
    </w:p>
    <w:p>
      <w:pPr>
        <w:spacing w:after="0" w:line="146"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during the fourth quarter of each year and no impairment write down was required in the fourth quarter of 2009. However, the Company cannot predict the occurrence of certain events that might adversely affect the reported value of goodwill in the future. Such events may include, but are not limited to, strategic decisions made in response to economic and competitive conditions or another significant decrease in general economic conditions in the United States.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 Commitments and Contingencies</w:t>
      </w:r>
    </w:p>
    <w:p>
      <w:pPr>
        <w:spacing w:after="0" w:line="189"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The Company is contingently liable to finance companies for certain notes initiated on behalf of such finance companies related to the sale of commercial vehicles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47"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In 2006, the Company signed an agreement with Titan Technology Partners to implement SAP enterprise software and a new SAP dealership management system. The cost of the SAP software and implementation is estimated at approximately $34.0 million, of which $29.8 million was expended at March 31, 2010.</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 Earnings Per Share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0"/>
        </w:trPr>
        <w:tc>
          <w:tcPr>
            <w:tcW w:w="6620" w:type="dxa"/>
            <w:vAlign w:val="bottom"/>
          </w:tcPr>
          <w:p>
            <w:pPr>
              <w:spacing w:after="0"/>
              <w:rPr>
                <w:sz w:val="18"/>
                <w:szCs w:val="18"/>
                <w:color w:val="auto"/>
              </w:rPr>
            </w:pPr>
          </w:p>
        </w:tc>
        <w:tc>
          <w:tcPr>
            <w:tcW w:w="1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March 31, 2010</w:t>
            </w: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6"/>
              </w:rPr>
              <w:t>March 31, 2009</w:t>
            </w:r>
          </w:p>
        </w:tc>
        <w:tc>
          <w:tcPr>
            <w:tcW w:w="80" w:type="dxa"/>
            <w:vAlign w:val="bottom"/>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net income available to common</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2,237,000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2,863,000</w:t>
            </w:r>
          </w:p>
        </w:tc>
      </w:tr>
      <w:tr>
        <w:trPr>
          <w:trHeight w:val="216"/>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adjusted weighted average shares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37,170,720</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36,991,417</w:t>
            </w:r>
          </w:p>
        </w:tc>
      </w:tr>
      <w:tr>
        <w:trPr>
          <w:trHeight w:val="216"/>
        </w:trPr>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and Director stock options and restricted share awards</w:t>
            </w:r>
          </w:p>
        </w:tc>
        <w:tc>
          <w:tcPr>
            <w:tcW w:w="2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573,888</w:t>
            </w: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282,434</w:t>
            </w:r>
          </w:p>
        </w:tc>
      </w:tr>
      <w:tr>
        <w:trPr>
          <w:trHeight w:val="198"/>
        </w:trPr>
        <w:tc>
          <w:tcPr>
            <w:tcW w:w="66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Denominator for diluted earnings per share, adjusted weighted average shares and</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assumed conversions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37,744,608</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37,273,851</w:t>
            </w: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periods ended March 31, 2010 and 2009 that were not included in the computation of diluted earnings per share because the effect would have been anti-dilutive are as follows: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March 31, 2009</w:t>
            </w:r>
          </w:p>
        </w:tc>
      </w:tr>
      <w:tr>
        <w:trPr>
          <w:trHeight w:val="210"/>
        </w:trPr>
        <w:tc>
          <w:tcPr>
            <w:tcW w:w="6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2,184,401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2,068,615</w:t>
            </w:r>
          </w:p>
        </w:tc>
      </w:tr>
      <w:tr>
        <w:trPr>
          <w:trHeight w:val="20"/>
        </w:trPr>
        <w:tc>
          <w:tcPr>
            <w:tcW w:w="6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2,184,401</w:t>
            </w:r>
          </w:p>
        </w:tc>
        <w:tc>
          <w:tcPr>
            <w:tcW w:w="34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2,068,615</w:t>
            </w:r>
          </w:p>
        </w:tc>
      </w:tr>
      <w:tr>
        <w:trPr>
          <w:trHeight w:val="20"/>
        </w:trPr>
        <w:tc>
          <w:tcPr>
            <w:tcW w:w="6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 — Stock Options and Restricted Stock Awards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187"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(“SG&amp;A”) expense, was $1.9 million for the three months ended March 31, 2010 and $1.3 million for the three months ended March 31, 2009. As of March 31, 2010, there was $6.9 million of total unrecognized compensation cost related to non-vested share-based compensation arrangements granted under the Rush Enterprises, Inc. Long-Term Incentive Plan to be recognized over a weighted-average period of 3.4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6 — Investments</w:t>
      </w:r>
    </w:p>
    <w:p>
      <w:pPr>
        <w:spacing w:after="0" w:line="189"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The Company assesses its investments for impairment on a quarterly basis.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7"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49"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As of March 31, 2010 and March 31, 2009, the Company held $7.6 million of auction rate securities with underlying tax-exempt municipal bonds with stated maturities of 21 years. These bonds have credit wrap insurance and a credit rating of A by Standard &amp; Poor’s.</w:t>
      </w:r>
    </w:p>
    <w:p>
      <w:pPr>
        <w:spacing w:after="0" w:line="136"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 believes that the credit quality and fair value of the auction rate securities it holds has not been negatively impacted; therefore, no impairment charges have been recorded as of March 31, 2010. As of March 31, 2010,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ASC 820-10, “Fair Value Measurements and Disclosures.” If the credit quality of these investments deteriorates, or adverse developments occur in the bond insurance market, the Company may be required to record an impairment charge on these investments in the future.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7 — Segment Information</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 currently has two reportable business segments: the Truck segment and the Construction Equipment segment. The Truck segment operates a network of Rush Truck Centers that provide an integrated one-stop source for the trucking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truck centers are deemed as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49"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The Construction Equipment segment operates two full-service John Deere dealerships that serve the Southeast Texas area. Construction Equipment dealership operations include the retail sale of new and used construction equipment, aftermarket parts and service facilities, equipment rentals, and the financing of new and used construction equipment.</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evaluates performance based on income before income taxes not including extraordinary items.</w:t>
      </w:r>
    </w:p>
    <w:p>
      <w:pPr>
        <w:spacing w:after="0" w:line="166" w:lineRule="exact"/>
        <w:rPr>
          <w:sz w:val="20"/>
          <w:szCs w:val="20"/>
          <w:color w:val="auto"/>
        </w:rPr>
      </w:pPr>
    </w:p>
    <w:p>
      <w:pPr>
        <w:jc w:val="both"/>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The Company accounts for intersegment sales and transfers as if the sales or transfers were to third parties, that is, at current market prices. There were no material intersegment sales during the quarters ended March 31, 2010 and 2009.</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March 31, 2010 and 2009 (in thousands):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Truck</w:t>
            </w: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10"/>
        </w:trPr>
        <w:tc>
          <w:tcPr>
            <w:tcW w:w="4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2010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295,758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308,396</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3,614</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955,181</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26,900</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25,229</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1,007,310</w:t>
            </w:r>
          </w:p>
        </w:tc>
      </w:tr>
      <w:tr>
        <w:trPr>
          <w:trHeight w:val="198"/>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313,244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329,086</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4,102</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945,372</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31,094</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27,935</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1,004,401</w:t>
            </w:r>
          </w:p>
        </w:tc>
      </w:tr>
    </w:tbl>
    <w:p>
      <w:pPr>
        <w:spacing w:after="0" w:line="152"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Revenues from segments below the quantitative thresholds are attributable to three operating segments of the Company. Those segments include a tire retailing company, an insurance company and a guest ranch operation. None of those segments has ever met any of the quantitative thresholds for determining reportable segments.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 — Income Taxes</w:t>
      </w:r>
    </w:p>
    <w:p>
      <w:pPr>
        <w:spacing w:after="0" w:line="189"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The Company included accruals for unrecognized income tax benefits totaling $1.8 million as a component of accrued liabilities as of March 31, 2010 and December 31, 2009. The unrecognized tax benefits of $1.8 million at March 31, 2010, if recognized, would impact the Company’s effective tax rate. An unfavorable settlement would require a charge to income tax expense and a favorable resolution would be recognized as a reduction to income tax expense. As of March 31, 2010, the Company accrued interest of $135,000 related to unrecognized tax benefits in the current provision for income taxes. No amounts were accrued for penalties.</w:t>
      </w:r>
    </w:p>
    <w:p>
      <w:pPr>
        <w:spacing w:after="0" w:line="161"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March 31, 2010, the tax years ended December 31, 2008 through 2009 remained subject to audit by federal tax authorities and the tax years ended December 31, 2005 through 2009, remained subject to audit by state tax authorities.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 — Fair Value of Financial Instruments</w:t>
      </w:r>
    </w:p>
    <w:p>
      <w:pPr>
        <w:spacing w:after="0" w:line="189"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Certain methods and assumptions were used by the Company in estimating the fair value of financial instruments at March 31, 2010. The carrying value of current assets and current liabilities approximates the fair value due to the short maturity of these items.</w:t>
      </w:r>
    </w:p>
    <w:p>
      <w:pPr>
        <w:spacing w:after="0" w:line="149"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 Recent Accounting Pronouncements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On January 21, 2010, the Financial Accounting Standards Board (“FASB”) issued Accounting Standards Update (“ASU”) 2010-06. ASU 2010-06 amends ASC 820, “Fair Value Measurements,” and adds new requirements for disclosures about transfers into and out of Levels 1 and 2 in the fair value hierarchy and additional disclosures about purchases, sales, issuances and settlements relating to Level 3 fair value measurements. Additionally, it clarifies existing fair value disclosures about the level of disaggregation about inputs and valuation techniques used to measure fair value. ASU 2010-06 is generally effective for the first reporting period beginning after December 15, 2009. The adoption of ASU 2010-06 did not have an impact on the Company’s consolidated results of operations and financial position.</w:t>
      </w:r>
    </w:p>
    <w:p>
      <w:pPr>
        <w:spacing w:after="0" w:line="162"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The Company adopted the provisions of ASC 855, “Subsequent Events,” during the third quarter of 2009. ASC 855 establishes standards of accounting for and disclosure of transactions and events that occur after the balance sheet date but before the financial statements are issued and requires the disclosure, among other things, of the date through which an entity has evaluated subsequent events. In February 2010, the FASB issued ASU No. 2010-09 which amended ASC 855. This amendment, which was effective upon issuance, removed the requirement for SEC registrants to disclose the date through which such registrants have evaluated subsequent events.</w:t>
      </w:r>
    </w:p>
    <w:p>
      <w:pPr>
        <w:sectPr>
          <w:pgSz w:w="11900" w:h="16838" w:orient="portrait"/>
          <w:cols w:equalWidth="0" w:num="1">
            <w:col w:w="10219"/>
          </w:cols>
          <w:pgMar w:left="240" w:top="415" w:right="1440" w:bottom="1099"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099"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jc w:val="both"/>
        <w:ind w:left="340" w:right="559" w:firstLine="373"/>
        <w:spacing w:after="0" w:line="251"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2009 as well as future growth rates and margins for certain of our products and services, future demand for our products and services, risks associated with the current recession and its impact on capital markets and liquidity, competitive factors, general economic conditions, cyclicality, market conditions in the new and used commercial vehicle and equipment markets, customer relations, relationships with vendors, approval by various manufacturers and governmental agencies of the acquisition of Lake City International,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66" w:lineRule="exact"/>
        <w:rPr>
          <w:sz w:val="20"/>
          <w:szCs w:val="20"/>
          <w:color w:val="auto"/>
        </w:rPr>
      </w:pPr>
    </w:p>
    <w:p>
      <w:pPr>
        <w:jc w:val="both"/>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Note Regarding Trademarks Used in This Form 10-Q</w:t>
      </w:r>
    </w:p>
    <w:p>
      <w:pPr>
        <w:spacing w:after="0" w:line="200" w:lineRule="exact"/>
        <w:rPr>
          <w:sz w:val="20"/>
          <w:szCs w:val="20"/>
          <w:color w:val="auto"/>
        </w:rPr>
      </w:pPr>
    </w:p>
    <w:p>
      <w:pPr>
        <w:jc w:val="both"/>
        <w:ind w:left="340" w:right="559" w:firstLine="373"/>
        <w:spacing w:after="0" w:line="252"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PACCAR, Inc. GMC</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General Motors Corporation. Hino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Hino Motors, Ltd. UD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Nissan Diesel Motor Co., Ltd. Isuzu</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Isuzu Motors Limited. John Deere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Deere &amp; Company. Kenworth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PACCAR, Inc. doing business as Kenworth Truck Company. Volvo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Volvo Trademark Holding AB. Freightliner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Freightliner Corporation. Mack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Mack Trucks, Inc. Navistar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Navistar International Corporation. Caterpillar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Caterpillar, Inc. Cummins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Cummins Engine Company, Inc. PacLease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PACCAR Leasing Corporation. CitiCapital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Citicorp. Ford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Ford Motor Company. Cummins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Cummins Intellectual Property, Inc. Eaton is a registered trademark of Eaton Corporation. Arvin Meritor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Meritor Technology, Inc. Case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Case Corporation. Komatsu</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Kabushiki Kaisha Komatsu Seisakusho Corporation Japan. The CIT Group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CIT Group Holdings, Inc. JPMorgan Chase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JP Morgan Chase &amp; Co. SAP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SAP Aktiengesellschaft. International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Navistar International Transportation Corp. Blue Bird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Autocar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Shem, LLC. IC Bus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IC Bus, LLC. Collins Bus Corporation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is a registered trademark of Collins Bus Corporation.</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Rush Enterprises, Inc. was incorporated in 1965 under the laws of the State of Texas. The Company operates a Truck segment and a Construction Equipment segment. The Company conducts business through numerous subsidiaries, all of which it wholly owns, directly or indirectly. Its principal offices are located at 555 IH 35 South, New Braunfels, Texas 78130.</w:t>
      </w:r>
    </w:p>
    <w:p>
      <w:pPr>
        <w:spacing w:after="0" w:line="136"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 is a full-service, integrated retailer of premium transportation and construction equipment and related services. The Truck segment operates a regional network of Rush Truck Centers. Rush Truck Centers primarily sell commercial vehicles manufactured by Peterbilt, International, GMC, Hino, UD, Ford, Isuzu or Blue Bird. The Construction Equipment segment operates two John Deere equipment centers in Southeast Texas. Through its strategically located network of Rush Truck Centers and its Rush Equipment Centers, the Company provides one-stop service for the needs of its customers, including retail sales of new and used commercial vehicles and construction equipment, aftermarket parts sales, service and repair facilities, and financing, leasing and rental, and insurance products.</w:t>
      </w:r>
    </w:p>
    <w:p>
      <w:pPr>
        <w:spacing w:after="0" w:line="149"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50 Rush Truck Centers in Alabama, Arizona, California, Colorado, Florida, Georgia, New Mexico, North Carolina, Oklahoma, Tennessee and Texas.</w:t>
      </w:r>
    </w:p>
    <w:p>
      <w:pPr>
        <w:spacing w:after="0" w:line="153"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Centers as we extend our geographic focus through strategic acquisitions of new locations and expansions of our existing facilities and product lines.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Planned Acquisition of Lake City International</w:t>
      </w:r>
    </w:p>
    <w:p>
      <w:pPr>
        <w:spacing w:after="0" w:line="189"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On March 19, 2010, the Company entered into a definitive asset purchase agreement with Lake City Companies, LLC and certain of its subsidiaries and affiliates (collectively “Lake City International”) to acquire certain assets of Lake City International. Lake City International operates a commercial truck, bus and agricultural equipment sales, service, parts, finance and leasing business representing multiple brands, including International, Autocar, Mitsubishi Fuso, IC Bus and Collins Bus Corporation. Lake City International currently operates five dealerships in Utah, five dealerships in Idaho and a dealership in Oregon. A copy of the asset purchase agreement is available in our Current Report on Form 8-K filed on March 25, 2010.</w:t>
      </w:r>
    </w:p>
    <w:p>
      <w:pPr>
        <w:spacing w:after="0" w:line="161"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The purchase price for the assets of Lake City International will be approximately $76.5 million, comprised of approximately $44.0 million for assets and goodwill and $34.5 million for real estate less a $2.0 million payment from an affiliate of Lake City International for Rush assuming contingent liabilities of the affiliate. At closing, the Company anticipates that it will finance approximately $28.5 million of the purchase price under its floor plan, accounts receivable and lease and rental truck financing arrangements. The Company intends to finance a portion of the purchase price of the real estate shortly after the closing of the acquisition.</w:t>
      </w:r>
    </w:p>
    <w:p>
      <w:pPr>
        <w:spacing w:after="0" w:line="147"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The completion of the Lake City International acquisition is subject to a number of conditions, including the approval of the Company to act as an authorized dealer of the products sold by Lake City International and our ability to obtain motor vehicle dealer licenses for the dealerships we are acquiring.</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parties have the right to terminate the Lake City International acquisition if it is not completed by August 31, 2010.</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00"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149" w:lineRule="exact"/>
        <w:rPr>
          <w:sz w:val="20"/>
          <w:szCs w:val="20"/>
          <w:color w:val="auto"/>
        </w:rPr>
      </w:pPr>
    </w:p>
    <w:p>
      <w:pPr>
        <w:jc w:val="both"/>
        <w:ind w:left="340" w:right="559" w:firstLine="373"/>
        <w:spacing w:after="0" w:line="273" w:lineRule="auto"/>
        <w:rPr>
          <w:sz w:val="20"/>
          <w:szCs w:val="20"/>
          <w:color w:val="auto"/>
        </w:rPr>
      </w:pPr>
      <w:r>
        <w:rPr>
          <w:rFonts w:ascii="Times New Roman" w:cs="Times New Roman" w:eastAsia="Times New Roman" w:hAnsi="Times New Roman"/>
          <w:sz w:val="17"/>
          <w:szCs w:val="17"/>
          <w:color w:val="auto"/>
        </w:rPr>
        <w:t>Goodwill is reviewed for impairment utilizing a two-step process. The first step requires the Company to compare the fair value of the reporting unit, which is the same as the segment, to the respective carrying value. The Company considers each of its segments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32" w:lineRule="exact"/>
        <w:rPr>
          <w:sz w:val="20"/>
          <w:szCs w:val="20"/>
          <w:color w:val="auto"/>
        </w:rPr>
      </w:pPr>
    </w:p>
    <w:p>
      <w:pPr>
        <w:jc w:val="both"/>
        <w:ind w:left="340" w:right="559" w:firstLine="373"/>
        <w:spacing w:after="0" w:line="272" w:lineRule="auto"/>
        <w:rPr>
          <w:sz w:val="20"/>
          <w:szCs w:val="20"/>
          <w:color w:val="auto"/>
        </w:rPr>
      </w:pPr>
      <w:r>
        <w:rPr>
          <w:rFonts w:ascii="Times New Roman" w:cs="Times New Roman" w:eastAsia="Times New Roman" w:hAnsi="Times New Roman"/>
          <w:sz w:val="17"/>
          <w:szCs w:val="17"/>
          <w:color w:val="auto"/>
        </w:rPr>
        <w:t>The Company determines the fair value of its reporting units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132"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The Company performs an annual impairment review of goodwill during the fourth quarter of each year. Management is not aware of any impairment charge that may currently be required; however, a change in economic conditions, if one occurs, could result in an impairment charge in future periods.</w:t>
      </w:r>
    </w:p>
    <w:p>
      <w:pPr>
        <w:spacing w:after="0" w:line="149"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and Insurance Revenue Recognition</w:t>
      </w:r>
    </w:p>
    <w:p>
      <w:pPr>
        <w:spacing w:after="0" w:line="187"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Finance income related to the sale of a unit is recognized when the finance contract is sold to a finance company. The Company arranges financing for customers through various institutions and receives financing fees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w:t>
      </w:r>
    </w:p>
    <w:p>
      <w:pPr>
        <w:spacing w:after="0" w:line="157"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The Company may be charged back for unearned financing or insurance contract fees in the event of early termination of the contracts by customers. In the case of finance contracts, a customer may prepay, or fail to pay, thereby terminating the underlying contract. Revenues from these fees are recorded at the time of the sale of a unit and a reserve for future amounts which might be charged back is established based on historical chargeback results and the termination provisions of the applicable contracts, including the impact of refinance and default rates on retail finance contracts and cancellation rates on other insurance products. The Company’s finance and insurance revenue recognition accounting methodology contains uncertainties because it requires management to make assumptions and to apply judgment to estimate future charge-backs. The Company’s estimate of future charge-backs is based primarily on historical experience. The actual amount of historical charge-backs has not been significantly different than the Company’s estimates.</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Insurance Accruals</w:t>
      </w:r>
    </w:p>
    <w:p>
      <w:pPr>
        <w:spacing w:after="0" w:line="200"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47"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00"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49"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43"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87"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40"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Operations.</w:t>
      </w: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the Company’s historical results of operations for the three months ended March 31, 2010 and 2009.</w:t>
      </w:r>
    </w:p>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900" w:type="dxa"/>
            <w:vAlign w:val="bottom"/>
          </w:tcPr>
          <w:p>
            <w:pPr>
              <w:spacing w:after="0"/>
              <w:rPr>
                <w:sz w:val="24"/>
                <w:szCs w:val="24"/>
                <w:color w:val="auto"/>
              </w:rPr>
            </w:pPr>
          </w:p>
        </w:tc>
        <w:tc>
          <w:tcPr>
            <w:tcW w:w="24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2010</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Parts and service</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equipment sales</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and used commercial vehicles and the absorption rate (revenue in millions):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2010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vs</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2009</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1,032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420" w:type="dxa"/>
            <w:vAlign w:val="bottom"/>
            <w:vMerge w:val="continue"/>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1"/>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124.0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vehicle revenue:</w:t>
            </w:r>
            <w:r>
              <w:rPr>
                <w:rFonts w:ascii="Times New Roman" w:cs="Times New Roman" w:eastAsia="Times New Roman" w:hAnsi="Times New Roman"/>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Absorption rate:</w:t>
            </w:r>
          </w:p>
        </w:tc>
        <w:tc>
          <w:tcPr>
            <w:tcW w:w="2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55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5" w:right="1440" w:bottom="1440" w:gutter="0" w:footer="0" w:header="0"/>
        </w:sectPr>
      </w:pPr>
    </w:p>
    <w:p>
      <w:pPr>
        <w:spacing w:after="0" w:line="3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Absorption Rate</w:t>
      </w:r>
    </w:p>
    <w:p>
      <w:pPr>
        <w:spacing w:after="0" w:line="187"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its commercial vehicle dealerships, and considers 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97.0% absorption rate for the first quarter of 2010 and 97.2% absorption rate for the first quarter in 2009.</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 2010 Compared to Three Months Ended March 31, 2009</w:t>
      </w:r>
    </w:p>
    <w:p>
      <w:pPr>
        <w:spacing w:after="0" w:line="202"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 expects that 2010 will be another difficult year for commercial vehicle sales. Trucks with engines that meet the 2010 diesel emissions regulations are now beginning to reach dealership lots. This new technology comes with a significant price increase, which will limit demand. As a result, the Company believes that commercial vehicle sales will remain sluggish in the second and third quarters of this year. However, if general economic conditions continue to improve and credit is made available on more favorable terms, commercial vehicle demand should increase.</w:t>
      </w:r>
    </w:p>
    <w:p>
      <w:pPr>
        <w:spacing w:after="0" w:line="143"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The Company and industry analysts expect a strong recovery in commercial vehicle retail sales in 2011, 2012 and 2013. A.C.T. Research Co., LLC (“A.C.T. Research”), a truck industry data and forecasting service provider, currently predicts U.S. retail sales of Class 8 trucks of approximately 105,700 units in 2010, a 9.0% increase from the number of deliveries in 2009, and 174,800 units in 2011. A.C.T. Research currently predicts U.S. retail sales of Class 4, 5, 6, and 7 medium-duty commercial vehicles of approximately 123,500 units in 2010, a 10.9% increase from the number of deliveries in 2009, and 151,000 units in 2011.</w:t>
      </w:r>
    </w:p>
    <w:p>
      <w:pPr>
        <w:spacing w:after="0" w:line="147"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We are beginning to see some encouraging signs of recovery in our industry. Parts, service and body shop revenues in the Truck segment increased 10.0% compared to the fourth quarter of 2009. This resulted in the Company’s dealership absorption rate increasing from 92.4% to 97.0% for the same time period. As excess truck capacity and freight demand equalize, more trucks are being put into service, which is increasing the need for maintenance and repair. The Company is optimistic that the increase in our parts and service operations is an early indicator that a sustainable recovery has begun and should continue throughout the year. The Company’s overall parts, service and body shop sales decreased 3.8% in the first quarter of 2010 compared to the first quarter of 2009.</w:t>
      </w:r>
    </w:p>
    <w:p>
      <w:pPr>
        <w:spacing w:after="0" w:line="162"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In the first quarter of 2010, the Company’s construction equipment segment revenue decreased by 21.4% compared to the first quarter of 2009. This decrease was largely attributable to the continued weak construction market in the Houston area. Current industry forecasts suggest that construction equipment sales in 2010 will decline approximately 26% compared to 2009 in the Company’s area of responsibility during 2010.</w:t>
      </w:r>
    </w:p>
    <w:p>
      <w:pPr>
        <w:spacing w:after="0" w:line="140"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The Company recently entered into an agreement to acquire certain assets of Lake City International — a dealer group with 11 locations in Utah, Idaho and Oregon. This will provide the Company with a significant entry into three western states and expand its network to 60 truck centers. More importantly it provides an excellent platform for the Company to build its Navistar Division.</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Revenues decreased $20.7 million, or 6.3%, in the first quarter of 2010 compared to the first quarter of 2009. Sales of new and used commercial vehicles decreased $15.4 million, or 7.8%, in the first quarter of 2010 compared to the first quarter of 2009. The Company expects commercial vehicle sales to remain sluggish in the second and third quarters of 2010 as new technology begins to gradually gain acceptance in the marketplace and excess commercial vehicle capacity is absorbed by increasing freight volumes. The Company does not believe any significant increase in retail commercial vehicle sales will occur until late in 2010 at the earliest.</w:t>
      </w:r>
    </w:p>
    <w:p>
      <w:pPr>
        <w:spacing w:after="0" w:line="147"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 sold 969 heavy-duty units in the first quarter of 2010, a 6.1% decrease compared to 1,032 heavy-duty trucks in the first quarter of 2009. According to A.C.T. Research, the U.S. Class 8 truck market increased 9.0% in the first quarter of 2010 compared to the first quarter of 2009. The Company’s share of the U.S. Class 8 truck sales market was approximately 4.1% in 2009. The Company expects its share to range between 4.1% and 4.4% of the U.S. Class 8 truck market in 2010, which would result in the sale of approximately 4,300 to 4,700 Class 8 trucks based on current U.S. retail sales estimates of 105,700 units.</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 sold 611 medium-duty commercial vehicles, including 98 buses, in the first quarter of 2010, a 19.0% decrease compared to 754 medium-duty commercial vehicles in the first quarter of 2009. A.C.T. Research estimates that unit sales of Class 4 through 7 commercial vehicles in the U.S. increased approximately 3.0% in the first quarter of 2010 compared to the first quarter of 2009. In 2009, the Company achieved a 2.4% share of the Class 4 through 7 commercial vehicle sales market in the U.S. The Company expects its share to range between 2.4% and 2.5% of the U.S. Class 4 through 7 commercial vehicle sales market in 2010. This market share percentage would result in the sale of approximately 2,900 to 3,100 of Class 4 through 7 commercial vehicles in 2010 based on current U.S. retail sales estimates of approximately 123,500 units.</w:t>
      </w:r>
    </w:p>
    <w:p>
      <w:pPr>
        <w:spacing w:after="0" w:line="162"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The Company sold 686 used commercial vehicles in the first quarter of 2010, an 18.9% increase compared to 577 used commercial vehicles in the first quarter of 2009. The Company expects demand for used commercial vehicles to remain high in 2010, but sales will be largely dependent upon our ability to acquire quality used trucks and maintain an adequate used truck inventory. The Company expects to sell approximately 2,900 to 3,200 used commercial vehicles in 2010.</w:t>
      </w:r>
    </w:p>
    <w:p>
      <w:pPr>
        <w:spacing w:after="0" w:line="140"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Parts and service sales decreased $4.1 million, or 3.8%, in the first quarter of 2010 compared to the first quarter of 2009. The Company expects parts and service sales to begin to increase in 2010 if general economic conditions in the United States continue to improve. As excess truck capacity equalizes with freight demand, more trucks are being put into service, therefore increasing the need for maintenance and repair.</w:t>
      </w:r>
    </w:p>
    <w:p>
      <w:pPr>
        <w:spacing w:after="0" w:line="140"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Sales of new and used construction equipment decreased $1.4 million, or 19.7%, in the first quarter of 2010 compared to the first quarter of 2009. This decrease was largely attributable to the continued weakness of the construction market in the Houston area. John Deere’s rolling twelve month average market share in the Houston area construction equipment market increased to 23.5% as of March 31, 2010, from a rolling twelve month average of 17.6% as of March 31, 2009. In 2010, the Company expects new construction equipment unit sales in our area of responsibility to decrease approximately 25% to 28%, compared to 2009.</w:t>
      </w:r>
    </w:p>
    <w:p>
      <w:pPr>
        <w:spacing w:after="0" w:line="161"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Truck lease and rental revenues increased $0.6 million, or 4.1%, in the first quarter of 2010 compared to the first quarter of 2009. This increase in lease and rental revenue is consistent with management’s expectations, considering the increased number of units put into service in the lease and rental fleet during 2009 and 2010. The Company expects lease and rental revenue to increase 8% to 12% during 2010, compared to 2009 based on the increase of units in the lease and rental fleet.</w:t>
      </w:r>
    </w:p>
    <w:p>
      <w:pPr>
        <w:spacing w:after="0" w:line="140"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Finance and insurance revenues decreased $0.2 million, or 10.1%, in the first quarter of 2010 compared to the first quarter of 2009. The decrease in finance and insurance revenue is a direct result of the decline in commercial vehicle sales and the tight credit market. The Company expects finance and insurance revenue to fluctuate proportionately with the new Class 8 truck market in 2010. Finance and insurance revenues have limited direct costs and, therefore, contribute a disproportionate share of the Company’s operating profits.</w:t>
      </w:r>
    </w:p>
    <w:p>
      <w:pPr>
        <w:spacing w:after="0" w:line="143"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Other income decreased $0.2 million, or 11.4% in the first quarter of 2010 compared to the first quarter of 2009. Other income consists primarily of the gain on sale realized on trucks from the lease and rental fleet, commissions earned from John Deere for direct manufacturer sales into our area of responsibility, document fees related to commercial vehicle sales, mineral royalties and purchase discounts.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87"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Gross profit decreased $1.3 million, or 2.1%, in the first quarter of 2010 compared to the first quarter of 2009. Gross profit as a percentage of sales increased to 19.6% in the first quarter of 2010 from 18.7% in the first quarter of 2009. This slight increase in gross profit as a percentage of sales is primarily a result of a change in our product sales mix. Commercial vehicle sales, a lower margin revenue item, decreased as a percentage of total revenue to 58.6% in 2010, from 59.6% in 2009. Parts and service revenue, a higher margin revenue item, increased as a percentage of total revenue to 34.1% in 2010, from 33.2% in 2009.</w:t>
      </w:r>
    </w:p>
    <w:p>
      <w:pPr>
        <w:spacing w:after="0" w:line="143"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Gross margins on Class 8 truck sales slightly increased to 7.2% in the first quarter of 2010 from 7.0% in the first quarter of 2009. In 2010, the Company expects overall gross margins from Class 8 truck sales of approximately 5.0% to 7.0%, but this will largely depend upon general economic conditions and the availability of credit to retail customers.</w:t>
      </w: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Gross margins on medium-duty commercial vehicle sales slightly decreased to 6.3% in the first quarter of 2010 from 6.4% in the first quarter of 2009. Gross margins on medium-duty commercial vehicles are difficult to forecast accurately because gross margins vary significantly depending upon the mix of fleet and non-fleet purchasers and types of medium-duty commercial vehicles sold. For 2010, the Company expects overall gross margins from medium-duty commercial vehicle sales of approximately 5.0% to 7.0%, but this will largely depend upon general economic conditions and the availability of credit to retail customers.</w:t>
      </w:r>
    </w:p>
    <w:p>
      <w:pPr>
        <w:spacing w:after="0" w:line="161"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13.8% in the first quarter of 2010 from 5.7% in the first quarter of 2009. This increase was largely attributable to increased demand for high quality used commercial vehicles due to the increased cost of new commercial vehicles and increased availability of credit. The Company expects margins on used commercial vehicles will be in the range of approximately 8.5% to 10.5% during 2010, but this will largely depend upon general economic conditions and the availability of credit to retail customers.</w:t>
      </w:r>
    </w:p>
    <w:p>
      <w:pPr>
        <w:spacing w:after="0" w:line="143"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Gross margins from the Company’s parts, service and body shop operations decreased to 38.6% in the first quarter of 2010 from 39.2% in the first quarter of 2009. Gross profit for the parts, service and body shop departments decreased slightly to $40.6 million in the first quarter of 2010 from $42.8 million in the first quarter of 2009. The Company expects gross margins on parts, service and body shop operations of approximately 39.0% to 41.0% during 2010.</w:t>
      </w:r>
    </w:p>
    <w:p>
      <w:pPr>
        <w:spacing w:after="0" w:line="140"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Gross margins on new and used construction equipment sales increased to 13.2% in the first quarter of 2010 from 11.7% in the first quarter of 2009. This increase in gross margin is primarily attributable to a change in our product sales mix. The Company expects gross margins for 2010 to range from approximately 9.0% to 11.0% due to the dramatic decrease in demand for construction equipment in the Houston market, but this will largely depend upon general economic conditions and the availability of credit to retail customers.</w:t>
      </w:r>
    </w:p>
    <w:p>
      <w:pPr>
        <w:spacing w:after="0" w:line="157"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12.7% in the first quarter of 2010 from approximately 11.5% in the first quarter of 2009. The increase in the gross margin from lease and rental sales is primarily due to the increased utilization of trucks in our rental fleet. The Company expects gross margins from lease and rental sales of approximately 11.0% to 15.0% during 2010 depending upon whether general economic conditions continue to improve.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5" w:lineRule="exact"/>
        <w:rPr>
          <w:sz w:val="20"/>
          <w:szCs w:val="20"/>
          <w:color w:val="auto"/>
        </w:rPr>
      </w:pPr>
    </w:p>
    <w:p>
      <w:pPr>
        <w:jc w:val="both"/>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jc w:val="both"/>
        <w:ind w:left="340" w:right="559" w:firstLine="373"/>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$0.4 million, or 0.7%, in the first quarter of 2010 compared to the first quarter of 2009. SG&amp;A expenses as a percentage of sales increased to 16.8% in the first quarter of 2010 from 15.8% in the first quarter of 2009. Prior to 2009, SG&amp;A expenses as a percentage of sales historically ranged from 10.0% to 15.0%. In general, when new and used commercial vehicle revenue decreases as a percentage of revenue, SG&amp;A expenses as a percentage of revenue will be at, or exceed, the higher end of this range. The Company earns federal income tax credits on the sale of alternative fuel vehicles to tax-exempt entities. A portion of these tax credits are passed back to the tax-exempt customer and are reflected as SG&amp;A expense to the Company. In the first quarter of 2010, the selling portion of SG&amp;A expenses, which consists primarily of commissions on commercial vehicle and construction equipment sales, increased 7.8% and the general and administrative portion of SG&amp;A expenses decreased 1.4% compared to the first quarter of 2009. For 2010, the Company expects the selling portion of SG&amp;A expenses to be approximately 25% to 28% of new and used commercial vehicle gross profit. The selling portion of SG&amp;A expenses varies based on the gross profit derived from commercial vehicle sales.</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87"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Net interest expense decreased $0.2 million, or 13.3%, in the first quarter of 2010 compared to the first quarter of 2009. The Company expects net interest expense for the remainder of 2010 to increase compared to 2009 based on anticipated increases in inventory levels and impending modification to the Company’s floor plan agreement in the second half of 2010, which may result in increased floor plan interest.</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00"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Income before income taxes decreased $0.5 million, or 11.9%, in the first quarter of 2010 compared to the first quarter of 2009, as a result of the factors described above. The Company believes that income before income taxes in 2010 will increase slightly compared to 2009 based on the factors described above.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ind w:left="340" w:right="559" w:firstLine="373"/>
        <w:spacing w:after="0" w:line="253" w:lineRule="auto"/>
        <w:rPr>
          <w:sz w:val="20"/>
          <w:szCs w:val="20"/>
          <w:color w:val="auto"/>
        </w:rPr>
      </w:pPr>
      <w:r>
        <w:rPr>
          <w:rFonts w:ascii="Times New Roman" w:cs="Times New Roman" w:eastAsia="Times New Roman" w:hAnsi="Times New Roman"/>
          <w:sz w:val="18"/>
          <w:szCs w:val="18"/>
          <w:color w:val="auto"/>
        </w:rPr>
        <w:t>Income taxes increased $0.1 million, or 11.1%, in the first quarter of 2010 compared to the first quarter of 2009. The Company provided for taxes at a 42.0% effective rate in the first quarter of 2010 compared to an effective rate of 39.0% in the first quarter of 2009. Prior to the application of alternative fuel tax credits, the Company’s tax rate during the first quarter of 2010 increased primarily due to state regulations that assess taxes based on gross profit and non-deductible expenses. Historically, the Company’s effective tax rate has been approximately 36% to 38% of pretax income. When pretax income is low, state taxes that are calculated based on gross profit and non-deductible expenses become a larger percentage of pretax income, thereby increasing the Company’s effective tax rate in relation to its historical rates. If pretax income for 2010 is similar to pretax income in 2009, the Company expects its effective tax rate to be approximately 40.0% to 42.0% before the application of alternative fuel tax credits. In the first quarter of 2010, the Company received $0.1 million in tax credits for sales of alternative fuel vehicles to tax-exempt entities, compared to $0.4 million in the first quarter of 2009. The Company’s effective tax rate may vary significantly depending on the number of alternative fuel vehicles sold to tax-exempt entities.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of new facilities. Historically, these cash requirements have been met through the retention of profits and borrowings under our floor plan arrangements. As of March 31, 2010, the Company had working capital of approximately $152.9 million, including $145.8 million in cash available to fund our operations. The Company believes that these funds are sufficient to meet its short-term and long-term cash requirements.</w:t>
      </w:r>
    </w:p>
    <w:p>
      <w:pPr>
        <w:spacing w:after="0" w:line="147"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The Company has a secured line of credit that provides for a maximum borrowing of $8.0 million. There were no advances outstanding under this secured line of credit at March 31, 2010, however, $7.1 million was pledged to secure various letters of credit related to self-insurance products, leaving $0.9 million available for future borrowings as of March 31, 2010.</w:t>
      </w:r>
    </w:p>
    <w:p>
      <w:pPr>
        <w:spacing w:after="0" w:line="149"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At March 31, 2010, the Company was in compliance with all debt covenants. The Company does not anticipate any breach of the covenants in the foreseeable future.</w:t>
      </w:r>
    </w:p>
    <w:p>
      <w:pPr>
        <w:spacing w:after="0" w:line="140"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Titan Technology Partners is currently implementing SAP enterprise software and a new SAP dealership management system for the Company. The total cost of the SAP software and implementation is estimated to be approximately $34.0 million. As of March 31, 2010, the Company had cumulative expenditures of $29.8 million related to the SAP project. The Company expects to spend approximately $4.0 million to $4.5 million related to the SAP project during the remainder of 2010.</w:t>
      </w:r>
    </w:p>
    <w:p>
      <w:pPr>
        <w:spacing w:after="0" w:line="140" w:lineRule="exact"/>
        <w:rPr>
          <w:sz w:val="20"/>
          <w:szCs w:val="20"/>
          <w:color w:val="auto"/>
        </w:rPr>
      </w:pPr>
    </w:p>
    <w:p>
      <w:pPr>
        <w:jc w:val="both"/>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The Company also expects to make capital expenditures for recurring items such as computers, shop tools and equipment and vehicles of approximately $8.0 million during 2010.</w:t>
      </w:r>
    </w:p>
    <w:p>
      <w:pPr>
        <w:spacing w:after="0" w:line="135" w:lineRule="exact"/>
        <w:rPr>
          <w:sz w:val="20"/>
          <w:szCs w:val="20"/>
          <w:color w:val="auto"/>
        </w:rPr>
      </w:pPr>
    </w:p>
    <w:p>
      <w:pPr>
        <w:jc w:val="both"/>
        <w:ind w:left="340" w:right="559" w:firstLine="373"/>
        <w:spacing w:after="0" w:line="253" w:lineRule="auto"/>
        <w:rPr>
          <w:sz w:val="20"/>
          <w:szCs w:val="20"/>
          <w:color w:val="auto"/>
        </w:rPr>
      </w:pPr>
      <w:r>
        <w:rPr>
          <w:rFonts w:ascii="Times New Roman" w:cs="Times New Roman" w:eastAsia="Times New Roman" w:hAnsi="Times New Roman"/>
          <w:sz w:val="18"/>
          <w:szCs w:val="18"/>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March 31, 2010, the Company has repurchased 1,639,843 shares of its Class B common stock at an aggregate cost of $17.9 million, none of which occurred during the first quarter of 2010.</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 currently anticipates funding its capital expenditures relating to the implementation of the SAP enterprise software and SAP dealership management system, improvement and expansion of existing facilities, construction of new facilities, recurring expenses and any stock repurchases through its operating cash flow. The Company expects to finance 70% to 80% of the appraised value of any newly constructed or purchased facilities, which will increase the Company’s cash and cash equivalents by that amount.</w:t>
      </w:r>
    </w:p>
    <w:p>
      <w:pPr>
        <w:spacing w:after="0" w:line="157"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The purchase price for the assets of Lake City International will be approximately $76.5 million. At closing, the Company anticipates that it will finance approximately $28.5 million of the purchase price under its floor plan, accounts receivable and lease and rental truck financing arrangements. Shortly after the closing of the acquisition, the Company anticipates that it will finance approximately $20.0 million of the purchase price of the real estate.</w:t>
      </w:r>
    </w:p>
    <w:p>
      <w:pPr>
        <w:spacing w:after="0" w:line="140"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 has no other material commitments for capital expenditures as of March 31, 2010, except that the Company will continue to purchase vehicles for its lease and rental division and authorize capital expenditures for improvement and expansion of its existing dealership facilities and construction of new facilities based on market opportunities. The Company expects to purchase or lease trucks worth approximately $35.0 million for its leasing operations in 2010, depending on customer demand, all of which will be financed.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2" w:lineRule="exact"/>
        <w:rPr>
          <w:sz w:val="20"/>
          <w:szCs w:val="20"/>
          <w:color w:val="auto"/>
        </w:rPr>
      </w:pPr>
    </w:p>
    <w:p>
      <w:pPr>
        <w:jc w:val="both"/>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Cash and cash equivalents decreased by $3.3 million during the three months ended March 31, 2010 and decreased by $14.8 million during the three months ended March 31, 2009. The major components of these changes are discussed below.</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87"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quarter of 2010, operating activities resulted in net cash used in operations of $11.7 million. Cash used in operating activities was primarily impacted by the increase in inventories and accounts receivable which was offset by the increase in accounts payable. During the first quarter of 2009, operating activities resulted in provided by operations of $41.8 million.</w:t>
      </w:r>
    </w:p>
    <w:p>
      <w:pPr>
        <w:spacing w:after="0" w:line="157"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as adjusted for all draws and (payments) on floor plan notes (“Adjusted Cash Flows from Operating Activities”) was $13.7 million for the three months ended March 31, 2010 and $5.1 million for the three months ended March 31, 2009.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45"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40" w:lineRule="exact"/>
        <w:rPr>
          <w:sz w:val="20"/>
          <w:szCs w:val="20"/>
          <w:color w:val="auto"/>
        </w:rPr>
      </w:pPr>
    </w:p>
    <w:p>
      <w:pPr>
        <w:jc w:val="both"/>
        <w:ind w:left="340" w:right="559" w:firstLine="373"/>
        <w:spacing w:after="0" w:line="256" w:lineRule="auto"/>
        <w:rPr>
          <w:sz w:val="20"/>
          <w:szCs w:val="20"/>
          <w:color w:val="auto"/>
        </w:rPr>
      </w:pPr>
      <w:r>
        <w:rPr>
          <w:rFonts w:ascii="Times New Roman" w:cs="Times New Roman" w:eastAsia="Times New Roman" w:hAnsi="Times New Roman"/>
          <w:sz w:val="18"/>
          <w:szCs w:val="18"/>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2010</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 (GAAP)</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(11,681)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41,827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Draws (payments) on floor plan notes payable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25,408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(36,764)</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Cash Flows from Operating Activities (Non-GAAP)</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13,727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Cash flows used in investing activities consist primarily of cash used for capital expenditures. During the first quarter of 2010, cash used in investing activities was $9.9 million. Capital expenditures consisted of purchases of property and equipment and improvements to our existing dealership facilities of $9.9 million. Property and equipment purchases during the first quarter of 2010 consisted of $4.9 million for additional units for rental and leasing operations, which was directly offset by borrowings of long-term debt. The Company expects to purchase or lease trucks worth approximately $35.0 million for its leasing operations in 2010, depending on customer demand, all of which will be financed. During the remainder of 2010, the Company expects to make capital expenditures for recurring items such as computers, shop equipment and vehicles of approximately $6.2 million, in addition to $4.0 million to $4.5 million for the SAP project described above.</w:t>
      </w:r>
    </w:p>
    <w:p>
      <w:pPr>
        <w:spacing w:after="0" w:line="145"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During the first quarter of 2009, cash used in investing activities was $10.9 million. Capital expenditures consisted of purchases of property and equipment, and improvements to our existing dealership facilities and construction of our facility in Oklahoma City, Oklahoma of $11.0 million. Property and equipment purchases during the first quarter of 2009 consisted of $3.1 million for additional units for the rental and leasing operations, which was directly offset by borrowings of long-term debt.</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Cash used in financing activities was $18.3 million during the first quarter of 2010. The Company had borrowings of long-term debt of $3.1 million and repayments of long-term debt of $8.2 million during the first quarter of 2010. The Company had net draws on floor plan notes payable of $25.4 million during the first quarter of 2010. The borrowings of long-term debt were primarily related to units for the rental and leasing operations.</w:t>
      </w:r>
    </w:p>
    <w:p>
      <w:pPr>
        <w:spacing w:after="0" w:line="143"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$45.7 million during the first quarter of 2009. The Company had borrowings of long-term debt of $2.7 million and repayments of long-term debt of $10.8 million during the first quarter of 2009. The Company had net payments of floor plan notes payable of $36.8 million during the first quarter of 2009. The borrowings of long-term debt were primarily related to units for the rental and leasing operations.</w:t>
      </w:r>
    </w:p>
    <w:p>
      <w:pPr>
        <w:spacing w:after="0" w:line="153" w:lineRule="exact"/>
        <w:rPr>
          <w:sz w:val="20"/>
          <w:szCs w:val="20"/>
          <w:color w:val="auto"/>
        </w:rPr>
      </w:pPr>
    </w:p>
    <w:p>
      <w:pPr>
        <w:jc w:val="both"/>
        <w:ind w:left="340" w:right="559" w:firstLine="373"/>
        <w:spacing w:after="0" w:line="252" w:lineRule="auto"/>
        <w:rPr>
          <w:sz w:val="20"/>
          <w:szCs w:val="20"/>
          <w:color w:val="auto"/>
        </w:rPr>
      </w:pPr>
      <w:r>
        <w:rPr>
          <w:rFonts w:ascii="Times New Roman" w:cs="Times New Roman" w:eastAsia="Times New Roman" w:hAnsi="Times New Roman"/>
          <w:sz w:val="18"/>
          <w:szCs w:val="18"/>
          <w:color w:val="auto"/>
        </w:rPr>
        <w:t>Substantially all of the Company’s commercial vehicle purchases are made on terms requiring payment within 15 days or less from the date the commercial vehicles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month-end average aggregate amount outstanding under our GE Capital floor plan arrangement. The Company finances substantially all of the purchase price of its new commercial vehicle inventory, and the loan value of its used commercial vehicle inventory under the floor plan financing agreement with GE Capital, under which GE Capital pays the manufacturer directly with respect to new commercial vehicles.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with monthly adjustments to the interest due on outstanding advances. On March 31, 2010, the Company had approximately $198.9 million outstanding under its floor plan financing agreement with GE Capital. In connection with the Amended and Restated Wholesale Agreement with GE Capital, the Company executed a Continuing Guaranty in favor of GE Capital to a maximum principal amount of $600 million, plus unpaid interest and reasonable costs of collection. Except for the procedures and other terms and conditions set forth in the Amended and Restated Wholesale Agreement, the Company is not aware of any limitation on the Company’s ability to access capital through this facility.</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2" w:lineRule="auto"/>
        <w:rPr>
          <w:sz w:val="20"/>
          <w:szCs w:val="20"/>
          <w:color w:val="auto"/>
        </w:rPr>
      </w:pPr>
      <w:r>
        <w:rPr>
          <w:rFonts w:ascii="Times New Roman" w:cs="Times New Roman" w:eastAsia="Times New Roman" w:hAnsi="Times New Roman"/>
          <w:sz w:val="18"/>
          <w:szCs w:val="18"/>
          <w:color w:val="auto"/>
        </w:rPr>
        <w:t>Substantially all of the Company’s new construction equipment purchases are financed by John Deere and JPMorgan Chase (“Chase”). The agreement with John Deere provides for interest at prime plus 1.5%, however, there is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the Company transfers the financed equipment to the Chase floor plan arrangement. New and used construction equipment is financed to a maximum of book value under a floor plan arrangement with Chase. The Company makes monthly interest payments on the amount financed and is required to commence loan principal repayments on construction equipment as book value is reduced. Principal payments for sold new and used construction equipment are made to Chase no later than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each month following the sale. The loans are collateralized by a lien on the construction equipment. As of March 31, 2010, the Company’s floor plan arrangement with Chase permitted the financing of up to $20.0 million in construction equipment. The facility with Chase expires in June 2010 and the interest rate is the prime rate less 0.65%. On March 31, 2010, the Company had $0.7 million outstanding under its floor plan financing arrangements with John Deere and $15.0 million outstanding under its floor plan financing arrangement with Chase.</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87"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On March 31, 2010, the Company’s backlog of commercial vehicle orders was approximately $83.5 million as compared to a backlog of commercial vehicle orders of approximately $61.0 million on March 31, 2009. The Company includes only confirmed orders in its backlog. The delivery time for a custom-ordered commercial vehicle varies depending on the truck specifications and demand for the particular model ordered, however, the Company expects to fill all of its backlog orders during 2010. The Company sells the majority of its new commercial vehicles by customer special order, with the remainder sold out of inventory. Orders from a number of the Company’s major fleet customers are included in the Company’s backlog as of March 31, 2010.</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00"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43"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Seasonal effects in the Company’s Construction Equipment segment are primarily driven by the weather.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00"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187"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2"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45"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 For example, EPA emissions guidelines regarding nitrous oxides recently came into effect for all diesel engines built subsequent to January 1, 2010, which could adversely affect demand for our products and services, which may in turn adversely affect our future results of operations.</w:t>
      </w:r>
    </w:p>
    <w:p>
      <w:pPr>
        <w:spacing w:after="0" w:line="149"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2"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It is not possible at this time to predict how legislation or new regulations that may be adopted to address greenhouse gas emissions would impact our business. Any such future laws and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36"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March 31, 2010, the Company had floor plan borrowings and variable rate real estate debt of approximately $258.5 million. Assuming an increase or decrease in LIBOR of 100 basis points, annual interest expense could correspondingly increase or decrease by approximately $2.6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49"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 is also exposed to some market risk through interest rates related to the investment of our current cash and cash equivalents which totaled $145.8 million on March 31, 2010.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$1.5 million.</w:t>
      </w:r>
    </w:p>
    <w:p>
      <w:pPr>
        <w:spacing w:after="0" w:line="162" w:lineRule="exact"/>
        <w:rPr>
          <w:sz w:val="20"/>
          <w:szCs w:val="20"/>
          <w:color w:val="auto"/>
        </w:rPr>
      </w:pPr>
    </w:p>
    <w:p>
      <w:pPr>
        <w:jc w:val="both"/>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43"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As of March 31, 2010, the Company holds $7.6 million of auction rate securities with underlying tax-exempt municipal bonds with stated maturities of 21 years.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Operations of approximately $0.8 million. For further discussion of the risks related to our auction rate securities, see Note 6 — Investments of the Notes to Consolidated Financial Statements.</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used derivative financial instruments in our investment portfolio.</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2010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45" w:lineRule="exact"/>
        <w:rPr>
          <w:sz w:val="20"/>
          <w:szCs w:val="20"/>
          <w:color w:val="auto"/>
        </w:rPr>
      </w:pPr>
    </w:p>
    <w:p>
      <w:pPr>
        <w:jc w:val="both"/>
        <w:ind w:left="340" w:right="559" w:firstLine="373"/>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that occurred during the three months ended March 31, 2010 that has materially affected, or is reasonably likely to materially affect, the Company’s internal control over financial reporting.</w:t>
      </w: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2009 Annual Report on Form 10-K (the “2009 Annual Report”) describes some of the risks and uncertainties associated with our business that have the potential to materially affect our business, financial condition or results of operations.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2009 Annual Report.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first quarter of 2010.</w:t>
      </w:r>
    </w:p>
    <w:p>
      <w:pPr>
        <w:spacing w:after="0" w:line="185" w:lineRule="exact"/>
        <w:rPr>
          <w:sz w:val="20"/>
          <w:szCs w:val="20"/>
          <w:color w:val="auto"/>
        </w:rPr>
      </w:pPr>
    </w:p>
    <w:p>
      <w:pPr>
        <w:jc w:val="both"/>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shares of its Class A Common Stock or Class B Common Stock during the first quarter of 2010.</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 Approximate</w:t>
            </w: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0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Programs (1)(2)</w:t>
            </w:r>
          </w:p>
        </w:tc>
      </w:tr>
      <w:tr>
        <w:trPr>
          <w:trHeight w:val="210"/>
        </w:trPr>
        <w:tc>
          <w:tcPr>
            <w:tcW w:w="3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31, 2010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2,093,321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2010</w:t>
            </w:r>
          </w:p>
        </w:tc>
        <w:tc>
          <w:tcPr>
            <w:tcW w:w="220" w:type="dxa"/>
            <w:vAlign w:val="bottom"/>
          </w:tcPr>
          <w:p>
            <w:pPr>
              <w:spacing w:after="0"/>
              <w:rPr>
                <w:sz w:val="18"/>
                <w:szCs w:val="18"/>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2,093,321</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31, 2010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2,093,321</w:t>
            </w: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1st Quarter Total</w:t>
            </w:r>
          </w:p>
        </w:tc>
        <w:tc>
          <w:tcPr>
            <w:tcW w:w="220" w:type="dxa"/>
            <w:vAlign w:val="bottom"/>
          </w:tcPr>
          <w:p>
            <w:pPr>
              <w:spacing w:after="0"/>
              <w:rPr>
                <w:sz w:val="24"/>
                <w:szCs w:val="24"/>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2,093,321</w:t>
            </w:r>
          </w:p>
        </w:tc>
      </w:tr>
    </w:tbl>
    <w:p>
      <w:pPr>
        <w:spacing w:after="0" w:line="103" w:lineRule="exact"/>
        <w:rPr>
          <w:sz w:val="20"/>
          <w:szCs w:val="20"/>
          <w:color w:val="auto"/>
        </w:rPr>
      </w:pPr>
    </w:p>
    <w:p>
      <w:pPr>
        <w:jc w:val="both"/>
        <w:ind w:left="680" w:right="559" w:hanging="348"/>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2008, the Company’s Board of Directors approved a stock repurchase program authorizing the Company to repurchase, from time to time, up to an aggregate of $20,000,000 of its shares of Class A Common Stock and/or Class B Common Stock. The stock repurchase program has no expiration date and may be suspended or discontinued at any time.</w:t>
      </w:r>
    </w:p>
    <w:p>
      <w:pPr>
        <w:spacing w:after="0" w:line="27" w:lineRule="exact"/>
        <w:rPr>
          <w:rFonts w:ascii="Times New Roman" w:cs="Times New Roman" w:eastAsia="Times New Roman" w:hAnsi="Times New Roman"/>
          <w:sz w:val="18"/>
          <w:szCs w:val="18"/>
          <w:color w:val="auto"/>
        </w:rPr>
      </w:pPr>
    </w:p>
    <w:p>
      <w:pPr>
        <w:ind w:left="680" w:right="559" w:hanging="348"/>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2010, the Company has repurchased 1,639,843 shares of its Class B common stock at a cost of $17.9 million, none of which occurred during the first quarter of 2010.</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560" w:type="dxa"/>
            <w:vAlign w:val="bottom"/>
            <w:gridSpan w:val="2"/>
          </w:tcPr>
          <w:p>
            <w:pPr>
              <w:spacing w:after="0"/>
              <w:rPr>
                <w:sz w:val="17"/>
                <w:szCs w:val="17"/>
                <w:color w:val="auto"/>
              </w:rPr>
            </w:pPr>
          </w:p>
        </w:tc>
        <w:tc>
          <w:tcPr>
            <w:tcW w:w="774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74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740" w:type="dxa"/>
            <w:vAlign w:val="bottom"/>
          </w:tcPr>
          <w:p>
            <w:pPr>
              <w:spacing w:after="0"/>
              <w:rPr>
                <w:sz w:val="24"/>
                <w:szCs w:val="24"/>
                <w:color w:val="auto"/>
              </w:rPr>
            </w:pPr>
          </w:p>
        </w:tc>
      </w:tr>
      <w:tr>
        <w:trPr>
          <w:trHeight w:val="238"/>
        </w:trPr>
        <w:tc>
          <w:tcPr>
            <w:tcW w:w="340" w:type="dxa"/>
            <w:vAlign w:val="bottom"/>
          </w:tcPr>
          <w:p>
            <w:pPr>
              <w:spacing w:after="0"/>
              <w:rPr>
                <w:sz w:val="20"/>
                <w:szCs w:val="20"/>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1"/>
        </w:trPr>
        <w:tc>
          <w:tcPr>
            <w:tcW w:w="340" w:type="dxa"/>
            <w:vAlign w:val="bottom"/>
          </w:tcPr>
          <w:p>
            <w:pPr>
              <w:spacing w:after="0"/>
              <w:rPr>
                <w:sz w:val="16"/>
                <w:szCs w:val="16"/>
                <w:color w:val="auto"/>
              </w:rPr>
            </w:pPr>
          </w:p>
        </w:tc>
        <w:tc>
          <w:tcPr>
            <w:tcW w:w="10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Asset Purchase Agreement, dated as of March 19, 2010 (incorporated herein by reference to Exhibit 2.1 of</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 No. 000-20797) filed March 25, 2010)</w:t>
            </w:r>
          </w:p>
        </w:tc>
      </w:tr>
      <w:tr>
        <w:trPr>
          <w:trHeight w:val="414"/>
        </w:trPr>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Restated Articles of Incorporation of Rush Enterprises, Inc. (incorporated herein by reference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Exhibit 3.1 of the Company’s Quarterly Report on Form 10-Q (File No. 000-20797) for the quarter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June 30, 2008)</w:t>
            </w:r>
          </w:p>
        </w:tc>
      </w:tr>
      <w:tr>
        <w:trPr>
          <w:trHeight w:val="414"/>
        </w:trPr>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Rush Enterprises, Inc. Amended and Restated Bylaws (incorporated herein by reference to Exhibit 3.1 of</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 No. 000-20797) filed December 9, 2008)</w:t>
            </w:r>
          </w:p>
        </w:tc>
      </w:tr>
      <w:tr>
        <w:trPr>
          <w:trHeight w:val="414"/>
        </w:trPr>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bl>
    <w:p>
      <w:pPr>
        <w:spacing w:after="0" w:line="103" w:lineRule="exact"/>
        <w:rPr>
          <w:sz w:val="20"/>
          <w:szCs w:val="20"/>
          <w:color w:val="auto"/>
        </w:rPr>
      </w:pPr>
    </w:p>
    <w:p>
      <w:pPr>
        <w:ind w:left="680" w:hanging="348"/>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340" w:right="1760" w:firstLine="37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7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RUSH ENTERPRISES, INC.</w:t>
            </w:r>
          </w:p>
        </w:tc>
        <w:tc>
          <w:tcPr>
            <w:tcW w:w="2480" w:type="dxa"/>
            <w:vAlign w:val="bottom"/>
          </w:tcPr>
          <w:p>
            <w:pPr>
              <w:spacing w:after="0"/>
              <w:rPr>
                <w:sz w:val="20"/>
                <w:szCs w:val="20"/>
                <w:color w:val="auto"/>
              </w:rPr>
            </w:pPr>
          </w:p>
        </w:tc>
      </w:tr>
      <w:tr>
        <w:trPr>
          <w:trHeight w:val="432"/>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 May 10, 2010</w:t>
            </w:r>
          </w:p>
        </w:tc>
        <w:tc>
          <w:tcPr>
            <w:tcW w:w="57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 /S/ W.M. “RUSTY” RUSH</w:t>
            </w:r>
          </w:p>
        </w:tc>
        <w:tc>
          <w:tcPr>
            <w:tcW w:w="2480" w:type="dxa"/>
            <w:vAlign w:val="bottom"/>
          </w:tcPr>
          <w:p>
            <w:pPr>
              <w:spacing w:after="0"/>
              <w:rPr>
                <w:sz w:val="24"/>
                <w:szCs w:val="24"/>
                <w:color w:val="auto"/>
              </w:rPr>
            </w:pPr>
          </w:p>
        </w:tc>
      </w:tr>
      <w:tr>
        <w:trPr>
          <w:trHeight w:val="191"/>
        </w:trPr>
        <w:tc>
          <w:tcPr>
            <w:tcW w:w="3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W.M. “Rusty” Rush</w:t>
            </w:r>
          </w:p>
        </w:tc>
        <w:tc>
          <w:tcPr>
            <w:tcW w:w="248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tc>
        <w:tc>
          <w:tcPr>
            <w:tcW w:w="248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480" w:type="dxa"/>
            <w:vAlign w:val="bottom"/>
          </w:tcPr>
          <w:p>
            <w:pPr>
              <w:spacing w:after="0"/>
              <w:rPr>
                <w:sz w:val="20"/>
                <w:szCs w:val="20"/>
                <w:color w:val="auto"/>
              </w:rPr>
            </w:pPr>
          </w:p>
        </w:tc>
      </w:tr>
      <w:tr>
        <w:trPr>
          <w:trHeight w:val="648"/>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 May 10, 2010</w:t>
            </w:r>
          </w:p>
        </w:tc>
        <w:tc>
          <w:tcPr>
            <w:tcW w:w="57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 /S/ STEVEN L. KELLER</w:t>
            </w:r>
          </w:p>
        </w:tc>
        <w:tc>
          <w:tcPr>
            <w:tcW w:w="2480" w:type="dxa"/>
            <w:vAlign w:val="bottom"/>
          </w:tcPr>
          <w:p>
            <w:pPr>
              <w:spacing w:after="0"/>
              <w:rPr>
                <w:sz w:val="24"/>
                <w:szCs w:val="24"/>
                <w:color w:val="auto"/>
              </w:rPr>
            </w:pPr>
          </w:p>
        </w:tc>
      </w:tr>
      <w:tr>
        <w:trPr>
          <w:trHeight w:val="191"/>
        </w:trPr>
        <w:tc>
          <w:tcPr>
            <w:tcW w:w="3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L. Keller</w:t>
            </w:r>
          </w:p>
        </w:tc>
        <w:tc>
          <w:tcPr>
            <w:tcW w:w="248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 (Principal</w:t>
            </w:r>
          </w:p>
        </w:tc>
        <w:tc>
          <w:tcPr>
            <w:tcW w:w="248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480" w:type="dxa"/>
            <w:vAlign w:val="bottom"/>
          </w:tcPr>
          <w:p>
            <w:pPr>
              <w:spacing w:after="0"/>
              <w:rPr>
                <w:sz w:val="20"/>
                <w:szCs w:val="20"/>
                <w:color w:val="auto"/>
              </w:rPr>
            </w:pPr>
          </w:p>
        </w:tc>
      </w:tr>
      <w:tr>
        <w:trPr>
          <w:trHeight w:val="783"/>
        </w:trPr>
        <w:tc>
          <w:tcPr>
            <w:tcW w:w="3220" w:type="dxa"/>
            <w:vAlign w:val="bottom"/>
          </w:tcPr>
          <w:p>
            <w:pPr>
              <w:spacing w:after="0"/>
              <w:rPr>
                <w:sz w:val="24"/>
                <w:szCs w:val="24"/>
                <w:color w:val="auto"/>
              </w:rPr>
            </w:pPr>
          </w:p>
        </w:tc>
        <w:tc>
          <w:tcPr>
            <w:tcW w:w="5720" w:type="dxa"/>
            <w:vAlign w:val="bottom"/>
            <w:gridSpan w:val="2"/>
          </w:tcPr>
          <w:p>
            <w:pPr>
              <w:jc w:val="right"/>
              <w:ind w:right="3770"/>
              <w:spacing w:after="0"/>
              <w:rPr>
                <w:sz w:val="20"/>
                <w:szCs w:val="20"/>
                <w:color w:val="auto"/>
              </w:rPr>
            </w:pPr>
            <w:r>
              <w:rPr>
                <w:rFonts w:ascii="Times New Roman" w:cs="Times New Roman" w:eastAsia="Times New Roman" w:hAnsi="Times New Roman"/>
                <w:sz w:val="18"/>
                <w:szCs w:val="18"/>
                <w:color w:val="auto"/>
              </w:rPr>
              <w:t>26</w:t>
            </w:r>
          </w:p>
        </w:tc>
        <w:tc>
          <w:tcPr>
            <w:tcW w:w="2480" w:type="dxa"/>
            <w:vAlign w:val="bottom"/>
          </w:tcPr>
          <w:p>
            <w:pPr>
              <w:spacing w:after="0"/>
              <w:rPr>
                <w:sz w:val="24"/>
                <w:szCs w:val="24"/>
                <w:color w:val="auto"/>
              </w:rPr>
            </w:pPr>
          </w:p>
        </w:tc>
      </w:tr>
      <w:tr>
        <w:trPr>
          <w:trHeight w:val="226"/>
        </w:trPr>
        <w:tc>
          <w:tcPr>
            <w:tcW w:w="32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300" w:type="dxa"/>
            <w:vAlign w:val="bottom"/>
          </w:tcPr>
          <w:p>
            <w:pPr>
              <w:spacing w:after="0"/>
              <w:rPr>
                <w:sz w:val="17"/>
                <w:szCs w:val="17"/>
                <w:color w:val="auto"/>
              </w:rPr>
            </w:pPr>
          </w:p>
        </w:tc>
        <w:tc>
          <w:tcPr>
            <w:tcW w:w="794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4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34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00" w:type="dxa"/>
            <w:vAlign w:val="bottom"/>
          </w:tcPr>
          <w:p>
            <w:pPr>
              <w:spacing w:after="0"/>
              <w:rPr>
                <w:sz w:val="24"/>
                <w:szCs w:val="24"/>
                <w:color w:val="auto"/>
              </w:rPr>
            </w:pPr>
          </w:p>
        </w:tc>
        <w:tc>
          <w:tcPr>
            <w:tcW w:w="7940" w:type="dxa"/>
            <w:vAlign w:val="bottom"/>
          </w:tcPr>
          <w:p>
            <w:pPr>
              <w:spacing w:after="0"/>
              <w:rPr>
                <w:sz w:val="24"/>
                <w:szCs w:val="24"/>
                <w:color w:val="auto"/>
              </w:rPr>
            </w:pPr>
          </w:p>
        </w:tc>
      </w:tr>
      <w:tr>
        <w:trPr>
          <w:trHeight w:val="238"/>
        </w:trPr>
        <w:tc>
          <w:tcPr>
            <w:tcW w:w="34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00" w:type="dxa"/>
            <w:vAlign w:val="bottom"/>
          </w:tcPr>
          <w:p>
            <w:pPr>
              <w:spacing w:after="0"/>
              <w:rPr>
                <w:sz w:val="20"/>
                <w:szCs w:val="20"/>
                <w:color w:val="auto"/>
              </w:rPr>
            </w:pPr>
          </w:p>
        </w:tc>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1"/>
        </w:trPr>
        <w:tc>
          <w:tcPr>
            <w:tcW w:w="340" w:type="dxa"/>
            <w:vAlign w:val="bottom"/>
          </w:tcPr>
          <w:p>
            <w:pPr>
              <w:spacing w:after="0"/>
              <w:rPr>
                <w:sz w:val="16"/>
                <w:szCs w:val="16"/>
                <w:color w:val="auto"/>
              </w:rPr>
            </w:pPr>
          </w:p>
        </w:tc>
        <w:tc>
          <w:tcPr>
            <w:tcW w:w="102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414"/>
        </w:trPr>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bl>
    <w:p>
      <w:pPr>
        <w:spacing w:after="0" w:line="103" w:lineRule="exact"/>
        <w:rPr>
          <w:sz w:val="20"/>
          <w:szCs w:val="20"/>
          <w:color w:val="auto"/>
        </w:rPr>
      </w:pPr>
    </w:p>
    <w:p>
      <w:pPr>
        <w:ind w:left="680" w:hanging="34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219"/>
          </w:cols>
          <w:pgMar w:left="240" w:top="405" w:right="1440" w:bottom="1440" w:gutter="0" w:footer="0" w:header="0"/>
        </w:sectPr>
      </w:pPr>
    </w:p>
    <w:bookmarkStart w:id="28" w:name="page29"/>
    <w:bookmarkEnd w:id="28"/>
    <w:p>
      <w:pPr>
        <w:ind w:left="8248"/>
        <w:spacing w:after="0"/>
        <w:rPr>
          <w:sz w:val="20"/>
          <w:szCs w:val="20"/>
          <w:color w:val="auto"/>
        </w:rPr>
      </w:pPr>
      <w:r>
        <w:rPr>
          <w:rFonts w:ascii="Times New Roman" w:cs="Times New Roman" w:eastAsia="Times New Roman" w:hAnsi="Times New Roman"/>
          <w:sz w:val="17"/>
          <w:szCs w:val="17"/>
          <w:u w:val="single" w:color="auto"/>
          <w:color w:val="auto"/>
        </w:rPr>
        <w:t>EXHIBIT 31.1</w:t>
      </w:r>
    </w:p>
    <w:p>
      <w:pPr>
        <w:spacing w:after="0" w:line="192" w:lineRule="exact"/>
        <w:rPr>
          <w:sz w:val="20"/>
          <w:szCs w:val="20"/>
          <w:color w:val="auto"/>
        </w:rPr>
      </w:pPr>
    </w:p>
    <w:p>
      <w:pPr>
        <w:ind w:left="3948"/>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185" w:lineRule="exact"/>
        <w:rPr>
          <w:sz w:val="20"/>
          <w:szCs w:val="20"/>
          <w:color w:val="auto"/>
        </w:rPr>
      </w:pPr>
    </w:p>
    <w:p>
      <w:pPr>
        <w:ind w:left="188" w:hanging="188"/>
        <w:spacing w:after="0"/>
        <w:tabs>
          <w:tab w:leader="none" w:pos="1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184" w:lineRule="exact"/>
        <w:rPr>
          <w:rFonts w:ascii="Times New Roman" w:cs="Times New Roman" w:eastAsia="Times New Roman" w:hAnsi="Times New Roman"/>
          <w:sz w:val="18"/>
          <w:szCs w:val="18"/>
          <w:color w:val="auto"/>
        </w:rPr>
      </w:pPr>
    </w:p>
    <w:p>
      <w:pPr>
        <w:jc w:val="both"/>
        <w:ind w:left="8" w:right="559" w:hanging="8"/>
        <w:spacing w:after="0" w:line="266" w:lineRule="auto"/>
        <w:tabs>
          <w:tab w:leader="none" w:pos="2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jc w:val="both"/>
        <w:ind w:left="8" w:right="559" w:hanging="8"/>
        <w:spacing w:after="0" w:line="266" w:lineRule="auto"/>
        <w:tabs>
          <w:tab w:leader="none" w:pos="1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8" w:right="559" w:hanging="8"/>
        <w:spacing w:after="0" w:line="266" w:lineRule="auto"/>
        <w:tabs>
          <w:tab w:leader="none" w:pos="2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jc w:val="both"/>
        <w:ind w:left="8" w:right="559" w:hanging="8"/>
        <w:spacing w:after="0" w:line="266" w:lineRule="auto"/>
        <w:tabs>
          <w:tab w:leader="none" w:pos="2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 w:right="559" w:firstLine="365"/>
        <w:spacing w:after="0" w:line="282"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2010</w:t>
            </w:r>
          </w:p>
        </w:tc>
        <w:tc>
          <w:tcPr>
            <w:tcW w:w="50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191"/>
        </w:trPr>
        <w:tc>
          <w:tcPr>
            <w:tcW w:w="2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W.M. “Rusty” Rush</w:t>
            </w:r>
          </w:p>
        </w:tc>
      </w:tr>
      <w:tr>
        <w:trPr>
          <w:trHeight w:val="216"/>
        </w:trPr>
        <w:tc>
          <w:tcPr>
            <w:tcW w:w="2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9887"/>
          </w:cols>
          <w:pgMar w:left="572" w:top="121" w:right="1440" w:bottom="1440" w:gutter="0" w:footer="0" w:header="0"/>
        </w:sectPr>
      </w:pPr>
    </w:p>
    <w:bookmarkStart w:id="29" w:name="page30"/>
    <w:bookmarkEnd w:id="29"/>
    <w:p>
      <w:pPr>
        <w:ind w:left="8248"/>
        <w:spacing w:after="0"/>
        <w:rPr>
          <w:sz w:val="20"/>
          <w:szCs w:val="20"/>
          <w:color w:val="auto"/>
        </w:rPr>
      </w:pPr>
      <w:r>
        <w:rPr>
          <w:rFonts w:ascii="Times New Roman" w:cs="Times New Roman" w:eastAsia="Times New Roman" w:hAnsi="Times New Roman"/>
          <w:sz w:val="17"/>
          <w:szCs w:val="17"/>
          <w:u w:val="single" w:color="auto"/>
          <w:color w:val="auto"/>
        </w:rPr>
        <w:t>EXHIBIT 31.2</w:t>
      </w:r>
    </w:p>
    <w:p>
      <w:pPr>
        <w:spacing w:after="0" w:line="206" w:lineRule="exact"/>
        <w:rPr>
          <w:sz w:val="20"/>
          <w:szCs w:val="20"/>
          <w:color w:val="auto"/>
        </w:rPr>
      </w:pPr>
    </w:p>
    <w:p>
      <w:pPr>
        <w:ind w:left="3948"/>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198" w:lineRule="exact"/>
        <w:rPr>
          <w:rFonts w:ascii="Times New Roman" w:cs="Times New Roman" w:eastAsia="Times New Roman" w:hAnsi="Times New Roman"/>
          <w:sz w:val="18"/>
          <w:szCs w:val="18"/>
          <w:color w:val="auto"/>
        </w:rPr>
      </w:pPr>
    </w:p>
    <w:p>
      <w:pPr>
        <w:jc w:val="both"/>
        <w:ind w:left="8" w:right="559" w:hanging="8"/>
        <w:spacing w:after="0" w:line="266" w:lineRule="auto"/>
        <w:tabs>
          <w:tab w:leader="none" w:pos="2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left="8" w:right="559" w:hanging="8"/>
        <w:spacing w:after="0" w:line="266" w:lineRule="auto"/>
        <w:tabs>
          <w:tab w:leader="none" w:pos="1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8" w:right="559" w:hanging="8"/>
        <w:spacing w:after="0" w:line="266" w:lineRule="auto"/>
        <w:tabs>
          <w:tab w:leader="none" w:pos="2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jc w:val="both"/>
        <w:ind w:left="8" w:right="559" w:hanging="8"/>
        <w:spacing w:after="0" w:line="266" w:lineRule="auto"/>
        <w:tabs>
          <w:tab w:leader="none" w:pos="2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8" w:right="559" w:firstLine="365"/>
        <w:spacing w:after="0" w:line="266" w:lineRule="auto"/>
        <w:tabs>
          <w:tab w:leader="none" w:pos="6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8" w:right="559" w:firstLine="365"/>
        <w:spacing w:after="0" w:line="282"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2010</w:t>
            </w:r>
          </w:p>
        </w:tc>
        <w:tc>
          <w:tcPr>
            <w:tcW w:w="55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191"/>
        </w:trPr>
        <w:tc>
          <w:tcPr>
            <w:tcW w:w="2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L. Keller</w:t>
            </w:r>
          </w:p>
        </w:tc>
      </w:tr>
      <w:tr>
        <w:trPr>
          <w:trHeight w:val="216"/>
        </w:trPr>
        <w:tc>
          <w:tcPr>
            <w:tcW w:w="2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234"/>
        </w:trPr>
        <w:tc>
          <w:tcPr>
            <w:tcW w:w="2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9887"/>
          </w:cols>
          <w:pgMar w:left="572" w:top="513" w:right="1440" w:bottom="1440" w:gutter="0" w:footer="0" w:header="0"/>
        </w:sectPr>
      </w:pPr>
    </w:p>
    <w:bookmarkStart w:id="30" w:name="page31"/>
    <w:bookmarkEnd w:id="30"/>
    <w:p>
      <w:pPr>
        <w:jc w:val="right"/>
        <w:ind w:right="559"/>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19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2010,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Chief Executive Officer of the Company, certify, pursuant to 18 U.S.C. Section 1350, as adopted pursuant to Section 906 of the Sarbanes-Oxley Act of 2002, that:</w:t>
      </w:r>
    </w:p>
    <w:p>
      <w:pPr>
        <w:spacing w:after="0" w:line="140" w:lineRule="exact"/>
        <w:rPr>
          <w:sz w:val="20"/>
          <w:szCs w:val="20"/>
          <w:color w:val="auto"/>
        </w:rPr>
      </w:pPr>
    </w:p>
    <w:p>
      <w:pPr>
        <w:ind w:left="700" w:hanging="34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700" w:right="559" w:hanging="343"/>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17145</wp:posOffset>
            </wp:positionV>
            <wp:extent cx="22726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W.M. “Rusty” Rush</w:t>
      </w:r>
    </w:p>
    <w:p>
      <w:pPr>
        <w:spacing w:after="0" w:line="2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10, 2010</w:t>
      </w:r>
    </w:p>
    <w:p>
      <w:pPr>
        <w:spacing w:after="0" w:line="166" w:lineRule="exact"/>
        <w:rPr>
          <w:sz w:val="20"/>
          <w:szCs w:val="20"/>
          <w:color w:val="auto"/>
        </w:rPr>
      </w:pPr>
    </w:p>
    <w:p>
      <w:pPr>
        <w:ind w:right="5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513" w:right="1440" w:bottom="1440" w:gutter="0" w:footer="0" w:header="0"/>
        </w:sectPr>
      </w:pPr>
    </w:p>
    <w:bookmarkStart w:id="31" w:name="page32"/>
    <w:bookmarkEnd w:id="31"/>
    <w:p>
      <w:pPr>
        <w:jc w:val="right"/>
        <w:ind w:right="559"/>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18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2010,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Vice President and Chief Financial Officer of the Company, certify, pursuant to 18 U.S.C. Section 1350, as adopted pursuant to Section 906 of the Sarbanes-Oxley Act of 2002, that:</w:t>
      </w:r>
    </w:p>
    <w:p>
      <w:pPr>
        <w:spacing w:after="0" w:line="140" w:lineRule="exact"/>
        <w:rPr>
          <w:sz w:val="20"/>
          <w:szCs w:val="20"/>
          <w:color w:val="auto"/>
        </w:rPr>
      </w:pPr>
    </w:p>
    <w:p>
      <w:pPr>
        <w:ind w:left="700" w:hanging="343"/>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00" w:right="559" w:hanging="343"/>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555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27" w:lineRule="exact"/>
        <w:rPr>
          <w:sz w:val="20"/>
          <w:szCs w:val="20"/>
          <w:color w:val="auto"/>
        </w:rPr>
      </w:pPr>
    </w:p>
    <w:p>
      <w:pPr>
        <w:ind w:left="476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Chief Financial Officer</w:t>
      </w:r>
    </w:p>
    <w:p>
      <w:pPr>
        <w:spacing w:after="0" w:line="9" w:lineRule="exact"/>
        <w:rPr>
          <w:sz w:val="20"/>
          <w:szCs w:val="20"/>
          <w:color w:val="auto"/>
        </w:rPr>
      </w:pPr>
    </w:p>
    <w:p>
      <w:pPr>
        <w:ind w:left="4760"/>
        <w:spacing w:after="0"/>
        <w:tabs>
          <w:tab w:leader="none" w:pos="5300" w:val="left"/>
        </w:tabs>
        <w:rPr>
          <w:sz w:val="20"/>
          <w:szCs w:val="20"/>
          <w:color w:val="auto"/>
        </w:rPr>
      </w:pPr>
      <w:r>
        <w:rPr>
          <w:rFonts w:ascii="Times New Roman" w:cs="Times New Roman" w:eastAsia="Times New Roman" w:hAnsi="Times New Roman"/>
          <w:sz w:val="18"/>
          <w:szCs w:val="18"/>
          <w:color w:val="auto"/>
        </w:rPr>
        <w:t>Date:</w:t>
        <w:tab/>
        <w:t>May 10, 2010</w:t>
      </w:r>
    </w:p>
    <w:p>
      <w:pPr>
        <w:spacing w:after="0" w:line="180" w:lineRule="exact"/>
        <w:rPr>
          <w:sz w:val="20"/>
          <w:szCs w:val="20"/>
          <w:color w:val="auto"/>
        </w:rPr>
      </w:pPr>
    </w:p>
    <w:p>
      <w:pPr>
        <w:ind w:right="5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2019-12-14T08:09:17Z</dcterms:created>
  <dcterms:modified xsi:type="dcterms:W3CDTF">2019-12-14T08:09:17Z</dcterms:modified>
</cp:coreProperties>
</file>