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211" w:lineRule="exact"/>
        <w:rPr>
          <w:sz w:val="24"/>
          <w:szCs w:val="24"/>
          <w:color w:val="auto"/>
        </w:rPr>
      </w:pPr>
    </w:p>
    <w:p>
      <w:pPr>
        <w:ind w:right="2360" w:firstLine="8"/>
        <w:spacing w:after="0" w:line="563" w:lineRule="auto"/>
        <w:tabs>
          <w:tab w:leader="none" w:pos="1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226" w:right="199" w:bottom="1440" w:gutter="0" w:footer="0" w:header="0"/>
        </w:sectPr>
      </w:pPr>
    </w:p>
    <w:p>
      <w:pPr>
        <w:spacing w:after="0" w:line="211" w:lineRule="exact"/>
        <w:rPr>
          <w:sz w:val="24"/>
          <w:szCs w:val="24"/>
          <w:color w:val="auto"/>
        </w:rPr>
      </w:pPr>
    </w:p>
    <w:p>
      <w:pPr>
        <w:jc w:val="center"/>
        <w:ind w:right="900"/>
        <w:spacing w:after="0"/>
        <w:rPr>
          <w:sz w:val="20"/>
          <w:szCs w:val="20"/>
          <w:color w:val="auto"/>
        </w:rPr>
      </w:pPr>
      <w:r>
        <w:rPr>
          <w:rFonts w:ascii="Arial" w:cs="Arial" w:eastAsia="Arial" w:hAnsi="Arial"/>
          <w:sz w:val="18"/>
          <w:szCs w:val="18"/>
          <w:color w:val="auto"/>
        </w:rPr>
        <w:t>Texas</w:t>
      </w:r>
    </w:p>
    <w:p>
      <w:pPr>
        <w:spacing w:after="0" w:line="23"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580"/>
        <w:spacing w:after="0"/>
        <w:rPr>
          <w:sz w:val="20"/>
          <w:szCs w:val="20"/>
          <w:color w:val="auto"/>
        </w:rPr>
      </w:pPr>
      <w:r>
        <w:rPr>
          <w:rFonts w:ascii="Arial" w:cs="Arial" w:eastAsia="Arial" w:hAnsi="Arial"/>
          <w:sz w:val="18"/>
          <w:szCs w:val="18"/>
          <w:color w:val="auto"/>
        </w:rPr>
        <w:t>74-1733016</w:t>
      </w:r>
    </w:p>
    <w:p>
      <w:pPr>
        <w:spacing w:after="0" w:line="23" w:lineRule="exact"/>
        <w:rPr>
          <w:sz w:val="24"/>
          <w:szCs w:val="24"/>
          <w:color w:val="auto"/>
        </w:rPr>
      </w:pPr>
    </w:p>
    <w:p>
      <w:pPr>
        <w:jc w:val="center"/>
        <w:ind w:right="15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200"/>
          </w:cols>
          <w:pgMar w:left="240" w:top="226" w:right="199" w:bottom="1440" w:gutter="0" w:footer="0" w:header="0"/>
          <w:type w:val="continuous"/>
        </w:sectPr>
      </w:pP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40" w:firstLine="972"/>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300" w:firstLine="648"/>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226" w:right="199" w:bottom="1440" w:gutter="0" w:footer="0" w:header="0"/>
          <w:type w:val="continuous"/>
        </w:sectPr>
      </w:pPr>
    </w:p>
    <w:p>
      <w:pPr>
        <w:spacing w:after="0" w:line="178"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20" w:space="720"/>
            <w:col w:w="5720"/>
          </w:cols>
          <w:pgMar w:left="240" w:top="226" w:right="199" w:bottom="1440" w:gutter="0" w:footer="0" w:header="0"/>
          <w:type w:val="continuous"/>
        </w:sectPr>
      </w:pPr>
    </w:p>
    <w:p>
      <w:pPr>
        <w:spacing w:after="0" w:line="48" w:lineRule="exact"/>
        <w:rPr>
          <w:sz w:val="24"/>
          <w:szCs w:val="24"/>
          <w:color w:val="auto"/>
        </w:rPr>
      </w:pPr>
    </w:p>
    <w:p>
      <w:pPr>
        <w:ind w:left="5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5040" w:space="720"/>
            <w:col w:w="5700"/>
          </w:cols>
          <w:pgMar w:left="240" w:top="226" w:right="199" w:bottom="1440" w:gutter="0" w:footer="0" w:header="0"/>
          <w:type w:val="continuous"/>
        </w:sectPr>
      </w:pPr>
    </w:p>
    <w:p>
      <w:pPr>
        <w:spacing w:after="0" w:line="3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496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May 1, 2016.</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Title of Class Outstanding</w:t>
            </w:r>
          </w:p>
        </w:tc>
        <w:tc>
          <w:tcPr>
            <w:tcW w:w="1480" w:type="dxa"/>
            <w:vAlign w:val="bottom"/>
          </w:tcPr>
          <w:p>
            <w:pPr>
              <w:spacing w:after="0"/>
              <w:rPr>
                <w:sz w:val="18"/>
                <w:szCs w:val="18"/>
                <w:color w:val="auto"/>
              </w:rPr>
            </w:pPr>
          </w:p>
        </w:tc>
        <w:tc>
          <w:tcPr>
            <w:tcW w:w="4560" w:type="dxa"/>
            <w:vAlign w:val="bottom"/>
          </w:tcPr>
          <w:p>
            <w:pPr>
              <w:jc w:val="center"/>
              <w:ind w:right="190"/>
              <w:spacing w:after="0"/>
              <w:rPr>
                <w:sz w:val="20"/>
                <w:szCs w:val="20"/>
                <w:color w:val="auto"/>
              </w:rPr>
            </w:pPr>
            <w:r>
              <w:rPr>
                <w:rFonts w:ascii="Arial" w:cs="Arial" w:eastAsia="Arial" w:hAnsi="Arial"/>
                <w:sz w:val="18"/>
                <w:szCs w:val="18"/>
                <w:color w:val="auto"/>
                <w:w w:val="90"/>
              </w:rPr>
              <w:t>Number of Shares</w:t>
            </w:r>
          </w:p>
        </w:tc>
      </w:tr>
      <w:tr>
        <w:trPr>
          <w:trHeight w:val="222"/>
        </w:trPr>
        <w:tc>
          <w:tcPr>
            <w:tcW w:w="6900" w:type="dxa"/>
            <w:vAlign w:val="bottom"/>
            <w:gridSpan w:val="3"/>
          </w:tcPr>
          <w:p>
            <w:pPr>
              <w:ind w:left="1140"/>
              <w:spacing w:after="0"/>
              <w:rPr>
                <w:sz w:val="20"/>
                <w:szCs w:val="20"/>
                <w:color w:val="auto"/>
              </w:rPr>
            </w:pPr>
            <w:r>
              <w:rPr>
                <w:rFonts w:ascii="Arial" w:cs="Arial" w:eastAsia="Arial" w:hAnsi="Arial"/>
                <w:sz w:val="18"/>
                <w:szCs w:val="18"/>
                <w:color w:val="auto"/>
              </w:rPr>
              <w:t>Class A Common Stock, $.01 Par Value</w:t>
            </w:r>
          </w:p>
        </w:tc>
        <w:tc>
          <w:tcPr>
            <w:tcW w:w="4560" w:type="dxa"/>
            <w:vAlign w:val="bottom"/>
          </w:tcPr>
          <w:p>
            <w:pPr>
              <w:jc w:val="center"/>
              <w:ind w:right="190"/>
              <w:spacing w:after="0"/>
              <w:rPr>
                <w:sz w:val="20"/>
                <w:szCs w:val="20"/>
                <w:color w:val="auto"/>
              </w:rPr>
            </w:pPr>
            <w:r>
              <w:rPr>
                <w:rFonts w:ascii="Arial" w:cs="Arial" w:eastAsia="Arial" w:hAnsi="Arial"/>
                <w:sz w:val="18"/>
                <w:szCs w:val="18"/>
                <w:color w:val="auto"/>
                <w:w w:val="88"/>
              </w:rPr>
              <w:t>30,316,740</w:t>
            </w:r>
          </w:p>
        </w:tc>
      </w:tr>
      <w:tr>
        <w:trPr>
          <w:trHeight w:val="230"/>
        </w:trPr>
        <w:tc>
          <w:tcPr>
            <w:tcW w:w="6900" w:type="dxa"/>
            <w:vAlign w:val="bottom"/>
            <w:gridSpan w:val="3"/>
          </w:tcPr>
          <w:p>
            <w:pPr>
              <w:ind w:left="1140"/>
              <w:spacing w:after="0"/>
              <w:rPr>
                <w:sz w:val="20"/>
                <w:szCs w:val="20"/>
                <w:color w:val="auto"/>
              </w:rPr>
            </w:pPr>
            <w:r>
              <w:rPr>
                <w:rFonts w:ascii="Arial" w:cs="Arial" w:eastAsia="Arial" w:hAnsi="Arial"/>
                <w:sz w:val="18"/>
                <w:szCs w:val="18"/>
                <w:color w:val="auto"/>
              </w:rPr>
              <w:t>Class B Common Stock, $.01 Par Value</w:t>
            </w:r>
          </w:p>
        </w:tc>
        <w:tc>
          <w:tcPr>
            <w:tcW w:w="4560" w:type="dxa"/>
            <w:vAlign w:val="bottom"/>
          </w:tcPr>
          <w:p>
            <w:pPr>
              <w:jc w:val="center"/>
              <w:ind w:right="190"/>
              <w:spacing w:after="0"/>
              <w:rPr>
                <w:sz w:val="20"/>
                <w:szCs w:val="20"/>
                <w:color w:val="auto"/>
              </w:rPr>
            </w:pPr>
            <w:r>
              <w:rPr>
                <w:rFonts w:ascii="Arial" w:cs="Arial" w:eastAsia="Arial" w:hAnsi="Arial"/>
                <w:sz w:val="18"/>
                <w:szCs w:val="18"/>
                <w:color w:val="auto"/>
                <w:w w:val="88"/>
              </w:rPr>
              <w:t>10,270,564</w:t>
            </w:r>
          </w:p>
        </w:tc>
      </w:tr>
      <w:tr>
        <w:trPr>
          <w:trHeight w:val="1050"/>
        </w:trPr>
        <w:tc>
          <w:tcPr>
            <w:tcW w:w="3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61"/>
        </w:trPr>
        <w:tc>
          <w:tcPr>
            <w:tcW w:w="352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45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6" w:right="19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0" w:type="dxa"/>
            <w:vAlign w:val="bottom"/>
            <w:gridSpan w:val="8"/>
          </w:tcPr>
          <w:p>
            <w:pPr>
              <w:jc w:val="center"/>
              <w:ind w:right="294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00" w:type="dxa"/>
            <w:vAlign w:val="bottom"/>
            <w:gridSpan w:val="7"/>
          </w:tcPr>
          <w:p>
            <w:pPr>
              <w:jc w:val="center"/>
              <w:ind w:right="46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6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60" w:type="dxa"/>
            <w:vAlign w:val="bottom"/>
            <w:gridSpan w:val="17"/>
            <w:shd w:val="clear" w:color="auto" w:fill="CCEEFF"/>
          </w:tcPr>
          <w:p>
            <w:pPr>
              <w:ind w:left="5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w:t>
              </w:r>
            </w:hyperlink>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2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31, 2016 (unaudited) and December 31, 2015</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20" w:type="dxa"/>
            <w:vAlign w:val="bottom"/>
            <w:gridSpan w:val="16"/>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and Comprehensive Income - For the Three Months Ended March 31, 2016 and 2015 (unaudited)</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2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 For the Three Months Ended March 31, 2016 and 2015 (unaudited)</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20" w:type="dxa"/>
            <w:vAlign w:val="bottom"/>
            <w:gridSpan w:val="1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60" w:type="dxa"/>
            <w:vAlign w:val="bottom"/>
            <w:gridSpan w:val="17"/>
            <w:shd w:val="clear" w:color="auto" w:fill="CCEEFF"/>
          </w:tcPr>
          <w:p>
            <w:pPr>
              <w:ind w:left="5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13">
              <w:r>
                <w:rPr>
                  <w:rFonts w:ascii="Arial" w:cs="Arial" w:eastAsia="Arial" w:hAnsi="Arial"/>
                  <w:sz w:val="18"/>
                  <w:szCs w:val="18"/>
                  <w:color w:val="0000EE"/>
                </w:rPr>
                <w:t>Management’s Discussion and Analysis of Financial Condition and Results of Operations</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60" w:type="dxa"/>
            <w:vAlign w:val="bottom"/>
            <w:gridSpan w:val="17"/>
            <w:shd w:val="clear" w:color="auto" w:fill="CCEEFF"/>
          </w:tcPr>
          <w:p>
            <w:pPr>
              <w:ind w:left="5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24">
              <w:r>
                <w:rPr>
                  <w:rFonts w:ascii="Arial" w:cs="Arial" w:eastAsia="Arial" w:hAnsi="Arial"/>
                  <w:sz w:val="18"/>
                  <w:szCs w:val="18"/>
                  <w:color w:val="0000EE"/>
                </w:rPr>
                <w:t>Quantitative and Qualitative Disclosures About Market Risk</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60" w:type="dxa"/>
            <w:vAlign w:val="bottom"/>
            <w:gridSpan w:val="17"/>
            <w:shd w:val="clear" w:color="auto" w:fill="CCEEFF"/>
          </w:tcPr>
          <w:p>
            <w:pPr>
              <w:ind w:left="5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25">
              <w:r>
                <w:rPr>
                  <w:rFonts w:ascii="Arial" w:cs="Arial" w:eastAsia="Arial" w:hAnsi="Arial"/>
                  <w:sz w:val="18"/>
                  <w:szCs w:val="18"/>
                  <w:color w:val="0000EE"/>
                </w:rPr>
                <w:t>Controls and Procedures</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6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60" w:type="dxa"/>
            <w:vAlign w:val="bottom"/>
            <w:gridSpan w:val="17"/>
            <w:shd w:val="clear" w:color="auto" w:fill="CCEEFF"/>
          </w:tcPr>
          <w:p>
            <w:pPr>
              <w:ind w:left="5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 </w:t>
            </w:r>
            <w:hyperlink w:anchor="page25">
              <w:r>
                <w:rPr>
                  <w:rFonts w:ascii="Arial" w:cs="Arial" w:eastAsia="Arial" w:hAnsi="Arial"/>
                  <w:sz w:val="18"/>
                  <w:szCs w:val="18"/>
                  <w:color w:val="0000EE"/>
                </w:rPr>
                <w:t>Legal Proceedings</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Item</w:t>
            </w:r>
          </w:p>
        </w:tc>
        <w:tc>
          <w:tcPr>
            <w:tcW w:w="9720" w:type="dxa"/>
            <w:vAlign w:val="bottom"/>
            <w:gridSpan w:val="16"/>
            <w:vMerge w:val="restart"/>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4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4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1A.</w:t>
            </w:r>
          </w:p>
        </w:tc>
        <w:tc>
          <w:tcPr>
            <w:tcW w:w="9720" w:type="dxa"/>
            <w:vAlign w:val="bottom"/>
            <w:gridSpan w:val="16"/>
            <w:vMerge w:val="continue"/>
            <w:shd w:val="clear" w:color="auto" w:fill="CCEEFF"/>
          </w:tcPr>
          <w:p>
            <w:pPr>
              <w:spacing w:after="0"/>
              <w:rPr>
                <w:sz w:val="7"/>
                <w:szCs w:val="7"/>
                <w:color w:val="auto"/>
              </w:rPr>
            </w:pPr>
          </w:p>
        </w:tc>
        <w:tc>
          <w:tcPr>
            <w:tcW w:w="4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top w:val="single" w:sz="8" w:color="CCEEFF"/>
            </w:tcBorders>
            <w:vMerge w:val="continue"/>
            <w:shd w:val="clear" w:color="auto" w:fill="CCEEFF"/>
          </w:tcPr>
          <w:p>
            <w:pPr>
              <w:spacing w:after="0"/>
              <w:rPr>
                <w:sz w:val="11"/>
                <w:szCs w:val="11"/>
                <w:color w:val="auto"/>
              </w:rPr>
            </w:pPr>
          </w:p>
        </w:tc>
        <w:tc>
          <w:tcPr>
            <w:tcW w:w="20" w:type="dxa"/>
            <w:vAlign w:val="bottom"/>
            <w:tcBorders>
              <w:top w:val="single" w:sz="8" w:color="0000EE"/>
            </w:tcBorders>
            <w:shd w:val="clear" w:color="auto" w:fill="CCEEFF"/>
          </w:tcPr>
          <w:p>
            <w:pPr>
              <w:spacing w:after="0"/>
              <w:rPr>
                <w:sz w:val="11"/>
                <w:szCs w:val="11"/>
                <w:color w:val="auto"/>
              </w:rPr>
            </w:pPr>
          </w:p>
        </w:tc>
        <w:tc>
          <w:tcPr>
            <w:tcW w:w="580" w:type="dxa"/>
            <w:vAlign w:val="bottom"/>
            <w:tcBorders>
              <w:top w:val="single" w:sz="8" w:color="0000EE"/>
            </w:tcBorders>
            <w:shd w:val="clear" w:color="auto" w:fill="CCEEFF"/>
          </w:tcPr>
          <w:p>
            <w:pPr>
              <w:spacing w:after="0"/>
              <w:rPr>
                <w:sz w:val="11"/>
                <w:szCs w:val="11"/>
                <w:color w:val="auto"/>
              </w:rPr>
            </w:pPr>
          </w:p>
        </w:tc>
        <w:tc>
          <w:tcPr>
            <w:tcW w:w="300" w:type="dxa"/>
            <w:vAlign w:val="bottom"/>
            <w:tcBorders>
              <w:top w:val="single" w:sz="8" w:color="0000EE"/>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60" w:type="dxa"/>
            <w:vAlign w:val="bottom"/>
            <w:gridSpan w:val="17"/>
            <w:shd w:val="clear" w:color="auto" w:fill="CCEEFF"/>
          </w:tcPr>
          <w:p>
            <w:pPr>
              <w:ind w:left="5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25">
              <w:r>
                <w:rPr>
                  <w:rFonts w:ascii="Arial" w:cs="Arial" w:eastAsia="Arial" w:hAnsi="Arial"/>
                  <w:sz w:val="18"/>
                  <w:szCs w:val="18"/>
                  <w:color w:val="0000EE"/>
                </w:rPr>
                <w:t>Unregistered Sales of Equity Securities and Use of Proceeds</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60" w:type="dxa"/>
            <w:vAlign w:val="bottom"/>
            <w:gridSpan w:val="17"/>
            <w:shd w:val="clear" w:color="auto" w:fill="CCEEFF"/>
          </w:tcPr>
          <w:p>
            <w:pPr>
              <w:ind w:left="5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25">
              <w:r>
                <w:rPr>
                  <w:rFonts w:ascii="Arial" w:cs="Arial" w:eastAsia="Arial" w:hAnsi="Arial"/>
                  <w:sz w:val="18"/>
                  <w:szCs w:val="18"/>
                  <w:color w:val="0000EE"/>
                </w:rPr>
                <w:t>Defaults Upon Senior Securities</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60" w:type="dxa"/>
            <w:vAlign w:val="bottom"/>
            <w:gridSpan w:val="17"/>
            <w:shd w:val="clear" w:color="auto" w:fill="CCEEFF"/>
          </w:tcPr>
          <w:p>
            <w:pPr>
              <w:ind w:left="5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25">
              <w:r>
                <w:rPr>
                  <w:rFonts w:ascii="Arial" w:cs="Arial" w:eastAsia="Arial" w:hAnsi="Arial"/>
                  <w:sz w:val="18"/>
                  <w:szCs w:val="18"/>
                  <w:color w:val="0000EE"/>
                </w:rPr>
                <w:t>Mine Safety Disclosures</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60" w:type="dxa"/>
            <w:vAlign w:val="bottom"/>
            <w:gridSpan w:val="17"/>
            <w:shd w:val="clear" w:color="auto" w:fill="CCEEFF"/>
          </w:tcPr>
          <w:p>
            <w:pPr>
              <w:ind w:left="5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5. </w:t>
            </w:r>
            <w:hyperlink w:anchor="page25">
              <w:r>
                <w:rPr>
                  <w:rFonts w:ascii="Arial" w:cs="Arial" w:eastAsia="Arial" w:hAnsi="Arial"/>
                  <w:sz w:val="18"/>
                  <w:szCs w:val="18"/>
                  <w:color w:val="0000EE"/>
                </w:rPr>
                <w:t>Other Information</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60" w:type="dxa"/>
            <w:vAlign w:val="bottom"/>
            <w:gridSpan w:val="17"/>
            <w:shd w:val="clear" w:color="auto" w:fill="CCEEFF"/>
          </w:tcPr>
          <w:p>
            <w:pPr>
              <w:ind w:left="5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6. </w:t>
            </w:r>
            <w:hyperlink w:anchor="page26">
              <w:r>
                <w:rPr>
                  <w:rFonts w:ascii="Arial" w:cs="Arial" w:eastAsia="Arial" w:hAnsi="Arial"/>
                  <w:sz w:val="18"/>
                  <w:szCs w:val="18"/>
                  <w:color w:val="0000EE"/>
                </w:rPr>
                <w:t>Exhibits</w:t>
              </w:r>
            </w:hyperlink>
          </w:p>
        </w:tc>
        <w:tc>
          <w:tcPr>
            <w:tcW w:w="4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w w:val="96"/>
              </w:rPr>
            </w:pPr>
            <w:hyperlink w:anchor="page27">
              <w:r>
                <w:rPr>
                  <w:rFonts w:ascii="Arial" w:cs="Arial" w:eastAsia="Arial" w:hAnsi="Arial"/>
                  <w:sz w:val="18"/>
                  <w:szCs w:val="18"/>
                  <w:b w:val="1"/>
                  <w:bCs w:val="1"/>
                  <w:color w:val="0000EE"/>
                  <w:w w:val="96"/>
                </w:rPr>
                <w:t>SIGNATURES</w:t>
              </w:r>
            </w:hyperlink>
          </w:p>
        </w:tc>
        <w:tc>
          <w:tcPr>
            <w:tcW w:w="9700" w:type="dxa"/>
            <w:vAlign w:val="bottom"/>
            <w:tcBorders>
              <w:bottom w:val="single" w:sz="8" w:color="CCEEFF"/>
            </w:tcBorders>
            <w:gridSpan w:val="15"/>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20" w:type="dxa"/>
            <w:vAlign w:val="bottom"/>
            <w:gridSpan w:val="12"/>
          </w:tcPr>
          <w:p>
            <w:pPr>
              <w:jc w:val="center"/>
              <w:ind w:left="2990"/>
              <w:spacing w:after="0"/>
              <w:rPr>
                <w:sz w:val="20"/>
                <w:szCs w:val="20"/>
                <w:color w:val="auto"/>
              </w:rPr>
            </w:pPr>
            <w:r>
              <w:rPr>
                <w:rFonts w:ascii="Arial" w:cs="Arial" w:eastAsia="Arial" w:hAnsi="Arial"/>
                <w:sz w:val="18"/>
                <w:szCs w:val="18"/>
                <w:color w:val="auto"/>
                <w:w w:val="99"/>
              </w:rPr>
              <w:t>2</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84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6"/>
              </w:rPr>
              <w:t>MARCH 31, 2016 AND DECEMBER 31, 2015</w:t>
            </w:r>
          </w:p>
        </w:tc>
        <w:tc>
          <w:tcPr>
            <w:tcW w:w="6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89"/>
              </w:rPr>
              <w:t>(In Thousands, Except Shares)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72,661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150,374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1,029,587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19,302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1,295,367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1,326,586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1,150,117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1,172,824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286,010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285,041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58,648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2,796,792</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2,852,008</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0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Floor plan notes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825,987</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150,392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14,994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Liabilities directly associated with assets held for sale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103,735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24,712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79,504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1,200,553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485,825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Capital lease obligations, net of current maturities</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71,498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181,397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188,987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9"/>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Preferred stock, par value $.01 per share; 1,000,000 shares authorized; 0 shares outstanding in 2016 and</w:t>
            </w:r>
          </w:p>
        </w:tc>
        <w:tc>
          <w:tcPr>
            <w:tcW w:w="200" w:type="dxa"/>
            <w:vAlign w:val="bottom"/>
            <w:shd w:val="clear" w:color="auto" w:fill="CCEEFF"/>
          </w:tcPr>
          <w:p>
            <w:pPr>
              <w:spacing w:after="0"/>
              <w:rPr>
                <w:sz w:val="17"/>
                <w:szCs w:val="17"/>
                <w:color w:val="auto"/>
              </w:rPr>
            </w:pPr>
          </w:p>
        </w:tc>
        <w:tc>
          <w:tcPr>
            <w:tcW w:w="14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9"/>
          </w:tcPr>
          <w:p>
            <w:pPr>
              <w:ind w:left="160"/>
              <w:spacing w:after="0" w:line="201" w:lineRule="exact"/>
              <w:rPr>
                <w:sz w:val="20"/>
                <w:szCs w:val="20"/>
                <w:color w:val="auto"/>
              </w:rPr>
            </w:pPr>
            <w:r>
              <w:rPr>
                <w:rFonts w:ascii="Arial" w:cs="Arial" w:eastAsia="Arial" w:hAnsi="Arial"/>
                <w:sz w:val="18"/>
                <w:szCs w:val="18"/>
                <w:color w:val="auto"/>
                <w:w w:val="99"/>
              </w:rPr>
              <w:t>Common stock, par value $.01 per share; 60,000,000 class A shares and 20,000,000 class B shares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320"/>
              <w:spacing w:after="0"/>
              <w:rPr>
                <w:sz w:val="20"/>
                <w:szCs w:val="20"/>
                <w:color w:val="auto"/>
              </w:rPr>
            </w:pPr>
            <w:r>
              <w:rPr>
                <w:rFonts w:ascii="Arial" w:cs="Arial" w:eastAsia="Arial" w:hAnsi="Arial"/>
                <w:sz w:val="18"/>
                <w:szCs w:val="18"/>
                <w:color w:val="auto"/>
                <w:w w:val="90"/>
              </w:rPr>
              <w:t>authorized; 30,513,909 class A shares and 10,279,281 class B shares outstanding in 2016; and 30,303,818</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9"/>
          </w:tcPr>
          <w:p>
            <w:pPr>
              <w:ind w:left="320"/>
              <w:spacing w:after="0"/>
              <w:rPr>
                <w:sz w:val="20"/>
                <w:szCs w:val="20"/>
                <w:color w:val="auto"/>
              </w:rPr>
            </w:pPr>
            <w:r>
              <w:rPr>
                <w:rFonts w:ascii="Arial" w:cs="Arial" w:eastAsia="Arial" w:hAnsi="Arial"/>
                <w:sz w:val="18"/>
                <w:szCs w:val="18"/>
                <w:color w:val="auto"/>
              </w:rPr>
              <w:t>class A shares and 10,093,305 class B shares outstanding in 2015</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293,196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Treasury stock, at cost: 2,616,657 class B shares</w:t>
            </w: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(43,368)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602,241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852,198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2,796,792</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2,852,008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3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368"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2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668,545</w:t>
            </w:r>
          </w:p>
        </w:tc>
        <w:tc>
          <w:tcPr>
            <w:tcW w:w="12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 sales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50,887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1,070,840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1,193,535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Parts and service sales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 of products sold</w:t>
            </w:r>
          </w:p>
        </w:tc>
        <w:tc>
          <w:tcPr>
            <w:tcW w:w="2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887,570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8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Earnings per common share - Basic</w:t>
            </w:r>
          </w:p>
        </w:tc>
        <w:tc>
          <w:tcPr>
            <w:tcW w:w="2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Diluted</w:t>
            </w:r>
          </w:p>
        </w:tc>
        <w:tc>
          <w:tcPr>
            <w:tcW w:w="28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Basic</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40,553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40,985</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18"/>
                <w:szCs w:val="18"/>
                <w:color w:val="auto"/>
              </w:rPr>
            </w:pPr>
          </w:p>
        </w:tc>
        <w:tc>
          <w:tcPr>
            <w:tcW w:w="28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5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5715</wp:posOffset>
            </wp:positionV>
            <wp:extent cx="2023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2,395</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39,073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sale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Impairment loss on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Stock-based compensation expense related to employee stock options and employee stock purchases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(7,585)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Excess tax expense from stock-based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21,384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Payments on floor plan notes payable – trade, net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101,238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(96,573)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Change in other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(52,588)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(109,926)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draws on floor plan notes payable – non-trade,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32,194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(4,853)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Excess tax expense from stock-based compensation</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72,661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47,275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10,265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20"/>
              <w:spacing w:after="0" w:line="196" w:lineRule="exact"/>
              <w:rPr>
                <w:sz w:val="20"/>
                <w:szCs w:val="20"/>
                <w:color w:val="auto"/>
              </w:rPr>
            </w:pPr>
            <w:r>
              <w:rPr>
                <w:rFonts w:ascii="Arial" w:cs="Arial" w:eastAsia="Arial" w:hAnsi="Arial"/>
                <w:sz w:val="18"/>
                <w:szCs w:val="18"/>
                <w:color w:val="auto"/>
              </w:rPr>
              <w:t>Income taxes (refunded) paid, net</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(15,015)</w:t>
            </w: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Assets acquired under capital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7,580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7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786"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2015. Results of operations for interim periods are not necessarily indicative of results that may be expected for any other interim periods or the full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capitalized costs of the SAP enterprise software and SAP dealership management system of $35.4 million, including capitalized interest, are recorded on the Consolidated Balance Sheet in Other Assets, net of accumulated amortization of $14.3 million. The SAP software is being amortized over a period of 15 years. The Company completed the conversion of all of its Rush Truck Centers and leasing operations to the SAP enterprise software and SAP dealership management system in the third quarter of 2015.</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Amortization expense relating to the SAP software, which is recognized in depreciation and amortization expense in the Consolidated Statement of Income, was $0.8 million for the three months ended March 31, 2016, and $0.8 million for the three months ended March 31, 2015. The Company estimates that amortization expense relating to the SAP software will be approximately $3.3 million for each of the next five succeeding years.</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March 31, 2016, and $7.9 million at December 31, 2015,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impairment write down was required in any period presented. The Company cannot predict the occurrence of certain events that might adversely affect the reported value of manufacturer franchise rights in the future.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2740" w:type="dxa"/>
            <w:vAlign w:val="bottom"/>
            <w:gridSpan w:val="4"/>
          </w:tcPr>
          <w:p>
            <w:pPr>
              <w:jc w:val="right"/>
              <w:ind w:right="25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80" w:type="dxa"/>
            <w:vAlign w:val="bottom"/>
          </w:tcPr>
          <w:p>
            <w:pPr>
              <w:ind w:left="160"/>
              <w:spacing w:after="0" w:line="201" w:lineRule="exact"/>
              <w:rPr>
                <w:sz w:val="20"/>
                <w:szCs w:val="20"/>
                <w:color w:val="auto"/>
              </w:rPr>
            </w:pPr>
            <w:r>
              <w:rPr>
                <w:rFonts w:ascii="Arial" w:cs="Arial" w:eastAsia="Arial" w:hAnsi="Arial"/>
                <w:sz w:val="18"/>
                <w:szCs w:val="18"/>
                <w:color w:val="auto"/>
                <w:w w:val="97"/>
              </w:rPr>
              <w:t>Numerator for basic and diluted earnings per share – Net income available to common</w:t>
            </w:r>
          </w:p>
        </w:tc>
        <w:tc>
          <w:tcPr>
            <w:tcW w:w="1020" w:type="dxa"/>
            <w:vAlign w:val="bottom"/>
            <w:vMerge w:val="restart"/>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2,395</w:t>
            </w:r>
          </w:p>
        </w:tc>
        <w:tc>
          <w:tcPr>
            <w:tcW w:w="200" w:type="dxa"/>
            <w:vAlign w:val="bottom"/>
          </w:tcPr>
          <w:p>
            <w:pPr>
              <w:spacing w:after="0"/>
              <w:rPr>
                <w:sz w:val="17"/>
                <w:szCs w:val="17"/>
                <w:color w:val="auto"/>
              </w:rPr>
            </w:pPr>
          </w:p>
        </w:tc>
        <w:tc>
          <w:tcPr>
            <w:tcW w:w="980" w:type="dxa"/>
            <w:vAlign w:val="bottom"/>
            <w:vMerge w:val="restart"/>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4"/>
              </w:rPr>
              <w:t>16,781</w:t>
            </w:r>
          </w:p>
        </w:tc>
        <w:tc>
          <w:tcPr>
            <w:tcW w:w="0" w:type="dxa"/>
            <w:vAlign w:val="bottom"/>
          </w:tcPr>
          <w:p>
            <w:pPr>
              <w:spacing w:after="0"/>
              <w:rPr>
                <w:sz w:val="1"/>
                <w:szCs w:val="1"/>
                <w:color w:val="auto"/>
              </w:rPr>
            </w:pPr>
          </w:p>
        </w:tc>
      </w:tr>
      <w:tr>
        <w:trPr>
          <w:trHeight w:val="217"/>
        </w:trPr>
        <w:tc>
          <w:tcPr>
            <w:tcW w:w="6880" w:type="dxa"/>
            <w:vAlign w:val="bottom"/>
          </w:tcPr>
          <w:p>
            <w:pPr>
              <w:ind w:left="320"/>
              <w:spacing w:after="0"/>
              <w:rPr>
                <w:sz w:val="20"/>
                <w:szCs w:val="20"/>
                <w:color w:val="auto"/>
              </w:rPr>
            </w:pPr>
            <w:r>
              <w:rPr>
                <w:rFonts w:ascii="Arial" w:cs="Arial" w:eastAsia="Arial" w:hAnsi="Arial"/>
                <w:sz w:val="18"/>
                <w:szCs w:val="18"/>
                <w:color w:val="auto"/>
              </w:rPr>
              <w:t>shareholders</w:t>
            </w:r>
          </w:p>
        </w:tc>
        <w:tc>
          <w:tcPr>
            <w:tcW w:w="10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Denominator–</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for basic earnings per share – weighted average shares outstanding</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40,553</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40,066</w:t>
            </w:r>
          </w:p>
        </w:tc>
        <w:tc>
          <w:tcPr>
            <w:tcW w:w="0" w:type="dxa"/>
            <w:vAlign w:val="bottom"/>
          </w:tcPr>
          <w:p>
            <w:pPr>
              <w:spacing w:after="0"/>
              <w:rPr>
                <w:sz w:val="1"/>
                <w:szCs w:val="1"/>
                <w:color w:val="auto"/>
              </w:rPr>
            </w:pP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and director stock options and restricted share awards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68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80" w:type="dxa"/>
            <w:vAlign w:val="bottom"/>
          </w:tcPr>
          <w:p>
            <w:pPr>
              <w:ind w:left="160"/>
              <w:spacing w:after="0" w:line="195" w:lineRule="exact"/>
              <w:rPr>
                <w:sz w:val="20"/>
                <w:szCs w:val="20"/>
                <w:color w:val="auto"/>
              </w:rPr>
            </w:pPr>
            <w:r>
              <w:rPr>
                <w:rFonts w:ascii="Arial" w:cs="Arial" w:eastAsia="Arial" w:hAnsi="Arial"/>
                <w:sz w:val="18"/>
                <w:szCs w:val="18"/>
                <w:color w:val="auto"/>
                <w:w w:val="91"/>
              </w:rPr>
              <w:t>Denominator for diluted earnings per share – adjusted weighted average shares outstanding</w:t>
            </w:r>
          </w:p>
        </w:tc>
        <w:tc>
          <w:tcPr>
            <w:tcW w:w="102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41,049</w:t>
            </w:r>
          </w:p>
        </w:tc>
        <w:tc>
          <w:tcPr>
            <w:tcW w:w="200" w:type="dxa"/>
            <w:vAlign w:val="bottom"/>
            <w:vMerge w:val="restart"/>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4"/>
              </w:rPr>
              <w:t>40,985</w:t>
            </w:r>
          </w:p>
        </w:tc>
        <w:tc>
          <w:tcPr>
            <w:tcW w:w="0" w:type="dxa"/>
            <w:vAlign w:val="bottom"/>
          </w:tcPr>
          <w:p>
            <w:pPr>
              <w:spacing w:after="0"/>
              <w:rPr>
                <w:sz w:val="1"/>
                <w:szCs w:val="1"/>
                <w:color w:val="auto"/>
              </w:rPr>
            </w:pPr>
          </w:p>
        </w:tc>
      </w:tr>
      <w:tr>
        <w:trPr>
          <w:trHeight w:val="190"/>
        </w:trPr>
        <w:tc>
          <w:tcPr>
            <w:tcW w:w="6880" w:type="dxa"/>
            <w:vAlign w:val="bottom"/>
          </w:tcPr>
          <w:p>
            <w:pPr>
              <w:ind w:left="320"/>
              <w:spacing w:after="0" w:line="190" w:lineRule="exact"/>
              <w:rPr>
                <w:sz w:val="20"/>
                <w:szCs w:val="20"/>
                <w:color w:val="auto"/>
              </w:rPr>
            </w:pPr>
            <w:r>
              <w:rPr>
                <w:rFonts w:ascii="Arial" w:cs="Arial" w:eastAsia="Arial" w:hAnsi="Arial"/>
                <w:sz w:val="18"/>
                <w:szCs w:val="18"/>
                <w:color w:val="auto"/>
              </w:rPr>
              <w:t>and assumed conversions</w:t>
            </w:r>
          </w:p>
        </w:tc>
        <w:tc>
          <w:tcPr>
            <w:tcW w:w="10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Options to purchase shares of common stock that were outstanding for the three months ended March 31, 2016 and 2015 that were not included in the computation of diluted earnings per share because the effect would have been anti-dilutive are as follows (in thousands):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March 31, 2016</w:t>
            </w:r>
          </w:p>
        </w:tc>
        <w:tc>
          <w:tcPr>
            <w:tcW w:w="180" w:type="dxa"/>
            <w:vAlign w:val="bottom"/>
          </w:tcPr>
          <w:p>
            <w:pPr>
              <w:spacing w:after="0"/>
              <w:rPr>
                <w:sz w:val="20"/>
                <w:szCs w:val="20"/>
                <w:color w:val="auto"/>
              </w:rPr>
            </w:pPr>
          </w:p>
        </w:tc>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March 31, 2015</w:t>
            </w: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anti-dilutive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r>
      <w:tr>
        <w:trPr>
          <w:trHeight w:val="20"/>
        </w:trPr>
        <w:tc>
          <w:tcPr>
            <w:tcW w:w="632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accounts for stock-based compensation in accordance with Accounting Standards Codification (“ASC”) 718-10, “Compensation</w:t>
      </w:r>
    </w:p>
    <w:p>
      <w:pPr>
        <w:spacing w:after="0" w:line="46"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 Stock Compensation,” which requires the measurement and recognition of compensation expense for all share-based payment awards made to our employees and directors, including employee stock options, restricted share awards and employee stock purchases related to the Employee Stock Purchase Plan based on estimated fair values. Stock-based compensation expense, calculated using the Black-Scholes option-pricing model for employee stock options, and included in selling, general and administrative expense, was $3.6 million for the three months ended March 31, 2016, and $3.7 million for the three months ended March 31, 2015. As of March 31, 2016, there was $21.0 million of total unrecognized compensation cost related to non-vested share-based compensation arrangements to be recognized over a weighted-average period of 2.7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The Company also applies the provisions of fair value measurement to various nonrecurring measurements for its financial and nonfinancial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March 31, 2016, and December 31, 2015. The carrying value of current assets and current liabilities approximates the fair value due to the short maturity of these items.</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its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Auction Rate Securities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2016 and December 31, 2015, the Company held auction rate securities with underlying tax-exempt municipal bonds that mature in 2030 and have a fair value of $6.7 million and a cost basis of $7.2 million. The Company redeemed $150,000 of the auction rate securities during the second quarter of 2014 and $275,000 during the second quarter of 2015. These bonds have credit wrap insurance and a credit rating of A by a major credit rating agency.</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valued the auction rate securities at March 31, 2016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ectPr>
          <w:pgSz w:w="11900" w:h="16838" w:orient="portrait"/>
          <w:cols w:equalWidth="0" w:num="1">
            <w:col w:w="11040"/>
          </w:cols>
          <w:pgMar w:left="240" w:top="11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recorded a pre-tax impairment charge of $1.0 million on these auction rate securities in 2011 and a subsequent pre-tax increase in fair value of $427,000 during 2014. The Company believes that the impairment is temporary and has included the impairment in accumulated other comprehensive loss.</w:t>
      </w:r>
    </w:p>
    <w:p>
      <w:pPr>
        <w:spacing w:after="0" w:line="181"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our financial statements as follows (in thousands):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3"/>
              </w:rPr>
              <w:t>At March 31, 2016</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At December 31, 2015</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500" w:type="dxa"/>
            <w:vAlign w:val="bottom"/>
          </w:tcPr>
          <w:p>
            <w:pPr>
              <w:spacing w:after="0"/>
              <w:rPr>
                <w:sz w:val="16"/>
                <w:szCs w:val="16"/>
                <w:color w:val="auto"/>
              </w:rPr>
            </w:pPr>
          </w:p>
        </w:tc>
        <w:tc>
          <w:tcPr>
            <w:tcW w:w="1000" w:type="dxa"/>
            <w:vAlign w:val="bottom"/>
          </w:tcPr>
          <w:p>
            <w:pPr>
              <w:jc w:val="center"/>
              <w:ind w:left="110"/>
              <w:spacing w:after="0" w:line="191" w:lineRule="exact"/>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640"/>
              <w:spacing w:after="0" w:line="191" w:lineRule="exact"/>
              <w:rPr>
                <w:sz w:val="20"/>
                <w:szCs w:val="20"/>
                <w:color w:val="auto"/>
              </w:rPr>
            </w:pPr>
            <w:r>
              <w:rPr>
                <w:rFonts w:ascii="Arial" w:cs="Arial" w:eastAsia="Arial" w:hAnsi="Arial"/>
                <w:sz w:val="18"/>
                <w:szCs w:val="18"/>
                <w:b w:val="1"/>
                <w:bCs w:val="1"/>
                <w:color w:val="auto"/>
                <w:w w:val="91"/>
              </w:rPr>
              <w:t>Level 2</w:t>
            </w:r>
          </w:p>
        </w:tc>
        <w:tc>
          <w:tcPr>
            <w:tcW w:w="980" w:type="dxa"/>
            <w:vAlign w:val="bottom"/>
            <w:gridSpan w:val="2"/>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Level 3</w:t>
            </w:r>
          </w:p>
        </w:tc>
        <w:tc>
          <w:tcPr>
            <w:tcW w:w="220" w:type="dxa"/>
            <w:vAlign w:val="bottom"/>
          </w:tcPr>
          <w:p>
            <w:pPr>
              <w:spacing w:after="0"/>
              <w:rPr>
                <w:sz w:val="16"/>
                <w:szCs w:val="16"/>
                <w:color w:val="auto"/>
              </w:rPr>
            </w:pPr>
          </w:p>
        </w:tc>
        <w:tc>
          <w:tcPr>
            <w:tcW w:w="94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left="30"/>
              <w:spacing w:after="0" w:line="191" w:lineRule="exact"/>
              <w:rPr>
                <w:sz w:val="20"/>
                <w:szCs w:val="20"/>
                <w:color w:val="auto"/>
              </w:rPr>
            </w:pPr>
            <w:r>
              <w:rPr>
                <w:rFonts w:ascii="Arial" w:cs="Arial" w:eastAsia="Arial" w:hAnsi="Arial"/>
                <w:sz w:val="18"/>
                <w:szCs w:val="18"/>
                <w:b w:val="1"/>
                <w:bCs w:val="1"/>
                <w:color w:val="auto"/>
                <w:w w:val="91"/>
              </w:rPr>
              <w:t>Level 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6"/>
                <w:szCs w:val="16"/>
                <w:color w:val="auto"/>
              </w:rPr>
            </w:pPr>
          </w:p>
        </w:tc>
      </w:tr>
      <w:tr>
        <w:trPr>
          <w:trHeight w:val="234"/>
        </w:trPr>
        <w:tc>
          <w:tcPr>
            <w:tcW w:w="2500" w:type="dxa"/>
            <w:vAlign w:val="bottom"/>
          </w:tcPr>
          <w:p>
            <w:pPr>
              <w:spacing w:after="0"/>
              <w:rPr>
                <w:sz w:val="20"/>
                <w:szCs w:val="20"/>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2"/>
              </w:rPr>
              <w:t>Inputs</w:t>
            </w:r>
          </w:p>
        </w:tc>
        <w:tc>
          <w:tcPr>
            <w:tcW w:w="12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Inputs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r>
      <w:tr>
        <w:trPr>
          <w:trHeight w:val="195"/>
        </w:trPr>
        <w:tc>
          <w:tcPr>
            <w:tcW w:w="2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 in auction rate</w:t>
            </w: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6,650</w:t>
            </w:r>
          </w:p>
        </w:tc>
        <w:tc>
          <w:tcPr>
            <w:tcW w:w="540" w:type="dxa"/>
            <w:vAlign w:val="bottom"/>
            <w:shd w:val="clear" w:color="auto" w:fill="CCEEFF"/>
          </w:tcPr>
          <w:p>
            <w:pPr>
              <w:jc w:val="right"/>
              <w:ind w:right="373"/>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67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6,650</w:t>
            </w:r>
          </w:p>
        </w:tc>
      </w:tr>
      <w:tr>
        <w:trPr>
          <w:trHeight w:val="630"/>
        </w:trPr>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Gross Unrealized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1"/>
              </w:rPr>
              <w:t>Loss In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4"/>
          </w:tcPr>
          <w:p>
            <w:pPr>
              <w:ind w:left="360"/>
              <w:spacing w:after="0"/>
              <w:rPr>
                <w:sz w:val="20"/>
                <w:szCs w:val="20"/>
                <w:color w:val="auto"/>
              </w:rPr>
            </w:pPr>
            <w:r>
              <w:rPr>
                <w:rFonts w:ascii="Arial" w:cs="Arial" w:eastAsia="Arial" w:hAnsi="Arial"/>
                <w:sz w:val="18"/>
                <w:szCs w:val="18"/>
                <w:b w:val="1"/>
                <w:bCs w:val="1"/>
                <w:color w:val="auto"/>
              </w:rPr>
              <w:t>Cost Basis</w:t>
            </w:r>
          </w:p>
        </w:tc>
        <w:tc>
          <w:tcPr>
            <w:tcW w:w="180" w:type="dxa"/>
            <w:vAlign w:val="bottom"/>
          </w:tcPr>
          <w:p>
            <w:pPr>
              <w:spacing w:after="0"/>
              <w:rPr>
                <w:sz w:val="18"/>
                <w:szCs w:val="18"/>
                <w:color w:val="auto"/>
              </w:rPr>
            </w:pPr>
          </w:p>
        </w:tc>
        <w:tc>
          <w:tcPr>
            <w:tcW w:w="154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4"/>
          </w:tcPr>
          <w:p>
            <w:pPr>
              <w:ind w:left="44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rPr>
              <w:t>OCI</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2016</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ind w:left="160"/>
              <w:spacing w:after="0"/>
              <w:rPr>
                <w:sz w:val="20"/>
                <w:szCs w:val="20"/>
                <w:color w:val="auto"/>
              </w:rPr>
            </w:pPr>
            <w:r>
              <w:rPr>
                <w:rFonts w:ascii="Arial" w:cs="Arial" w:eastAsia="Arial" w:hAnsi="Arial"/>
                <w:sz w:val="18"/>
                <w:szCs w:val="18"/>
                <w:color w:val="auto"/>
              </w:rPr>
              <w:t>Investment in auction rate securities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7,150</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6,650</w:t>
            </w:r>
          </w:p>
        </w:tc>
      </w:tr>
      <w:tr>
        <w:trPr>
          <w:trHeight w:val="210"/>
        </w:trPr>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b w:val="1"/>
                <w:bCs w:val="1"/>
                <w:color w:val="auto"/>
              </w:rPr>
              <w:t>December 31, 2015</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auction rate securities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6,650</w:t>
            </w:r>
          </w:p>
        </w:tc>
      </w:tr>
      <w:tr>
        <w:trPr>
          <w:trHeight w:val="20"/>
        </w:trPr>
        <w:tc>
          <w:tcPr>
            <w:tcW w:w="25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In January 2012, the Company entered into swap agreements to hedge against the potential impact of increases in interest rates on its floating-rate debt instruments. All interest rate swap contracts expired by July 1, 2015, therefore, at March 31, 2016, the Company did not have any interest rate swap contracts. Swap agreements that hedge exposures to changes in interest rates exposed the Company to credit risk and market risk.</w:t>
      </w:r>
    </w:p>
    <w:p>
      <w:pPr>
        <w:spacing w:after="0" w:line="147"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These swap contracts were designated as cash flow hedges, to pay fixed rates of interest and receive a floating interest rate based on LIBOR. The fixed interest rates specified in the interest rate swap contracts became effective on or about January 1, 2012. The Company’s interest rate swaps qualified for cash flow hedge accounting treatment. Unrealized gains or losses were recorded in Accumulated Other Comprehensive Income (Loss) on the Consolidated Balance Sheets. Amounts received or paid under the contracts were recognized as interest expense over the life of the contracts.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derivative instruments described above are on the accompanying Consolidated Statements of Income (in thousands):</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5"/>
              </w:rPr>
              <w:t>Loss Reclassified</w:t>
            </w:r>
          </w:p>
        </w:tc>
      </w:tr>
      <w:tr>
        <w:trPr>
          <w:trHeight w:val="216"/>
        </w:trPr>
        <w:tc>
          <w:tcPr>
            <w:tcW w:w="2920" w:type="dxa"/>
            <w:vAlign w:val="bottom"/>
          </w:tcPr>
          <w:p>
            <w:pPr>
              <w:spacing w:after="0"/>
              <w:rPr>
                <w:sz w:val="18"/>
                <w:szCs w:val="18"/>
                <w:color w:val="auto"/>
              </w:rPr>
            </w:pPr>
          </w:p>
        </w:tc>
        <w:tc>
          <w:tcPr>
            <w:tcW w:w="284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89"/>
              </w:rPr>
              <w:t>Gain (Loss) Recognized in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from Accumulated</w:t>
            </w:r>
          </w:p>
        </w:tc>
      </w:tr>
      <w:tr>
        <w:trPr>
          <w:trHeight w:val="216"/>
        </w:trPr>
        <w:tc>
          <w:tcPr>
            <w:tcW w:w="2920" w:type="dxa"/>
            <w:vAlign w:val="bottom"/>
          </w:tcPr>
          <w:p>
            <w:pPr>
              <w:spacing w:after="0"/>
              <w:rPr>
                <w:sz w:val="18"/>
                <w:szCs w:val="18"/>
                <w:color w:val="auto"/>
              </w:rPr>
            </w:pPr>
          </w:p>
        </w:tc>
        <w:tc>
          <w:tcPr>
            <w:tcW w:w="28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2"/>
              </w:rPr>
              <w:t>OCI on Derivatives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4"/>
              </w:rPr>
              <w:t>OCI into Income</w:t>
            </w:r>
          </w:p>
        </w:tc>
      </w:tr>
      <w:tr>
        <w:trPr>
          <w:trHeight w:val="216"/>
        </w:trPr>
        <w:tc>
          <w:tcPr>
            <w:tcW w:w="2920" w:type="dxa"/>
            <w:vAlign w:val="bottom"/>
          </w:tcPr>
          <w:p>
            <w:pPr>
              <w:spacing w:after="0"/>
              <w:rPr>
                <w:sz w:val="18"/>
                <w:szCs w:val="18"/>
                <w:color w:val="auto"/>
              </w:rPr>
            </w:pPr>
          </w:p>
        </w:tc>
        <w:tc>
          <w:tcPr>
            <w:tcW w:w="284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1"/>
              </w:rPr>
              <w:t>(Effective Portion)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(Effective Portion)</w:t>
            </w:r>
          </w:p>
        </w:tc>
      </w:tr>
      <w:tr>
        <w:trPr>
          <w:trHeight w:val="216"/>
        </w:trPr>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gridSpan w:val="3"/>
          </w:tcPr>
          <w:p>
            <w:pPr>
              <w:jc w:val="center"/>
              <w:ind w:right="757"/>
              <w:spacing w:after="0"/>
              <w:rPr>
                <w:sz w:val="20"/>
                <w:szCs w:val="20"/>
                <w:color w:val="auto"/>
              </w:rPr>
            </w:pPr>
            <w:r>
              <w:rPr>
                <w:rFonts w:ascii="Arial" w:cs="Arial" w:eastAsia="Arial" w:hAnsi="Arial"/>
                <w:sz w:val="18"/>
                <w:szCs w:val="18"/>
                <w:b w:val="1"/>
                <w:bCs w:val="1"/>
                <w:color w:val="auto"/>
                <w:w w:val="90"/>
              </w:rPr>
              <w:t>during the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center"/>
              <w:ind w:left="851"/>
              <w:spacing w:after="0"/>
              <w:rPr>
                <w:sz w:val="20"/>
                <w:szCs w:val="20"/>
                <w:color w:val="auto"/>
              </w:rPr>
            </w:pPr>
            <w:r>
              <w:rPr>
                <w:rFonts w:ascii="Arial" w:cs="Arial" w:eastAsia="Arial" w:hAnsi="Arial"/>
                <w:sz w:val="18"/>
                <w:szCs w:val="18"/>
                <w:b w:val="1"/>
                <w:bCs w:val="1"/>
                <w:color w:val="auto"/>
                <w:w w:val="93"/>
              </w:rPr>
              <w:t>during the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28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Location of Loss</w:t>
            </w:r>
          </w:p>
        </w:tc>
        <w:tc>
          <w:tcPr>
            <w:tcW w:w="30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r>
      <w:tr>
        <w:trPr>
          <w:trHeight w:val="191"/>
        </w:trPr>
        <w:tc>
          <w:tcPr>
            <w:tcW w:w="2920" w:type="dxa"/>
            <w:vAlign w:val="bottom"/>
          </w:tcPr>
          <w:p>
            <w:pPr>
              <w:spacing w:after="0"/>
              <w:rPr>
                <w:sz w:val="16"/>
                <w:szCs w:val="16"/>
                <w:color w:val="auto"/>
              </w:rPr>
            </w:pPr>
          </w:p>
        </w:tc>
        <w:tc>
          <w:tcPr>
            <w:tcW w:w="1160" w:type="dxa"/>
            <w:vAlign w:val="bottom"/>
            <w:tcBorders>
              <w:top w:val="single" w:sz="8" w:color="auto"/>
            </w:tcBorders>
          </w:tcPr>
          <w:p>
            <w:pPr>
              <w:jc w:val="center"/>
              <w:ind w:left="290"/>
              <w:spacing w:after="0" w:line="191" w:lineRule="exact"/>
              <w:rPr>
                <w:sz w:val="20"/>
                <w:szCs w:val="20"/>
                <w:color w:val="auto"/>
              </w:rPr>
            </w:pPr>
            <w:r>
              <w:rPr>
                <w:rFonts w:ascii="Arial" w:cs="Arial" w:eastAsia="Arial" w:hAnsi="Arial"/>
                <w:sz w:val="18"/>
                <w:szCs w:val="18"/>
                <w:b w:val="1"/>
                <w:bCs w:val="1"/>
                <w:color w:val="auto"/>
                <w:w w:val="93"/>
              </w:rPr>
              <w:t>March 31,</w:t>
            </w: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left="217"/>
              <w:spacing w:after="0" w:line="191" w:lineRule="exact"/>
              <w:rPr>
                <w:sz w:val="20"/>
                <w:szCs w:val="20"/>
                <w:color w:val="auto"/>
              </w:rPr>
            </w:pPr>
            <w:r>
              <w:rPr>
                <w:rFonts w:ascii="Arial" w:cs="Arial" w:eastAsia="Arial" w:hAnsi="Arial"/>
                <w:sz w:val="18"/>
                <w:szCs w:val="18"/>
                <w:b w:val="1"/>
                <w:bCs w:val="1"/>
                <w:color w:val="auto"/>
                <w:w w:val="93"/>
              </w:rPr>
              <w:t>March 31,</w:t>
            </w:r>
          </w:p>
        </w:tc>
        <w:tc>
          <w:tcPr>
            <w:tcW w:w="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Reclassified into</w:t>
            </w:r>
          </w:p>
        </w:tc>
        <w:tc>
          <w:tcPr>
            <w:tcW w:w="2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center"/>
              <w:ind w:right="590"/>
              <w:spacing w:after="0" w:line="191" w:lineRule="exact"/>
              <w:rPr>
                <w:sz w:val="20"/>
                <w:szCs w:val="20"/>
                <w:color w:val="auto"/>
              </w:rPr>
            </w:pPr>
            <w:r>
              <w:rPr>
                <w:rFonts w:ascii="Arial" w:cs="Arial" w:eastAsia="Arial" w:hAnsi="Arial"/>
                <w:sz w:val="18"/>
                <w:szCs w:val="18"/>
                <w:b w:val="1"/>
                <w:bCs w:val="1"/>
                <w:color w:val="auto"/>
                <w:w w:val="96"/>
              </w:rPr>
              <w:t>March 31,</w:t>
            </w:r>
          </w:p>
        </w:tc>
        <w:tc>
          <w:tcPr>
            <w:tcW w:w="1160" w:type="dxa"/>
            <w:vAlign w:val="bottom"/>
            <w:tcBorders>
              <w:top w:val="single" w:sz="8" w:color="auto"/>
            </w:tcBorders>
          </w:tcPr>
          <w:p>
            <w:pPr>
              <w:jc w:val="center"/>
              <w:ind w:right="270"/>
              <w:spacing w:after="0" w:line="191"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6"/>
                <w:szCs w:val="16"/>
                <w:color w:val="auto"/>
              </w:rPr>
            </w:pPr>
          </w:p>
        </w:tc>
      </w:tr>
      <w:tr>
        <w:trPr>
          <w:trHeight w:val="234"/>
        </w:trPr>
        <w:tc>
          <w:tcPr>
            <w:tcW w:w="29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680" w:type="dxa"/>
            <w:vAlign w:val="bottom"/>
            <w:gridSpan w:val="3"/>
          </w:tcPr>
          <w:p>
            <w:pPr>
              <w:jc w:val="right"/>
              <w:ind w:right="177"/>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Income</w:t>
            </w:r>
          </w:p>
        </w:tc>
        <w:tc>
          <w:tcPr>
            <w:tcW w:w="1300" w:type="dxa"/>
            <w:vAlign w:val="bottom"/>
          </w:tcPr>
          <w:p>
            <w:pPr>
              <w:jc w:val="right"/>
              <w:ind w:right="49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3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w:t>
            </w:r>
          </w:p>
        </w:tc>
        <w:tc>
          <w:tcPr>
            <w:tcW w:w="120" w:type="dxa"/>
            <w:vAlign w:val="bottom"/>
            <w:shd w:val="clear" w:color="auto" w:fill="CCEEFF"/>
          </w:tcPr>
          <w:p>
            <w:pPr>
              <w:spacing w:after="0"/>
              <w:rPr>
                <w:sz w:val="18"/>
                <w:szCs w:val="18"/>
                <w:color w:val="auto"/>
              </w:rPr>
            </w:pPr>
          </w:p>
        </w:tc>
        <w:tc>
          <w:tcPr>
            <w:tcW w:w="16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Interest Expense $</w:t>
            </w:r>
          </w:p>
        </w:tc>
        <w:tc>
          <w:tcPr>
            <w:tcW w:w="130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During the quarter ended March 31, 2016, the Company instituted plans to consolidate its dealership network. The Company recorded an impairment charge related to the value of the real estate in the affected locations. The Company also classified certain excess real estate as held for sale, which resulted in an additional impairment charge.</w:t>
      </w:r>
    </w:p>
    <w:p>
      <w:pPr>
        <w:spacing w:after="0" w:line="18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fair value measurements for the Company’s long-lived assets are based on Level 3 inputs, and during the first quarter of 2016, the Company reviewed and assessed properties classified as held for sale. Fair values were based on evaluations by a third-party real estate broker that utilizes its knowledge and historical experience in real estate markets and transactions. The Company is actively marketing the real estate and plans to sell it within the next year.</w:t>
      </w:r>
    </w:p>
    <w:p>
      <w:pPr>
        <w:sectPr>
          <w:pgSz w:w="11900" w:h="16838" w:orient="portrait"/>
          <w:cols w:equalWidth="0" w:num="1">
            <w:col w:w="11120"/>
          </w:cols>
          <w:pgMar w:left="240" w:top="11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long-lived assets measured and recorded at fair value on a nonrecurring basis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2016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 2016</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Fair Value</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Measurements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Using Significant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Unobservable</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0"/>
              </w:rPr>
              <w:t>Loss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For further discussion of assets held for sale, see Note 10 – Restructuring Costs of the Notes to Consolidated Financial Statements. For the quarter ended March 31, 2016, the loss was reported in selling, general and administrative expenses in the Consolidated Statements of Income and Comprehensive Income and was reported under the Truck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right="80" w:firstLine="648"/>
        <w:spacing w:after="0" w:line="293" w:lineRule="auto"/>
        <w:rPr>
          <w:sz w:val="20"/>
          <w:szCs w:val="20"/>
          <w:color w:val="auto"/>
        </w:rPr>
      </w:pPr>
      <w:r>
        <w:rPr>
          <w:rFonts w:ascii="Arial" w:cs="Arial" w:eastAsia="Arial" w:hAnsi="Arial"/>
          <w:sz w:val="16"/>
          <w:szCs w:val="16"/>
          <w:color w:val="auto"/>
        </w:rPr>
        <w:t>The Company currently has one reportable business segment - the Truck Segment. The Truck Segment includes the Company’s operation of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assessing its performance.</w:t>
      </w:r>
    </w:p>
    <w:p>
      <w:pPr>
        <w:spacing w:after="0" w:line="16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w:t>
      </w:r>
    </w:p>
    <w:p>
      <w:pPr>
        <w:spacing w:after="0" w:line="224"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March 31, 2016 and 2015 (in thousands):</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Truck Segment</w:t>
            </w:r>
          </w:p>
        </w:tc>
        <w:tc>
          <w:tcPr>
            <w:tcW w:w="240" w:type="dxa"/>
            <w:vAlign w:val="bottom"/>
          </w:tcPr>
          <w:p>
            <w:pPr>
              <w:spacing w:after="0"/>
              <w:rPr>
                <w:sz w:val="20"/>
                <w:szCs w:val="20"/>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Totals</w:t>
            </w:r>
          </w:p>
        </w:tc>
      </w:tr>
      <w:tr>
        <w:trPr>
          <w:trHeight w:val="210"/>
        </w:trPr>
        <w:tc>
          <w:tcPr>
            <w:tcW w:w="5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2016</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1,067,290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3,550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1,070,840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4,370</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Segment assets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2,764,294</w:t>
            </w: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32,498</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2,796,792</w:t>
            </w:r>
          </w:p>
        </w:tc>
      </w:tr>
      <w:tr>
        <w:trPr>
          <w:trHeight w:val="216"/>
        </w:trPr>
        <w:tc>
          <w:tcPr>
            <w:tcW w:w="5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March 31, 2015</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1,189,987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1,193,535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27,752</w:t>
            </w: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27,388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2,708,600</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30,123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2,738,723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The Company had unrecognized income tax benefits totaling $2.3 million as a component of accrued liabilities at March 31, 2016 and December 31, 2015, the total of which, if recognized, would impact its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$110,100 accrued for the payment of interest at March 31, 2016 and December 31, 2015.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March 31, 2016, the tax years ended December 31, 2012 through 2015 remained subject to audit by federal tax authorities and the tax years ended December 31, 2011 through 2015, remained subject to audit by state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loss, net of tax,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Three Months Ended March 31, 2016</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2"/>
              </w:rPr>
              <w:t>Available for Sale</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Cash Flow Swaps</w:t>
            </w:r>
          </w:p>
        </w:tc>
        <w:tc>
          <w:tcPr>
            <w:tcW w:w="12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480" w:type="dxa"/>
            <w:vAlign w:val="bottom"/>
          </w:tcPr>
          <w:p>
            <w:pPr>
              <w:spacing w:after="0"/>
              <w:rPr>
                <w:sz w:val="20"/>
                <w:szCs w:val="20"/>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r>
      <w:tr>
        <w:trPr>
          <w:trHeight w:val="20"/>
        </w:trPr>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Three Months Ended March 31, 2015</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2"/>
              </w:rPr>
              <w:t>Available for Sale</w:t>
            </w: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Cash Flow Swaps</w:t>
            </w:r>
          </w:p>
        </w:tc>
        <w:tc>
          <w:tcPr>
            <w:tcW w:w="12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480" w:type="dxa"/>
            <w:vAlign w:val="bottom"/>
          </w:tcPr>
          <w:p>
            <w:pPr>
              <w:spacing w:after="0"/>
              <w:rPr>
                <w:sz w:val="20"/>
                <w:szCs w:val="20"/>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0"/>
        </w:trPr>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r>
      <w:tr>
        <w:trPr>
          <w:trHeight w:val="20"/>
        </w:trPr>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amount of loss reclassified from accumulated other comprehensive loss into earnings (in thousands):</w:t>
      </w:r>
    </w:p>
    <w:p>
      <w:pPr>
        <w:spacing w:after="0" w:line="29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3380" w:type="dxa"/>
            <w:vAlign w:val="bottom"/>
            <w:gridSpan w:val="6"/>
          </w:tcPr>
          <w:p>
            <w:pPr>
              <w:jc w:val="right"/>
              <w:ind w:right="980"/>
              <w:spacing w:after="0"/>
              <w:rPr>
                <w:sz w:val="20"/>
                <w:szCs w:val="20"/>
                <w:color w:val="auto"/>
              </w:rPr>
            </w:pPr>
            <w:r>
              <w:rPr>
                <w:rFonts w:ascii="Arial" w:cs="Arial" w:eastAsia="Arial" w:hAnsi="Arial"/>
                <w:sz w:val="18"/>
                <w:szCs w:val="18"/>
                <w:color w:val="auto"/>
              </w:rPr>
              <w:t>Three Months Ended</w:t>
            </w:r>
          </w:p>
        </w:tc>
      </w:tr>
      <w:tr>
        <w:trPr>
          <w:trHeight w:val="210"/>
        </w:trPr>
        <w:tc>
          <w:tcPr>
            <w:tcW w:w="632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March 31, 2016</w:t>
            </w: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 2015</w:t>
            </w:r>
          </w:p>
        </w:tc>
        <w:tc>
          <w:tcPr>
            <w:tcW w:w="100" w:type="dxa"/>
            <w:vAlign w:val="bottom"/>
          </w:tcPr>
          <w:p>
            <w:pPr>
              <w:spacing w:after="0"/>
              <w:rPr>
                <w:sz w:val="18"/>
                <w:szCs w:val="18"/>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Losses on cash flow swaps to:</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5"/>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0"/>
        </w:trPr>
        <w:tc>
          <w:tcPr>
            <w:tcW w:w="63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5"/>
              </w:rPr>
              <w:t>−</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0"/>
        </w:trPr>
        <w:tc>
          <w:tcPr>
            <w:tcW w:w="63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Restructuring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quarter ended March 31, 2016, the Company instituted plans to consolidate its dealership network.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incurred pre-tax expense of approximately $8.1 million related to restructuring activities in the quarter ended March 31, 2016. The restructuring costs included $2.7 million associated with impairment charges to certain fixed assets and the value of the real estate underlying the affected locations, which was reported in selling, general and administrative expenses in the Consolidated Statements of Income and Comprehensive Income. The restructuring costs also included $350,000 associated with severance benefits for the reduction of approximately 100 employees and contract termination costs that were reported as selling, general and administrative expenses in the Consolidated Statements of Income and Comprehensive Income.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the Company classified certain excess real estate as held for sale, which resulted in an impairment charge of $5.0 million, which was reported in selling, general and administrative expenses in the Consolidated Statements of Income and Comprehensive Income for the quarter ended March 31, 2016.</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2016, the real estate associated with the restructuring activities and the excess real estate is included in assets held for sale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New Accounting Pronouncements</w:t>
      </w:r>
    </w:p>
    <w:p>
      <w:pPr>
        <w:spacing w:after="0" w:line="229" w:lineRule="exact"/>
        <w:rPr>
          <w:sz w:val="20"/>
          <w:szCs w:val="20"/>
          <w:color w:val="auto"/>
        </w:rPr>
      </w:pPr>
    </w:p>
    <w:p>
      <w:pPr>
        <w:jc w:val="both"/>
        <w:ind w:right="40" w:firstLine="648"/>
        <w:spacing w:after="0" w:line="271" w:lineRule="auto"/>
        <w:rPr>
          <w:sz w:val="20"/>
          <w:szCs w:val="20"/>
          <w:color w:val="auto"/>
        </w:rPr>
      </w:pPr>
      <w:r>
        <w:rPr>
          <w:rFonts w:ascii="Arial" w:cs="Arial" w:eastAsia="Arial" w:hAnsi="Arial"/>
          <w:sz w:val="17"/>
          <w:szCs w:val="17"/>
          <w:color w:val="auto"/>
        </w:rPr>
        <w:t>In March 2016, the Financial Accounting Standards Board (“FASB”) issued a new standard that changes the accounting for certain aspects of share-based payments to employees. The new guidance requires excess tax benefits and tax deficiencies to be recorded in the income statement when the awards vest or are settled. In addition, cash flows related to excess tax benefits will no longer be separately classified as a financing activity apart from other income tax cash flows. The standard also allows the Company to repurchase more of an employee’s shares for tax withholding purposes without triggering liability accounting, clarifies that all cash payments made on an employee’s behalf for withheld shares should be presented as a financing activity on its cash flows statement, and provides an accounting policy election to account for forfeitures as they occur. The new standard is effective for the Company beginning January 1, 2017, with early adoption permitted. The Company is currently evaluating the effect that adopting this standard will have on its financial statements and related disclosures.</w:t>
      </w:r>
    </w:p>
    <w:p>
      <w:pPr>
        <w:spacing w:after="0" w:line="179"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Accounting by lessors will remain largely unchanged from current U.S. generally accepted accounting principles. The new standard is effective for public companies for fiscal years beginning after December 15, 2018, and interim periods within those years, with early adoption permitted. We are currently evaluating the effect that adopting this standard will have on our financial statements and related disclosures.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2014-09), which replaces existing revenue recognition rules with a comprehensive revenue measurement and recognition standard and expanded disclosure requirements. ASU 2014-09 becomes effective for annual reporting periods beginning after December 15, 2017, following the July 2015 approval of a one-year deferral of the effective date by the FASB. We continue to evaluate the impact of the new standard and available adoption methods.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00"/>
          </w:cols>
          <w:pgMar w:left="240" w:top="118" w:right="55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2015,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3"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06" w:lineRule="exact"/>
        <w:rPr>
          <w:sz w:val="20"/>
          <w:szCs w:val="20"/>
          <w:color w:val="auto"/>
        </w:rPr>
      </w:pPr>
    </w:p>
    <w:p>
      <w:pPr>
        <w:jc w:val="both"/>
        <w:ind w:firstLine="648"/>
        <w:spacing w:after="0" w:line="188"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International</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Blue Bird Investment Corporation. IC Bus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IC Bus, LLC. Fuso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Mitsubishi Fuso Truck and Bus Corporation. Hino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Hino Motors, Ltd. Isuzu</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Isuzu Motors Limited. Ford Motor Credit Company</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Ford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SAP</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SAP Aktiengesellschaft. IBM</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International Business Machines Corporation. This report contains additional trade names or trademarks of other companies. Our use of such trade names or trademarks should not imply any endorsement or relationship with such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our subsidiaries. Our principal offices are located at 555 IH 35 South, Suite 500, New Braunfels, Texas 78130.</w:t>
      </w:r>
    </w:p>
    <w:p>
      <w:pPr>
        <w:spacing w:after="0" w:line="170"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21 states.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 in addition to new and used commercial vehicle sales and leasing, plus financial services, vehicle upfitting, CNG fuel systems, vehicle telematics products, chrome accessories and tires.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which are also described in Note 2 of the Notes to the Consolidated Financial Statements, affect our more significant judgments and estimates used in the preparation of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2015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2012 until 2015, we utilized derivative financial instruments to manage our interest rate risk relating to the variability of cash flows and changes in the fair value of our financial instruments caused by movements in interest rates. We assessed hedge effectiveness at the inception and during the term of each hedge. Derivatives are reported at fair value on the accompanying Consolidated Balance Sheets.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effective portion of the gain or loss on our cash flow hedges are reported as a component of accumulated other comprehensive loss. Hedge effectiveness was assessed quarterly by comparing the changes in cumulative gain or loss from the interest rate swap with the cumulative changes in the present value of the expected future cash flows of the interest rate swap that are attributable to changes in the LIBOR rate.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discussion and analysis includes our historical results of operations for the three months ended March 31, 2016 and 2015.</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221"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101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82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Parts and service sales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31.9</w:t>
            </w: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Finance and insurance</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0"/>
        </w:trPr>
        <w:tc>
          <w:tcPr>
            <w:tcW w:w="67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w:t>
            </w:r>
          </w:p>
        </w:tc>
      </w:tr>
      <w:tr>
        <w:trPr>
          <w:trHeight w:val="20"/>
        </w:trPr>
        <w:tc>
          <w:tcPr>
            <w:tcW w:w="67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0"/>
        </w:trPr>
        <w:tc>
          <w:tcPr>
            <w:tcW w:w="67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0"/>
        </w:trPr>
        <w:tc>
          <w:tcPr>
            <w:tcW w:w="67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0"/>
        </w:trPr>
        <w:tc>
          <w:tcPr>
            <w:tcW w:w="67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7820" w:type="dxa"/>
            <w:vAlign w:val="bottom"/>
            <w:gridSpan w:val="2"/>
          </w:tcPr>
          <w:p>
            <w:pPr>
              <w:ind w:left="80"/>
              <w:spacing w:after="0"/>
              <w:rPr>
                <w:sz w:val="20"/>
                <w:szCs w:val="20"/>
                <w:color w:val="auto"/>
              </w:rPr>
            </w:pPr>
            <w:r>
              <w:rPr>
                <w:rFonts w:ascii="Arial" w:cs="Arial" w:eastAsia="Arial" w:hAnsi="Arial"/>
                <w:sz w:val="18"/>
                <w:szCs w:val="18"/>
                <w:color w:val="auto"/>
                <w:w w:val="97"/>
              </w:rPr>
              <w:t>The following table sets forth for the periods indicated the percent of gross profit by revenue source:</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780" w:type="dxa"/>
            <w:vAlign w:val="bottom"/>
          </w:tcPr>
          <w:p>
            <w:pPr>
              <w:spacing w:after="0"/>
              <w:rPr>
                <w:sz w:val="24"/>
                <w:szCs w:val="24"/>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7820" w:type="dxa"/>
            <w:vAlign w:val="bottom"/>
            <w:gridSpan w:val="2"/>
          </w:tcPr>
          <w:p>
            <w:pPr>
              <w:ind w:left="738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8"/>
                <w:szCs w:val="18"/>
                <w:color w:val="auto"/>
              </w:rPr>
            </w:pPr>
          </w:p>
        </w:tc>
      </w:tr>
      <w:tr>
        <w:trPr>
          <w:trHeight w:val="885"/>
        </w:trPr>
        <w:tc>
          <w:tcPr>
            <w:tcW w:w="580" w:type="dxa"/>
            <w:vAlign w:val="bottom"/>
          </w:tcPr>
          <w:p>
            <w:pPr>
              <w:spacing w:after="0"/>
              <w:rPr>
                <w:sz w:val="24"/>
                <w:szCs w:val="24"/>
                <w:color w:val="auto"/>
              </w:rPr>
            </w:pPr>
          </w:p>
        </w:tc>
        <w:tc>
          <w:tcPr>
            <w:tcW w:w="6780" w:type="dxa"/>
            <w:vAlign w:val="bottom"/>
            <w:tcBorders>
              <w:top w:val="single" w:sz="8" w:color="CCEEFF"/>
            </w:tcBorders>
          </w:tcPr>
          <w:p>
            <w:pPr>
              <w:ind w:left="5040"/>
              <w:spacing w:after="0"/>
              <w:rPr>
                <w:sz w:val="20"/>
                <w:szCs w:val="20"/>
                <w:color w:val="auto"/>
              </w:rPr>
            </w:pPr>
            <w:r>
              <w:rPr>
                <w:rFonts w:ascii="Arial" w:cs="Arial" w:eastAsia="Arial" w:hAnsi="Arial"/>
                <w:sz w:val="18"/>
                <w:szCs w:val="18"/>
                <w:color w:val="auto"/>
              </w:rPr>
              <w:t>16</w:t>
            </w:r>
          </w:p>
        </w:tc>
        <w:tc>
          <w:tcPr>
            <w:tcW w:w="10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67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8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4,074</w:t>
            </w: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Used vehicles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880" w:type="dxa"/>
            <w:vAlign w:val="bottom"/>
            <w:gridSpan w:val="2"/>
          </w:tcPr>
          <w:p>
            <w:pPr>
              <w:jc w:val="right"/>
              <w:ind w:right="85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350.5</w:t>
            </w:r>
          </w:p>
        </w:tc>
        <w:tc>
          <w:tcPr>
            <w:tcW w:w="200" w:type="dxa"/>
            <w:vAlign w:val="bottom"/>
          </w:tcPr>
          <w:p>
            <w:pPr>
              <w:spacing w:after="0"/>
              <w:rPr>
                <w:sz w:val="18"/>
                <w:szCs w:val="18"/>
                <w:color w:val="auto"/>
              </w:rPr>
            </w:pPr>
          </w:p>
        </w:tc>
        <w:tc>
          <w:tcPr>
            <w:tcW w:w="10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512.9</w:t>
            </w: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1880" w:type="dxa"/>
            <w:vAlign w:val="bottom"/>
            <w:gridSpan w:val="2"/>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Other vehicle revenues:</w:t>
            </w:r>
            <w:r>
              <w:rPr>
                <w:rFonts w:ascii="Arial" w:cs="Arial" w:eastAsia="Arial" w:hAnsi="Arial"/>
                <w:sz w:val="25"/>
                <w:szCs w:val="25"/>
                <w:color w:val="auto"/>
                <w:vertAlign w:val="superscript"/>
              </w:rPr>
              <w:t>(1)</w:t>
            </w:r>
          </w:p>
        </w:tc>
        <w:tc>
          <w:tcPr>
            <w:tcW w:w="1880" w:type="dxa"/>
            <w:vAlign w:val="bottom"/>
            <w:gridSpan w:val="2"/>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Dealership absorption ratio:</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106.4%</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body shop (collectively, “Aftermarket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our commercial vehicle dealerships’ absorption ratio was approximately 80%. Since 1999, we have made a concerted effort to increase our absorption ratio. Our truck dealerships achieved a 106.4% absorption ratio for the first quarter of 2016 and 115.3% absorption ratio for the first quarter of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Compared to Three Months Ended March 31, 2015</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Increased capacity from near record Class 8 truck sales in 2015, reduced used commercial vehicle values and continued softness in the energy sector had a negative impact on our new Class 8 truck sales, aftermarket revenues and profitability in the first quarter of 2016.</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Strong new Class 4 through 7 commercial vehicle sales in the first quarter of 2016 helped offset the decline in new Class 8 truck sales. In addition, in order to offset declining revenues, we implemented broad and significant expense reductions during the first quarter of 2016.</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quarter of 2016, we opened a newly constructed International and IC Bus dealership in Columbus, Ohio, consolidating two dealerships into one new location. We also completed a major renovation of our Peterbilt, Ford and Isuzu dealership in Whittier, California, and relocated our Peterbilt dealership in Odessa, Texas, to a new larger dealership. In addition, in April, Rush Truck Center – Denver moved to new, expanded facilities, and we added a new Peterbilt location in Bowling Green, Kentucky.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Revenues decreased $122.7 million, or 10.3%, in the first quarter of 2016 compared to the first quarter of 2015. This decrease was primarily the result of decreased demand for new Class 8 trucks resulting from near record Class 8 truck sales in 2015, reduced used commercial vehicle values, declining sales to the energy sector and related geographic regions, and an uncertain freight environment.</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Aftermarket Services revenues increased $4.9 million, or 1.5%, in the first quarter of 2016, compared to the first quarter of 2015. This increase was primarily the result of acquisitions that occurred during 2015. We expect our Aftermarket Services revenues to remain relatively flat during 2016 compared to 2015. Aftermarket Services revenues continue to be negatively impacted by decreases in drilling activity in the energy sector.</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decreased $131.6 million, or 16.5%, in the first quarter of 2016 compared to the first quarter of 2015, primarily as a result of the factors described above.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sold 2,679 heavy-duty trucks in the first quarter of 2016, a 34.2% decrease compared to 4,074 heavy-duty trucks in the first quarter of 2015. According to A.C.T. Research Co., LLC (“A.C.T. Research”), a truck industry data and forecasting service provider, the U.S. Class 8 truck market decreased 6.2% in the first quarter of 2016 compared to the first quarter of 2015. A.C.T. Research currently predicts U.S. retail sales of Class 8 trucks of approximately 207,000 units in 2016, 198,000 units in 2017, and 210,000 units in 2018, compared to approximately 253,000 units in 2015. Our share of the U.S. Class 8 truck sales market was approximately 6.7% in 2015. We expect our U.S. Class 8 truck sales market share to range between 5.0% and 6.0% in 2016. This market share percentage would result in the sale of approximately 10,350 to 12,400 of Class 8 trucks in 2016 based on A.C.T. Research’s current U.S. retail sales estimate of 207,000 units. However, we believe that U.S. retail sales for Class 8 trucks in 2016 could be less that A.C.T. Research’s current forecast.</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sold 3,271 Class 4 through 7 commercial vehicles, including 198 buses, in the first quarter of 2016, a 21.8% increase compared to 2,686 medium-duty commercial vehicles, including 269 buses, in the first quarter of 2015. A.C.T. Research estimates that unit sales of Class 4 through 7 commercial vehicles in the U.S. increased approximately 20.4% in the first quarter of 2016, compared to the first quarter of 2015. A.C.T. Research currently predicts U.S. retail sales of Class 4 through 7 medium-duty commercial vehicles of approximately 220,850 units in 2016, 229,100 units in 2017, and 231,350 in 2018. In 2015, we achieved a 5.2% share of the Class 4 through 7 market in the U.S. We expect our market share to range between 5.0% and 5.5% of the U.S. Class 4 through 7 commercial vehicle sales in 2016. This market share percentage would result in the sale of approximately 11,000 to 12,100 of Class 4 through 7 commercial vehicles in 2016 based on A.C.T. Research’s current U.S. retail sales estimates of 220,850 units.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387 light-duty vehicles in the first quarter of 2016, a 2.4% increase compared to 378 light-duty vehicles in the first quarter of 2015. We expect to sell approximately 1,900 light-duty vehicles in 2016.</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1,735 used commercial vehicles in the first quarter of 2016, a 6.8% decrease compared to 1,862 used commercial vehicles in the first quarter of 2015. We expect to sell approximately 8,000 to 8,300 used commercial vehicles in 2016. The volume of used commercial vehicle sales will be largely dependent upon our ability to acquire quality used commercial vehicles and maintain an adequate used commercial vehicle inventory throughout 2016.</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Truck lease and rental revenues increased $3.1 million, or 6.5%, in the first quarter of 2016, compared to the first quarter of 2015. The increase in lease and rental revenues was primarily due to the increased number of units put into service in the lease and rental fleet. We expect lease and rental revenues to increase 7% to 10% during 2016, compared to 2015.</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and insurance revenues remained flat at $4.5 million in the first quarter of 2016, compared to the first quarter of 2015. We expect finance and insurance revenues to fluctuate proportionately with our new and used commercial vehicle sales in 2016. Finance and insurance revenues have limited direct costs and, therefore, contribute a disproportionate share of our operating profits.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revenue increased $1.0 million, or 24.4% in the first quarter of 2016, compared to the first quarter of 2015. Other revenue consists primarily of the gain on sale realized on trucks from the lease and rental fleet, document fees related to commercial vehicle sales and income from our Central California Truck and Trailer Sales, LLC joint venture, which has multiple locations in California that sell used trucks.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Gross profit decreased $10.4 million, or 5.3%, in the first quarter of 2016, compared to the first quarter of 2015. This decrease was primarily the result of decreased sales of new Class 8 trucks and used commercial vehicles. Gross profit as a percentage of sales increased to 17.1% in the first quarter of 2016, from 16.2% in the first quarter of 2015. This increase in gross profit as a percentage of sales is a result of a change in our product sales mix. Commercial vehicle sales, a lower margin revenue item, decreased as a percentage of total revenues to 62.4% in the first quarter of 2016, from 67.0% in the first quarter of 2015. Aftermarket Services revenues, a higher margin revenue item, increased as a percentage of total revenues to 31.9% in the first quarter of 2016, from 28.2% in the first quarter of 2015.</w:t>
      </w:r>
    </w:p>
    <w:p>
      <w:pPr>
        <w:spacing w:after="0" w:line="178"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Gross margins from our Aftermarket Services operations decreased to 36.2% in the first quarter of 2016, from 36.3% in the first quarter of 2015. Gross profit from our Aftermarket Services operations increased to $123.7 million in the first quarter of 2016 from $122.3 million in the first quarter of 2015. Historically, gross margins on parts sales range from 27% to 28% and service and body shop operations range from 67% to 68%. Gross profits from parts sales represented 55% of total gross profit for Aftermarket Services operations in the first quarter of 2016 and 56% in the first quarter of 2015. Service and body shop operations represented 45% of total gross profit for Aftermarket Services operations in the first quarter of 2016 and 44% in the first quarter of 2015. We expect blended gross margins on Aftermarket Services operations to range from 36.0% to 37.0% in 2016.</w:t>
      </w:r>
    </w:p>
    <w:p>
      <w:pPr>
        <w:spacing w:after="0" w:line="16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Class 8 truck sales decreased to 6.7% in the first quarter of 2016, from 6.8% in the first quarter of 2015. This decrease is attributable to the sales mix in the first quarter of 2016, which consisted of more sales to over-the-road fleet customers, a lower margin revenue item. In 2016, we expect overall gross margins from Class 8 truck sales of approximately 6.2% to 6.6%.</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medium-duty commercial vehicle sales increased to 5.7% in the first quarter of 2016, from 5.2% in the first quarter of 2015. For 2016, we expect overall gross margins from medium-duty commercial vehicle sales of approximately 5.5% to 6.0%, but this will largely depend upon the mix of purchasers and types of vehicles sold.</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Gross margins on used commercial vehicle sales decreased to 10.1% in the first quarter of 2016, from 13.1% in the first quarter of 2015. This decrease is primarily related to the decrease in used truck residual values. We expect margins on used commercial vehicles to range between 8.0% and 10.0% during 2016, depending on general economic conditions and our ability to acquire quality used vehicles.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Gross margins from truck lease and rental sales decreased to 10.3% in the first quarter of 2016, from 14.3% in the first quarter of 2015. This decrease is primarily related to decreased drilling activity in the energy sector which has led to a decline in related business activity. We expect gross margins from lease and rental sales of approximately 12.0% to 14.0% during 2016, as we expect to continue to grow our lease and rental fleet. Our policy is to depreciate our lease and rental fleet using a straight line method over each customer’s contractual lease term. The lease unit is depreciated to a residual value that attempts to approximate fair value at the expiration of the lease term. This policy results in the Company realizing reasonable gross margins while the unit is in service and a corresponding gain or loss on sale when the unit is sold at the end of the lease term.</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Selling, General and Administrative (“SG&amp;A”) expenses increased $9.8 million, or 6.4%, in the first quarter of 2016, compared to the first quarter of 2015. This increase is primarily due to the restructuring and impairment charges of $8.1 million that occurred in the first quarter of 2016. SG&amp;A expenses as a percentage of total revenue increased to 15.2% in the first quarter of 2016, from 12.8% in the first quarter of 2015. SG&amp;A expenses as a percentage of total revenues have historically ranged from 10.0% to 15.0%. In general, when new and used commercial vehicle revenues decrease as a percentage of total revenues, SG&amp;A expenses as a percentage of total revenues will be at, or exceed, the higher end of this range. For 2016, we expect SG&amp;A expenses as a percentage of total revenues to range from 13.0% to 14.0% and the selling portion of SG&amp;A expenses to be approximately 25.0% to 30.0% of new and used commercial vehicle gross profit.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 increased $2.7 million, or 26.5%, in the first quarter of 2016, compared to the first quarter of 2015. This increase was primarily due to the construction of new dealerships, dealership expansions and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interest expense increased $1.3 million, or 44.1%, in the first quarter of 2016 compared to the first quarter of 2015. This increase is primarily related to real estate financed in the fourth quarter of 2015 and reduced prepayments of new and used commercial vehicle loans. Net interest expense in 2016 will depend on inventory levels and the amount of cash available to make prepayments on our floor plan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from continuing operations before income taxes decreased $23.4 million, or 85.6%, in the first quarter of 2016 compared to the first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taxes decreased $9.1 million, or 85.4%, in the first quarter of 2016, compared to the first quarter of 2015. We provided for taxes at a 39.25% effective rate in the first quarter of 2016 and the first quarter of 2015. We expect our effective tax rate to be approximately 39.25% of pretax income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2016, we had working capital of approximately $94.8 million, including $72.7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$850.0 million credit agreement with BMO Harris Bank N.A. (“BMO Harris”) (the “Floor Plan Credit Agreement”), and the resulting interest earned is recognized as an offset to our gross interest expense under the Floor Plan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March 31, 2016, however, $12.7 million was pledged to secure various letters of credit related to self-insurance products, leaving $4.8 million available for future borrowings as of March 31, 2016.</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long-term real estate debt and floor plan financing agreements require us to satisfy various financial ratios such as the debt-to-worth ratio, leverage ratio and the fixed charge coverage ratio and certain requirements for tangible net worth and GAAP net worth. As of March 31, 2016, we were in compliance with all debt covenants related to debt secured by real estate, lease and rental units and our floor plan credit agreements. We do not anticipate any breach of the covenants in the foreseeable future.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purchase or lease trucks worth approximately $220.0 million to $250.0 million for our leasing operations during 2016, depending on customer demand, all of which will be financed. We also expect to make capital expenditures for recurring items such as computers, shop tools and equipment and vehicles of approximately $20.0 million to $25.0 million during 2016.</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currently under contracts to construct or remodel dealership facilities in Asheville, North Carolina, Olathe, Kansas, Twin Falls, Idaho and various other dealerships and purchase real estate in Illinois at an estimated remaining cost of $10.4 million. These construction projects are expected to continue through 2016.</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December 4, 2015, we announced that our Board of Directors authorized the repurchase, from time to time, of up to an aggregate of $40.0 million shares of Class A Common Stock and/or Class B Common Stock. This stock repurchase program replaced a prior $40 million repurchase program.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new stock repurchase program will be determined by management at its discretion and will depend on a number of factors, including market conditions, stock price and other factors, including those related to the ownership requirements of its dealership agreements with Peterbilt. The stock repurchase program expires on November 30, 2016, and may be suspended or discontinued at any time.</w:t>
      </w:r>
    </w:p>
    <w:p>
      <w:pPr>
        <w:sectPr>
          <w:pgSz w:w="11900" w:h="16838" w:orient="portrait"/>
          <w:cols w:equalWidth="0" w:num="1">
            <w:col w:w="11060"/>
          </w:cols>
          <w:pgMar w:left="240" w:top="118"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 70% to 80% of the appraised value of such facility.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March 31, 2016. However,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Cash and cash equivalents increased by $7.8 million during the three months ended March 31, 2016, and decreased by $144.2 million during the three months ended March 31, 2015.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quarter of 2016, operating activities resulted in net cash provided by operations of $101.2 million. Net cash provided by operating activities primarily consisted of $2.4 million in net income, as well as non-cash adjustments related to depreciation and amortization of $39.0 million, deferred income taxes of $7.6 million, and stock-based compensation including tax expense of $4.6 million. Cash used in operating activities included an aggregate of $55.0 million net change in operating assets and liabilities. Included in the net change in operating assets and liabilities were cash inflows of $5.3 million from the decrease in accounts receivable, $49.9 million from the decrease in inventories, $2.3 million from the decrease in customer deposits and $21.4 from the decrease in prepaid expenses and other assets, net which were offset by cash outflows of $1.8 million from the net decrease in floor plan, trade, and $22.1 million from decreases in accounts payable and accrued liabilities. The majority of our commercial vehicle inventory is financed through our floor plan credit agreements.</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first quarter of 2015, operating activities resulted in net cash used in operations of $96.6 million. Net cash provided by operating activities primarily consisted of $16.8 million in net income, as well as non-cash adjustments related to depreciation and amortization of $34.0 million, deferred income taxes of $1.6 million, and stock-based compensation, including tax benefit, of $4.1 million. Cash used in operating activities included an aggregate of $150.5 million net change in operating assets and liabilities. Included in the net change in operating assets and liabilities were cash inflows of $11.9 from the decrease in prepaid expenses and other assets, net of which were offset by cash outflows of $5.1 million from the net decrease in floor plan, trade, $84.9 million from increases in inventory, net of acquisitions, $34.8 million from an increase in accounts receivable, $31.3 million from decreases in accounts payable and accrued liabilities, and $6.3 million from a decrease in customer deposits.</w:t>
      </w:r>
    </w:p>
    <w:p>
      <w:pPr>
        <w:spacing w:after="0" w:line="167"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March 31, 2016, the interest rate on the wholesale financing agreement was 5.25% before considering the applicable incentives. As of March 31, 2016, we had an outstanding balance of approximately $60.6 million under the Ford Motor Credit Company wholesale financing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first quarter of 2016, cash used in investing activities was $52.6 million. Cash flows used in investing activities consist primarily of cash used for capital expenditures. Capital expenditures of $53.9 million consisted primarily of purchases of property and equipment and improvements to our existing dealership facilities. Property and equipment purchases during the first quarter of 2016 consisted of $33.8 million for additional units for the rental and leasing operations, which was directly offset by borrowings of long-term debt. We expect to purchase or lease trucks worth approximately $220.0 million to $250.0 million for our leasing operations in 2016, depending on customer demand, all of which will be financed. During 2016, we expect to make capital expenditures for recurring items such as computers, shop equipment and vehicles of $20.0 million to $25.0 million.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During the first quarter of 2015, cash used in investing activities was $109.9 million. Cash flows used in investing activities consisted primarily of cash used for capital expenditures and business acquisitions. Capital expenditures of $82.5 million consisted primarily of purchases of property and equipment and improvements to our existing dealership facilities. Property and equipment purchases during the first quarter of 2015 consisted of $53.0 million for additional units for the rental and leasing operations, which was directly offset by borrowings of long-term debt. Cash used for business acquisitions was $27.8 million during the quarter ended March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non-trade. During the first quarter of 2016, we used $40.8 million in net cash flow from financing activities. Cash outflows primarily related to $27.0 million from net payments on floor plan notes payable, non-trade and $47.4 million used for principal repayments of long-term debt and capital lease obligations. These cash outflows were offset by cash inflows related to borrowings of $32.2 million of long-term debt and $2.3 million from the issuance of shares related to equity compensation plans. The borrowings of long-term debt were primarily related to purchasing units for the rental and leasing operations.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first quarter of 2015, we generated $62.3 million in net cash flow from financing activities, primarily related to borrowings of $39.2 million of long-term debt, $71.7 million from net draws on floor plan notes payable, non-trade and $1.6 million from the issuance of shares related to equity compensation plans. These cash inflows were partially offset by cash outflows of $48.3 million used for principal repayments of long-term debt and capital lease obligations and $1.5 million used to purchase 56,077 shares of Rush Class B common stock during the first quarter of 2015. The borrowings of long-term debt were primarily related to purchasing units for the rental and leasing operations.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commercial vehicle purchases are made on terms requiring payment to the manufacturer within 15 days or less from the date the commercial vehicles are invoiced from the factory. During 2015, we financed the majority of all new commercial vehicle inventory and the loan value of our used commercial vehicle inventory under the Floor Plan Credit Agreement. On September 15, 2015, we entered into the Second Amended and Restated Credit Agreement with General Electric Capital Commercial, Inc. (“GE Capital”) which is referred to herein as the Floor Plan Credit Agreement. The amendment increased the aggregate loan commitment to $850.0 million. Effective December 1, 2015, GE Capital resigned as Administrative Agent of the Floor Plan Credit Agreement and BMO Harris was appointed in its place. Borrowings under the Floor Plan Credit Agreement bear interest at an annual rate equal to the three month LIBOR rate, determined on the last day of the prior month, plus 2.03% and are payable monthly. In addition, we are required to pay a monthly working capital fee equal to 0.35% per annum multiplied by the amount of voluntary prepayments of new and used inventory loans. Loans under the Floor Plan Credit Agreement for the purchase of used inventory are limited to $150.0 million. The Floor Plan Credit Agreement expires July 11, 2016, although BMO Harris has the right to terminate the Floor Plan Credit Agreement at any time upon 120 days’ written notice. We may terminate the Floor Plan Credit Agreement at any time, although if we do so we must pay a prepayment processing fee of $300,000, subject to specified limited exceptions. On March 31, 2016, we had approximately $608.7 million outstanding under the Floor Plan Credit Agreement. The average daily outstanding borrowings under the Floor Plan Credit Agreement were $632.0 million during the three months ended March 31, 2016. Periodically,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If the commercial vehicle is not sold within the interest-free period, we then finance the commercial vehicle under the Floor Plan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March 31, 2016, our backlog of commercial vehicle orders was approximately $1,072.1 million, as compared to a backlog of commercial vehicle orders of approximately $1,219.3 million on March 31, 2015.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March 31, 2016 and we expect to fill the majority of our backlog orders during 2016.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Aftermarket Services and diversification of our customer base, we have attempted to reduce the negative impact of adverse general economic conditions or cyclical trends affecting the heavy-duty truck industry on our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92"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The Environmental Protection Agency (“EPA”) and the National Highway Traffic Safety Administration (“NHTSA”), on behalf of the U.S. Department of Transportation, issued final rules on September 15, 2011 associated with reducing greenhouse gas (“GHG”) emissions and improving the fuel efficiency of medium and heavy-duty trucks and buses beginning in model year 2014 and being phased in through model year 2018. On June 19, 2015, the EPA and NHTSA proposed further GHG and fuel efficiency standards that would apply to medium and heavy-duty vehicles and buses and would be phased in between model years 2021 through 2027. We do not believe that the foregoing adopted or proposed standards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We are exposed to some market risk through interest rates related to our floor plan financing agreements, variable rate real estate debt and discount rates related to finance sales. The majority of floor plan debt and variable rate real estate debt is based on LIBOR. As of March 31, 2016, we had floor plan borrowings and variable interest rate real estate debt of approximately $950.1 million. Assuming an increase or decrease in LIBOR of 100 basis points, annual interest expense could correspondingly increase or decrease by approximately $9.5 million.</w:t>
      </w:r>
    </w:p>
    <w:p>
      <w:pPr>
        <w:spacing w:after="0" w:line="17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We offer all customer financing opportunities to various finance providers. We receive all finance charges in excess of a negotiated discount rate from the finance providers in the month following the date of the financing. The negotiated discount rate is variable, thus subject to interest rate fluctuations. This interest rate risk is mitigated by our ability to pass discount rate increases to customers through higher financing rates.</w:t>
      </w:r>
    </w:p>
    <w:p>
      <w:pPr>
        <w:spacing w:after="0" w:line="147"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We are also exposed to some market risk through interest rates related to the investment of our current cash and cash equivalents, which totaled $72.7 million on March 31, 2016. These funds are generally invested in variable interest rate instruments in accordance with our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our annual interest income could correspondingly increase or decrease by approximately $0.7 million.</w:t>
      </w:r>
    </w:p>
    <w:p>
      <w:pPr>
        <w:spacing w:after="0" w:line="193"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March 31, 2016, we hold auction rate securities, with underlying tax-exempt municipal bonds that mature in 2030, that have a fair value of $6.7 million. Given the current market conditions in the auction rate securities market, if we determine that the fair value of these securities temporarily decreases by an additional 10%, our equity could correspondingly decrease by approximately $665,000. If it is determined that the fair value of these securities is other-than-temporarily impaired by 10%, we could record a loss on our Consolidated Statements of Income of approximately $665,000. For further discussion of the risks related to our auction rate securities, see Note 6 – Financial Instruments and Fair Value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2016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March 31, 2016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2015 Annual Report on Form 10-K (the “2015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2015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make any unregistered sales of equity securities during the first quarter of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20"/>
          </w:cols>
          <w:pgMar w:left="240" w:top="118" w:right="6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0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20" w:type="dxa"/>
            <w:vAlign w:val="bottom"/>
          </w:tcPr>
          <w:p>
            <w:pPr>
              <w:spacing w:after="0"/>
              <w:rPr>
                <w:sz w:val="16"/>
                <w:szCs w:val="16"/>
                <w:color w:val="auto"/>
              </w:rPr>
            </w:pPr>
          </w:p>
        </w:tc>
        <w:tc>
          <w:tcPr>
            <w:tcW w:w="900" w:type="dxa"/>
            <w:vAlign w:val="bottom"/>
          </w:tcPr>
          <w:p>
            <w:pPr>
              <w:jc w:val="center"/>
              <w:ind w:right="310"/>
              <w:spacing w:after="0" w:line="195"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6"/>
                <w:szCs w:val="16"/>
                <w:color w:val="auto"/>
              </w:rPr>
            </w:pPr>
          </w:p>
        </w:tc>
        <w:tc>
          <w:tcPr>
            <w:tcW w:w="10140" w:type="dxa"/>
            <w:vAlign w:val="bottom"/>
          </w:tcPr>
          <w:p>
            <w:pPr>
              <w:spacing w:after="0" w:line="195" w:lineRule="exact"/>
              <w:rPr>
                <w:sz w:val="20"/>
                <w:szCs w:val="20"/>
                <w:color w:val="auto"/>
              </w:rPr>
            </w:pPr>
            <w:r>
              <w:rPr>
                <w:rFonts w:ascii="Arial" w:cs="Arial" w:eastAsia="Arial" w:hAnsi="Arial"/>
                <w:sz w:val="18"/>
                <w:szCs w:val="18"/>
                <w:color w:val="auto"/>
                <w:w w:val="94"/>
              </w:rPr>
              <w:t>Restated Articles of Incorporation of Rush Enterprises, Inc. (incorporated herein by reference to Exhibit 3.1 of the Company’s Quarterly</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Report on Form 10-Q (File No. 000-20797) for the quarter ended June 30, 2008)</w:t>
            </w:r>
          </w:p>
        </w:tc>
      </w:tr>
      <w:tr>
        <w:trPr>
          <w:trHeight w:val="418"/>
        </w:trPr>
        <w:tc>
          <w:tcPr>
            <w:tcW w:w="920" w:type="dxa"/>
            <w:vAlign w:val="bottom"/>
            <w:gridSpan w:val="2"/>
          </w:tcPr>
          <w:p>
            <w:pPr>
              <w:jc w:val="center"/>
              <w:ind w:right="290"/>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Rush Enterprises, Inc. Amended and Restated Bylaws (incorporated herein by reference to Exhibit 3.1 of the Company’s Current Report on</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8-K (File No. 000-20797) filed May 21,2013)</w:t>
            </w:r>
          </w:p>
        </w:tc>
      </w:tr>
      <w:tr>
        <w:trPr>
          <w:trHeight w:val="432"/>
        </w:trPr>
        <w:tc>
          <w:tcPr>
            <w:tcW w:w="920" w:type="dxa"/>
            <w:vAlign w:val="bottom"/>
            <w:gridSpan w:val="2"/>
          </w:tcPr>
          <w:p>
            <w:pPr>
              <w:jc w:val="center"/>
              <w:ind w:right="310"/>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Certification of CEO pursuant to Rules 13a-14(a) and 15d-14(a) adopted pursuant to Section 302 of the Sarbanes-Oxley Act of 2002.</w:t>
            </w:r>
          </w:p>
        </w:tc>
      </w:tr>
      <w:tr>
        <w:trPr>
          <w:trHeight w:val="432"/>
        </w:trPr>
        <w:tc>
          <w:tcPr>
            <w:tcW w:w="920" w:type="dxa"/>
            <w:vAlign w:val="bottom"/>
            <w:gridSpan w:val="2"/>
          </w:tcPr>
          <w:p>
            <w:pPr>
              <w:jc w:val="center"/>
              <w:ind w:right="310"/>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Certification of CFO pursuant to Rules 13a-14(a) and 15d-14(a) adopted pursuant to Section 302 of the Sarbanes-Oxley Act of 2002.</w:t>
            </w:r>
          </w:p>
        </w:tc>
      </w:tr>
      <w:tr>
        <w:trPr>
          <w:trHeight w:val="432"/>
        </w:trPr>
        <w:tc>
          <w:tcPr>
            <w:tcW w:w="920" w:type="dxa"/>
            <w:vAlign w:val="bottom"/>
            <w:gridSpan w:val="2"/>
          </w:tcPr>
          <w:p>
            <w:pPr>
              <w:jc w:val="center"/>
              <w:ind w:right="29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9"/>
              </w:rPr>
              <w:t>Certification of CEO pursuant to 18 U.S.C. Section 1350 as adopted pursuant to Section 906 of the Sarbanes-Oxley Act of 2002.</w:t>
            </w:r>
          </w:p>
        </w:tc>
      </w:tr>
      <w:tr>
        <w:trPr>
          <w:trHeight w:val="432"/>
        </w:trPr>
        <w:tc>
          <w:tcPr>
            <w:tcW w:w="920" w:type="dxa"/>
            <w:vAlign w:val="bottom"/>
            <w:gridSpan w:val="2"/>
          </w:tcPr>
          <w:p>
            <w:pPr>
              <w:jc w:val="center"/>
              <w:ind w:right="29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9"/>
              </w:rPr>
              <w:t>Certification of CFO pursuant to 18 U.S.C. Section 1350 as adopted pursuant to Section 906 of the Sarbanes-Oxley Act of 2002.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RUSH ENTERPRISES, INC.</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00"/>
              <w:spacing w:after="0"/>
              <w:rPr>
                <w:sz w:val="20"/>
                <w:szCs w:val="20"/>
                <w:color w:val="auto"/>
              </w:rPr>
            </w:pPr>
            <w:r>
              <w:rPr>
                <w:rFonts w:ascii="Arial" w:cs="Arial" w:eastAsia="Arial" w:hAnsi="Arial"/>
                <w:sz w:val="18"/>
                <w:szCs w:val="18"/>
                <w:color w:val="auto"/>
              </w:rPr>
              <w:t>May 10, 2016</w:t>
            </w: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By: /s/ W.M. “RUSTY” RUSH</w:t>
            </w:r>
          </w:p>
        </w:tc>
      </w:tr>
      <w:tr>
        <w:trPr>
          <w:trHeight w:val="195"/>
        </w:trPr>
        <w:tc>
          <w:tcPr>
            <w:tcW w:w="5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7"/>
              </w:rPr>
              <w:t>President, Chief Executive Officer and Chairman of</w:t>
            </w:r>
          </w:p>
        </w:tc>
      </w:tr>
      <w:tr>
        <w:trPr>
          <w:trHeight w:val="216"/>
        </w:trPr>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the Board</w:t>
            </w:r>
          </w:p>
        </w:tc>
      </w:tr>
      <w:tr>
        <w:trPr>
          <w:trHeight w:val="230"/>
        </w:trPr>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00"/>
              <w:spacing w:after="0"/>
              <w:rPr>
                <w:sz w:val="20"/>
                <w:szCs w:val="20"/>
                <w:color w:val="auto"/>
              </w:rPr>
            </w:pPr>
            <w:r>
              <w:rPr>
                <w:rFonts w:ascii="Arial" w:cs="Arial" w:eastAsia="Arial" w:hAnsi="Arial"/>
                <w:sz w:val="18"/>
                <w:szCs w:val="18"/>
                <w:color w:val="auto"/>
              </w:rPr>
              <w:t>May 10, 2016</w:t>
            </w: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By: /s/ STEVEN L. KELLER</w:t>
            </w:r>
          </w:p>
        </w:tc>
      </w:tr>
      <w:tr>
        <w:trPr>
          <w:trHeight w:val="195"/>
        </w:trPr>
        <w:tc>
          <w:tcPr>
            <w:tcW w:w="5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30"/>
        </w:trPr>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r>
    </w:tbl>
    <w:p>
      <w:pPr>
        <w:ind w:left="624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20"/>
          </w:cols>
          <w:pgMar w:left="240" w:top="118" w:right="6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2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10380" w:type="dxa"/>
            <w:vAlign w:val="bottom"/>
          </w:tcPr>
          <w:p>
            <w:pPr>
              <w:spacing w:after="0" w:line="195" w:lineRule="exact"/>
              <w:rPr>
                <w:sz w:val="20"/>
                <w:szCs w:val="20"/>
                <w:color w:val="auto"/>
              </w:rPr>
            </w:pPr>
            <w:r>
              <w:rPr>
                <w:rFonts w:ascii="Arial" w:cs="Arial" w:eastAsia="Arial" w:hAnsi="Arial"/>
                <w:sz w:val="18"/>
                <w:szCs w:val="18"/>
                <w:color w:val="auto"/>
                <w:w w:val="91"/>
              </w:rPr>
              <w:t>Restated Articles of Incorporation of Rush Enterprises, Inc. (incorporated herein by reference to Exhibit 3.1 of the Company’s Quarterly Report</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on Form 10-Q (File No. 000-20797) for the quarter ended June 30, 2008)</w:t>
            </w:r>
          </w:p>
        </w:tc>
      </w:tr>
      <w:tr>
        <w:trPr>
          <w:trHeight w:val="418"/>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Rush Enterprises, Inc. Amended and Restated Bylaws (incorporated herein by reference to Exhibit 3.1 of the Company’s Current Report on</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8-K (File No. 000-20797) filed May 21,2013)</w:t>
            </w:r>
          </w:p>
        </w:tc>
      </w:tr>
      <w:tr>
        <w:trPr>
          <w:trHeight w:val="432"/>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Certification of CEO pursuant to Rules 13a-14(a) and 15d-14(a) adopted pursuant to Section 302 of the Sarbanes-Oxley Act of 2002.</w:t>
            </w:r>
          </w:p>
        </w:tc>
      </w:tr>
      <w:tr>
        <w:trPr>
          <w:trHeight w:val="432"/>
        </w:trPr>
        <w:tc>
          <w:tcPr>
            <w:tcW w:w="92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Certification of CFO pursuant to Rules 13a-14(a) and 15d-14(a) adopted pursuant to Section 302 of the Sarbanes-Oxley Act of 2002.</w:t>
            </w:r>
          </w:p>
        </w:tc>
      </w:tr>
      <w:tr>
        <w:trPr>
          <w:trHeight w:val="432"/>
        </w:trPr>
        <w:tc>
          <w:tcPr>
            <w:tcW w:w="920" w:type="dxa"/>
            <w:vAlign w:val="bottom"/>
            <w:gridSpan w:val="2"/>
          </w:tcPr>
          <w:p>
            <w:pPr>
              <w:jc w:val="cente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r>
      <w:tr>
        <w:trPr>
          <w:trHeight w:val="432"/>
        </w:trPr>
        <w:tc>
          <w:tcPr>
            <w:tcW w:w="920" w:type="dxa"/>
            <w:vAlign w:val="bottom"/>
            <w:gridSpan w:val="2"/>
          </w:tcPr>
          <w:p>
            <w:pPr>
              <w:jc w:val="cente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400" w:firstLine="8"/>
        <w:spacing w:after="0" w:line="342" w:lineRule="auto"/>
        <w:tabs>
          <w:tab w:leader="none" w:pos="391"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8"/>
        <w:spacing w:after="0" w:line="277" w:lineRule="auto"/>
        <w:tabs>
          <w:tab w:leader="none" w:pos="38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380" w:firstLine="8"/>
        <w:spacing w:after="0" w:line="264" w:lineRule="auto"/>
        <w:tabs>
          <w:tab w:leader="none" w:pos="44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400" w:firstLine="656"/>
        <w:spacing w:after="0" w:line="264" w:lineRule="auto"/>
        <w:tabs>
          <w:tab w:leader="none" w:pos="126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400" w:firstLine="656"/>
        <w:spacing w:after="0" w:line="264" w:lineRule="auto"/>
        <w:tabs>
          <w:tab w:leader="none" w:pos="110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172"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167"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00" w:firstLine="8"/>
        <w:spacing w:after="0" w:line="308" w:lineRule="auto"/>
        <w:tabs>
          <w:tab w:leader="none" w:pos="37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656"/>
        <w:spacing w:after="0" w:line="277" w:lineRule="auto"/>
        <w:tabs>
          <w:tab w:leader="none" w:pos="1213"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0" w:firstLine="656"/>
        <w:spacing w:after="0" w:line="277" w:lineRule="auto"/>
        <w:tabs>
          <w:tab w:leader="none" w:pos="114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May 10, 2016</w:t>
            </w: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By: /s/ W.M. “RUSTY” RUSH</w:t>
            </w:r>
          </w:p>
        </w:tc>
      </w:tr>
      <w:tr>
        <w:trPr>
          <w:trHeight w:val="195"/>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7"/>
              </w:rPr>
              <w:t>President, Chief Executive Officer and Chairman of</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the Board</w:t>
            </w:r>
          </w:p>
        </w:tc>
      </w:tr>
      <w:tr>
        <w:trPr>
          <w:trHeight w:val="230"/>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400" w:firstLine="8"/>
        <w:spacing w:after="0" w:line="342" w:lineRule="auto"/>
        <w:tabs>
          <w:tab w:leader="none" w:pos="39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8"/>
        <w:spacing w:after="0" w:line="277" w:lineRule="auto"/>
        <w:tabs>
          <w:tab w:leader="none" w:pos="3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380" w:firstLine="8"/>
        <w:spacing w:after="0" w:line="264" w:lineRule="auto"/>
        <w:tabs>
          <w:tab w:leader="none" w:pos="4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400" w:firstLine="656"/>
        <w:spacing w:after="0" w:line="264" w:lineRule="auto"/>
        <w:tabs>
          <w:tab w:leader="none" w:pos="126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400" w:firstLine="656"/>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172"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1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00" w:firstLine="8"/>
        <w:spacing w:after="0" w:line="308" w:lineRule="auto"/>
        <w:tabs>
          <w:tab w:leader="none" w:pos="37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656"/>
        <w:spacing w:after="0" w:line="277" w:lineRule="auto"/>
        <w:tabs>
          <w:tab w:leader="none" w:pos="1213"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0" w:firstLine="656"/>
        <w:spacing w:after="0" w:line="277" w:lineRule="auto"/>
        <w:tabs>
          <w:tab w:leader="none" w:pos="114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May 10, 2016</w:t>
            </w:r>
          </w:p>
        </w:tc>
        <w:tc>
          <w:tcPr>
            <w:tcW w:w="6380" w:type="dxa"/>
            <w:vAlign w:val="bottom"/>
            <w:gridSpan w:val="2"/>
          </w:tcPr>
          <w:p>
            <w:pPr>
              <w:ind w:left="2040"/>
              <w:spacing w:after="0"/>
              <w:rPr>
                <w:sz w:val="20"/>
                <w:szCs w:val="20"/>
                <w:color w:val="auto"/>
              </w:rPr>
            </w:pPr>
            <w:r>
              <w:rPr>
                <w:rFonts w:ascii="Arial" w:cs="Arial" w:eastAsia="Arial" w:hAnsi="Arial"/>
                <w:sz w:val="18"/>
                <w:szCs w:val="18"/>
                <w:color w:val="auto"/>
              </w:rPr>
              <w:t>By: /s/ STEVEN L. KELLER</w:t>
            </w:r>
          </w:p>
        </w:tc>
      </w:tr>
      <w:tr>
        <w:trPr>
          <w:trHeight w:val="195"/>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r>
        <w:trPr>
          <w:trHeight w:val="230"/>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March 31, 2016,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W.M. “RUSTY” RUSH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25126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President, Chief Executive Officer and Chairman of</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the Board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10, 2016</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March 31, 2016,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Steven L. Keller, Senior Vice President, Chief Financial Officer and Treasurer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STEVEN L. KELLER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25126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Vice President, Chief Financial Officer and</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10, 2016</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endash "/>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2019-12-29T11:18:57Z</dcterms:created>
  <dcterms:modified xsi:type="dcterms:W3CDTF">2019-12-29T11:18:57Z</dcterms:modified>
</cp:coreProperties>
</file>