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19" w:lineRule="exact"/>
        <w:rPr>
          <w:rFonts w:ascii="MS PGothic" w:cs="MS PGothic" w:eastAsia="MS PGothic" w:hAnsi="MS PGothic"/>
          <w:sz w:val="17"/>
          <w:szCs w:val="17"/>
          <w:color w:val="auto"/>
        </w:rPr>
      </w:pPr>
    </w:p>
    <w:p>
      <w:pPr>
        <w:ind w:left="36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right="2200" w:firstLine="8"/>
        <w:spacing w:after="0" w:line="522" w:lineRule="auto"/>
        <w:tabs>
          <w:tab w:leader="none" w:pos="342"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For the transition period from ___________________________ to ____________________________________________</w:t>
      </w: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88" w:right="339" w:bottom="406" w:gutter="0" w:footer="0" w:header="0"/>
        </w:sectPr>
      </w:pPr>
    </w:p>
    <w:p>
      <w:pPr>
        <w:spacing w:after="0" w:line="20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color w:val="auto"/>
        </w:rPr>
        <w:t>Texas</w:t>
      </w:r>
    </w:p>
    <w:p>
      <w:pPr>
        <w:spacing w:after="0" w:line="2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74-1733016</w:t>
      </w:r>
    </w:p>
    <w:p>
      <w:pPr>
        <w:spacing w:after="0" w:line="2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04" w:lineRule="exact"/>
        <w:rPr>
          <w:sz w:val="24"/>
          <w:szCs w:val="24"/>
          <w:color w:val="auto"/>
        </w:rPr>
      </w:pPr>
    </w:p>
    <w:p>
      <w:pPr>
        <w:sectPr>
          <w:pgSz w:w="11900" w:h="16838" w:orient="portrait"/>
          <w:cols w:equalWidth="0" w:num="2">
            <w:col w:w="6400" w:space="720"/>
            <w:col w:w="4120"/>
          </w:cols>
          <w:pgMar w:left="320" w:top="688" w:right="339" w:bottom="406"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555 I.H. 35 South, Suite 500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Braunfels, Texas 78130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688" w:right="339" w:bottom="406"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(830) 302-5200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19"/>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ind w:right="-19"/>
        <w:spacing w:after="0" w:line="207" w:lineRule="exact"/>
        <w:tabs>
          <w:tab w:leader="none" w:pos="4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p>
      <w:pPr>
        <w:ind w:left="340"/>
        <w:spacing w:after="0" w:line="207" w:lineRule="exact"/>
        <w:tabs>
          <w:tab w:leader="none" w:pos="2980" w:val="left"/>
          <w:tab w:leader="none" w:pos="5660" w:val="left"/>
          <w:tab w:leader="none" w:pos="83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8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6200"/>
        <w:spacing w:after="0" w:line="207" w:lineRule="exact"/>
        <w:tabs>
          <w:tab w:leader="none" w:pos="70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October 30, 2020.</w:t>
      </w:r>
    </w:p>
    <w:p>
      <w:pPr>
        <w:spacing w:after="0" w:line="200" w:lineRule="exact"/>
        <w:rPr>
          <w:sz w:val="24"/>
          <w:szCs w:val="24"/>
          <w:color w:val="auto"/>
        </w:rPr>
      </w:pPr>
    </w:p>
    <w:p>
      <w:pPr>
        <w:spacing w:after="0" w:line="241"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86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9"/>
              </w:rPr>
              <w:t>Number of Shares</w:t>
            </w:r>
          </w:p>
        </w:tc>
      </w:tr>
      <w:tr>
        <w:trPr>
          <w:trHeight w:val="194"/>
        </w:trPr>
        <w:tc>
          <w:tcPr>
            <w:tcW w:w="2680" w:type="dxa"/>
            <w:vAlign w:val="bottom"/>
          </w:tcPr>
          <w:p>
            <w:pPr>
              <w:spacing w:after="0"/>
              <w:rPr>
                <w:sz w:val="16"/>
                <w:szCs w:val="16"/>
                <w:color w:val="auto"/>
              </w:rPr>
            </w:pPr>
          </w:p>
        </w:tc>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6"/>
              </w:rPr>
              <w:t>Title of Class</w:t>
            </w:r>
          </w:p>
        </w:tc>
        <w:tc>
          <w:tcPr>
            <w:tcW w:w="1260" w:type="dxa"/>
            <w:vAlign w:val="bottom"/>
            <w:gridSpan w:val="2"/>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0" w:type="dxa"/>
            <w:vAlign w:val="bottom"/>
            <w:gridSpan w:val="2"/>
          </w:tcPr>
          <w:p>
            <w:pPr>
              <w:jc w:val="center"/>
              <w:ind w:right="2520"/>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r>
      <w:tr>
        <w:trPr>
          <w:trHeight w:val="20"/>
        </w:trPr>
        <w:tc>
          <w:tcPr>
            <w:tcW w:w="2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18"/>
        </w:trPr>
        <w:tc>
          <w:tcPr>
            <w:tcW w:w="49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Class A Common Stock, $.01 Par Value</w:t>
            </w:r>
          </w:p>
        </w:tc>
        <w:tc>
          <w:tcPr>
            <w:tcW w:w="2420" w:type="dxa"/>
            <w:vAlign w:val="bottom"/>
          </w:tcPr>
          <w:p>
            <w:pPr>
              <w:spacing w:after="0"/>
              <w:rPr>
                <w:sz w:val="18"/>
                <w:szCs w:val="18"/>
                <w:color w:val="auto"/>
              </w:rPr>
            </w:pPr>
          </w:p>
        </w:tc>
        <w:tc>
          <w:tcPr>
            <w:tcW w:w="13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42,228,096</w:t>
            </w:r>
          </w:p>
        </w:tc>
        <w:tc>
          <w:tcPr>
            <w:tcW w:w="2520" w:type="dxa"/>
            <w:vAlign w:val="bottom"/>
          </w:tcPr>
          <w:p>
            <w:pPr>
              <w:spacing w:after="0"/>
              <w:rPr>
                <w:sz w:val="18"/>
                <w:szCs w:val="18"/>
                <w:color w:val="auto"/>
              </w:rPr>
            </w:pPr>
          </w:p>
        </w:tc>
      </w:tr>
      <w:tr>
        <w:trPr>
          <w:trHeight w:val="234"/>
        </w:trPr>
        <w:tc>
          <w:tcPr>
            <w:tcW w:w="49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Class B Common Stock, $.01 Par Value</w:t>
            </w:r>
          </w:p>
        </w:tc>
        <w:tc>
          <w:tcPr>
            <w:tcW w:w="2420" w:type="dxa"/>
            <w:vAlign w:val="bottom"/>
          </w:tcPr>
          <w:p>
            <w:pPr>
              <w:spacing w:after="0"/>
              <w:rPr>
                <w:sz w:val="20"/>
                <w:szCs w:val="20"/>
                <w:color w:val="auto"/>
              </w:rPr>
            </w:pPr>
          </w:p>
        </w:tc>
        <w:tc>
          <w:tcPr>
            <w:tcW w:w="13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rPr>
              <w:t>12,508,881</w:t>
            </w:r>
          </w:p>
        </w:tc>
        <w:tc>
          <w:tcPr>
            <w:tcW w:w="2520" w:type="dxa"/>
            <w:vAlign w:val="bottom"/>
          </w:tcPr>
          <w:p>
            <w:pPr>
              <w:spacing w:after="0"/>
              <w:rPr>
                <w:sz w:val="20"/>
                <w:szCs w:val="20"/>
                <w:color w:val="auto"/>
              </w:rPr>
            </w:pPr>
          </w:p>
        </w:tc>
      </w:tr>
      <w:tr>
        <w:trPr>
          <w:trHeight w:val="432"/>
        </w:trPr>
        <w:tc>
          <w:tcPr>
            <w:tcW w:w="49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53"/>
        </w:trPr>
        <w:tc>
          <w:tcPr>
            <w:tcW w:w="26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r>
      <w:tr>
        <w:trPr>
          <w:trHeight w:val="189"/>
        </w:trPr>
        <w:tc>
          <w:tcPr>
            <w:tcW w:w="4060" w:type="dxa"/>
            <w:vAlign w:val="bottom"/>
            <w:tcBorders>
              <w:left w:val="single" w:sz="8" w:color="auto"/>
              <w:bottom w:val="single" w:sz="8" w:color="auto"/>
              <w:right w:val="single" w:sz="8" w:color="auto"/>
            </w:tcBorders>
            <w:gridSpan w:val="3"/>
          </w:tcPr>
          <w:p>
            <w:pPr>
              <w:ind w:left="1180"/>
              <w:spacing w:after="0" w:line="170" w:lineRule="exact"/>
              <w:rPr>
                <w:sz w:val="20"/>
                <w:szCs w:val="20"/>
                <w:color w:val="auto"/>
              </w:rPr>
            </w:pPr>
            <w:r>
              <w:rPr>
                <w:rFonts w:ascii="Times New Roman" w:cs="Times New Roman" w:eastAsia="Times New Roman" w:hAnsi="Times New Roman"/>
                <w:sz w:val="18"/>
                <w:szCs w:val="18"/>
                <w:color w:val="auto"/>
              </w:rPr>
              <w:t>Title of each class</w:t>
            </w: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color w:val="auto"/>
              </w:rPr>
              <w:t>Trading Symbol(s)</w:t>
            </w:r>
          </w:p>
        </w:tc>
        <w:tc>
          <w:tcPr>
            <w:tcW w:w="3860" w:type="dxa"/>
            <w:vAlign w:val="bottom"/>
            <w:tcBorders>
              <w:bottom w:val="single" w:sz="8" w:color="auto"/>
              <w:right w:val="single" w:sz="8" w:color="auto"/>
            </w:tcBorders>
            <w:gridSpan w:val="3"/>
          </w:tcPr>
          <w:p>
            <w:pPr>
              <w:ind w:left="320"/>
              <w:spacing w:after="0" w:line="170"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74"/>
        </w:trPr>
        <w:tc>
          <w:tcPr>
            <w:tcW w:w="4060" w:type="dxa"/>
            <w:vAlign w:val="bottom"/>
            <w:tcBorders>
              <w:left w:val="single" w:sz="8" w:color="auto"/>
              <w:right w:val="single" w:sz="8" w:color="auto"/>
            </w:tcBorders>
            <w:gridSpan w:val="3"/>
          </w:tcPr>
          <w:p>
            <w:pPr>
              <w:ind w:left="400"/>
              <w:spacing w:after="0" w:line="175"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840" w:type="dxa"/>
            <w:vAlign w:val="bottom"/>
          </w:tcPr>
          <w:p>
            <w:pPr>
              <w:spacing w:after="0"/>
              <w:rPr>
                <w:sz w:val="15"/>
                <w:szCs w:val="15"/>
                <w:color w:val="auto"/>
              </w:rPr>
            </w:pPr>
          </w:p>
        </w:tc>
        <w:tc>
          <w:tcPr>
            <w:tcW w:w="2420" w:type="dxa"/>
            <w:vAlign w:val="bottom"/>
            <w:tcBorders>
              <w:right w:val="single" w:sz="8" w:color="auto"/>
            </w:tcBorders>
          </w:tcPr>
          <w:p>
            <w:pPr>
              <w:ind w:left="380"/>
              <w:spacing w:after="0" w:line="175" w:lineRule="exact"/>
              <w:rPr>
                <w:sz w:val="20"/>
                <w:szCs w:val="20"/>
                <w:color w:val="auto"/>
              </w:rPr>
            </w:pPr>
            <w:r>
              <w:rPr>
                <w:rFonts w:ascii="Times New Roman" w:cs="Times New Roman" w:eastAsia="Times New Roman" w:hAnsi="Times New Roman"/>
                <w:sz w:val="18"/>
                <w:szCs w:val="18"/>
                <w:color w:val="auto"/>
              </w:rPr>
              <w:t>RUSHA</w:t>
            </w:r>
          </w:p>
        </w:tc>
        <w:tc>
          <w:tcPr>
            <w:tcW w:w="460" w:type="dxa"/>
            <w:vAlign w:val="bottom"/>
          </w:tcPr>
          <w:p>
            <w:pPr>
              <w:spacing w:after="0"/>
              <w:rPr>
                <w:sz w:val="15"/>
                <w:szCs w:val="15"/>
                <w:color w:val="auto"/>
              </w:rPr>
            </w:pPr>
          </w:p>
        </w:tc>
        <w:tc>
          <w:tcPr>
            <w:tcW w:w="3400" w:type="dxa"/>
            <w:vAlign w:val="bottom"/>
            <w:tcBorders>
              <w:right w:val="single" w:sz="8" w:color="auto"/>
            </w:tcBorders>
            <w:gridSpan w:val="2"/>
          </w:tcPr>
          <w:p>
            <w:pPr>
              <w:ind w:left="160"/>
              <w:spacing w:after="0" w:line="175" w:lineRule="exact"/>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4060" w:type="dxa"/>
            <w:vAlign w:val="bottom"/>
            <w:tcBorders>
              <w:left w:val="single" w:sz="8" w:color="auto"/>
              <w:bottom w:val="single" w:sz="8" w:color="auto"/>
              <w:right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84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RUSHB</w:t>
            </w:r>
          </w:p>
        </w:tc>
        <w:tc>
          <w:tcPr>
            <w:tcW w:w="460" w:type="dxa"/>
            <w:vAlign w:val="bottom"/>
            <w:tcBorders>
              <w:bottom w:val="single" w:sz="8" w:color="auto"/>
            </w:tcBorders>
          </w:tcPr>
          <w:p>
            <w:pPr>
              <w:spacing w:after="0"/>
              <w:rPr>
                <w:sz w:val="20"/>
                <w:szCs w:val="20"/>
                <w:color w:val="auto"/>
              </w:rPr>
            </w:pPr>
          </w:p>
        </w:tc>
        <w:tc>
          <w:tcPr>
            <w:tcW w:w="340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406" w:gutter="0" w:footer="0" w:header="0"/>
          <w:type w:val="continuous"/>
        </w:sectPr>
      </w:pPr>
    </w:p>
    <w:bookmarkStart w:id="1" w:name="page2"/>
    <w:bookmarkEnd w:id="1"/>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200" w:lineRule="exact"/>
        <w:rPr>
          <w:sz w:val="20"/>
          <w:szCs w:val="20"/>
          <w:color w:val="auto"/>
        </w:rPr>
      </w:pPr>
    </w:p>
    <w:p>
      <w:pPr>
        <w:spacing w:after="0" w:line="268"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PART I. FINANCIAL INFORMATION</w:t>
        </w:r>
      </w:hyperlink>
    </w:p>
    <w:p>
      <w:pPr>
        <w:spacing w:after="0" w:line="229" w:lineRule="exact"/>
        <w:rPr>
          <w:sz w:val="20"/>
          <w:szCs w:val="20"/>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2">
        <w:r>
          <w:rPr>
            <w:rFonts w:ascii="Times New Roman" w:cs="Times New Roman" w:eastAsia="Times New Roman" w:hAnsi="Times New Roman"/>
            <w:sz w:val="18"/>
            <w:szCs w:val="18"/>
            <w:u w:val="single" w:color="auto"/>
            <w:color w:val="0000EE"/>
          </w:rPr>
          <w:t>Financial Statements</w:t>
        </w:r>
      </w:hyperlink>
    </w:p>
    <w:p>
      <w:pPr>
        <w:spacing w:after="0" w:line="225"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Consolidated Balance Sheets - September 30, 2020 (unaudited) and December 31, 2019</w:t>
        </w:r>
      </w:hyperlink>
    </w:p>
    <w:p>
      <w:pPr>
        <w:spacing w:after="0" w:line="225" w:lineRule="exact"/>
        <w:rPr>
          <w:sz w:val="20"/>
          <w:szCs w:val="20"/>
          <w:color w:val="auto"/>
        </w:rPr>
      </w:pPr>
    </w:p>
    <w:p>
      <w:pPr>
        <w:ind w:left="1140"/>
        <w:spacing w:after="0" w:line="282" w:lineRule="auto"/>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Statements of Income and Comprehensive Income - For the Three and Nine Months Ended September 30, 2020 and</w:t>
        </w:r>
      </w:hyperlink>
      <w:r>
        <w:rPr>
          <w:rFonts w:ascii="Times New Roman" w:cs="Times New Roman" w:eastAsia="Times New Roman" w:hAnsi="Times New Roman"/>
          <w:sz w:val="18"/>
          <w:szCs w:val="18"/>
          <w:u w:val="single" w:color="auto"/>
          <w:color w:val="0000EE"/>
        </w:rPr>
        <w:t xml:space="preserve"> </w:t>
      </w:r>
      <w:hyperlink w:anchor="page3">
        <w:r>
          <w:rPr>
            <w:rFonts w:ascii="Times New Roman" w:cs="Times New Roman" w:eastAsia="Times New Roman" w:hAnsi="Times New Roman"/>
            <w:sz w:val="18"/>
            <w:szCs w:val="18"/>
            <w:u w:val="single" w:color="auto"/>
            <w:color w:val="0000EE"/>
          </w:rPr>
          <w:t>2019 (unaudited)</w:t>
        </w:r>
      </w:hyperlink>
    </w:p>
    <w:p>
      <w:pPr>
        <w:spacing w:after="0" w:line="162" w:lineRule="exact"/>
        <w:rPr>
          <w:sz w:val="20"/>
          <w:szCs w:val="20"/>
          <w:color w:val="auto"/>
        </w:rPr>
      </w:pPr>
    </w:p>
    <w:p>
      <w:pPr>
        <w:ind w:left="1140" w:right="660"/>
        <w:spacing w:after="0" w:line="282" w:lineRule="auto"/>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Statements of Shareholders’ Equity – For the Three and Nine Months Ended September 30, 2020 and 2019</w:t>
        </w:r>
      </w:hyperlink>
      <w:r>
        <w:rPr>
          <w:rFonts w:ascii="Times New Roman" w:cs="Times New Roman" w:eastAsia="Times New Roman" w:hAnsi="Times New Roman"/>
          <w:sz w:val="18"/>
          <w:szCs w:val="18"/>
          <w:u w:val="single" w:color="auto"/>
          <w:color w:val="0000EE"/>
        </w:rPr>
        <w:t xml:space="preserve"> </w:t>
      </w:r>
      <w:hyperlink w:anchor="page4">
        <w:r>
          <w:rPr>
            <w:rFonts w:ascii="Times New Roman" w:cs="Times New Roman" w:eastAsia="Times New Roman" w:hAnsi="Times New Roman"/>
            <w:sz w:val="18"/>
            <w:szCs w:val="18"/>
            <w:u w:val="single" w:color="auto"/>
            <w:color w:val="0000EE"/>
          </w:rPr>
          <w:t>(unaudited)</w:t>
        </w:r>
      </w:hyperlink>
    </w:p>
    <w:p>
      <w:pPr>
        <w:spacing w:after="0" w:line="162"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Cash Flows - For the Nine Months Ended September 30, 2020 and 2019 (unaudited)</w:t>
        </w:r>
      </w:hyperlink>
    </w:p>
    <w:p>
      <w:pPr>
        <w:spacing w:after="0" w:line="225" w:lineRule="exact"/>
        <w:rPr>
          <w:sz w:val="20"/>
          <w:szCs w:val="20"/>
          <w:color w:val="auto"/>
        </w:rPr>
      </w:pPr>
    </w:p>
    <w:p>
      <w:pPr>
        <w:ind w:left="114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Notes to Consolidated Financial Statements (unaudited)</w:t>
        </w:r>
      </w:hyperlink>
    </w:p>
    <w:p>
      <w:pPr>
        <w:spacing w:after="0" w:line="225" w:lineRule="exact"/>
        <w:rPr>
          <w:sz w:val="20"/>
          <w:szCs w:val="20"/>
          <w:color w:val="auto"/>
        </w:rPr>
      </w:pPr>
    </w:p>
    <w:p>
      <w:pPr>
        <w:ind w:left="500" w:right="2900"/>
        <w:spacing w:after="0" w:line="5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14">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r>
        <w:rPr>
          <w:rFonts w:ascii="Times New Roman" w:cs="Times New Roman" w:eastAsia="Times New Roman" w:hAnsi="Times New Roman"/>
          <w:sz w:val="18"/>
          <w:szCs w:val="18"/>
          <w:color w:val="auto"/>
        </w:rPr>
        <w:t xml:space="preserve"> Item 3. </w:t>
      </w:r>
      <w:hyperlink w:anchor="page24">
        <w:r>
          <w:rPr>
            <w:rFonts w:ascii="Times New Roman" w:cs="Times New Roman" w:eastAsia="Times New Roman" w:hAnsi="Times New Roman"/>
            <w:sz w:val="18"/>
            <w:szCs w:val="18"/>
            <w:u w:val="single" w:color="auto"/>
            <w:color w:val="0000EE"/>
          </w:rPr>
          <w:t>Quantitative and Qualitative Disclosures About Market Risk</w:t>
        </w:r>
      </w:hyperlink>
      <w:r>
        <w:rPr>
          <w:rFonts w:ascii="Times New Roman" w:cs="Times New Roman" w:eastAsia="Times New Roman" w:hAnsi="Times New Roman"/>
          <w:sz w:val="18"/>
          <w:szCs w:val="18"/>
          <w:color w:val="auto"/>
        </w:rPr>
        <w:t xml:space="preserve"> Item 4. </w:t>
      </w:r>
      <w:hyperlink w:anchor="page24">
        <w:r>
          <w:rPr>
            <w:rFonts w:ascii="Times New Roman" w:cs="Times New Roman" w:eastAsia="Times New Roman" w:hAnsi="Times New Roman"/>
            <w:sz w:val="18"/>
            <w:szCs w:val="18"/>
            <w:u w:val="single" w:color="auto"/>
            <w:color w:val="0000EE"/>
          </w:rPr>
          <w:t>Controls and Procedures</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Page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140"/>
        <w:spacing w:after="0"/>
        <w:rPr>
          <w:sz w:val="20"/>
          <w:szCs w:val="20"/>
          <w:color w:val="auto"/>
        </w:rPr>
      </w:pPr>
      <w:r>
        <w:rPr>
          <w:rFonts w:ascii="Times New Roman" w:cs="Times New Roman" w:eastAsia="Times New Roman" w:hAnsi="Times New Roman"/>
          <w:sz w:val="18"/>
          <w:szCs w:val="18"/>
          <w:color w:val="auto"/>
        </w:rPr>
        <w:t>3</w:t>
      </w:r>
    </w:p>
    <w:p>
      <w:pPr>
        <w:spacing w:after="0" w:line="333" w:lineRule="exact"/>
        <w:rPr>
          <w:rFonts w:ascii="Times New Roman" w:cs="Times New Roman" w:eastAsia="Times New Roman" w:hAnsi="Times New Roman"/>
          <w:sz w:val="18"/>
          <w:szCs w:val="18"/>
          <w:color w:val="auto"/>
        </w:rPr>
      </w:pPr>
    </w:p>
    <w:p>
      <w:pPr>
        <w:ind w:left="140"/>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40"/>
        <w:spacing w:after="0"/>
        <w:rPr>
          <w:sz w:val="20"/>
          <w:szCs w:val="20"/>
          <w:color w:val="auto"/>
        </w:rPr>
      </w:pPr>
      <w:r>
        <w:rPr>
          <w:rFonts w:ascii="Times New Roman" w:cs="Times New Roman" w:eastAsia="Times New Roman" w:hAnsi="Times New Roman"/>
          <w:sz w:val="18"/>
          <w:szCs w:val="18"/>
          <w:color w:val="auto"/>
        </w:rPr>
        <w:t>5</w:t>
      </w:r>
    </w:p>
    <w:p>
      <w:pPr>
        <w:spacing w:after="0" w:line="333" w:lineRule="exact"/>
        <w:rPr>
          <w:rFonts w:ascii="Times New Roman" w:cs="Times New Roman" w:eastAsia="Times New Roman" w:hAnsi="Times New Roman"/>
          <w:sz w:val="18"/>
          <w:szCs w:val="18"/>
          <w:color w:val="auto"/>
        </w:rPr>
      </w:pPr>
    </w:p>
    <w:p>
      <w:pPr>
        <w:ind w:left="140"/>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rFonts w:ascii="Times New Roman" w:cs="Times New Roman" w:eastAsia="Times New Roman" w:hAnsi="Times New Roman"/>
          <w:sz w:val="18"/>
          <w:szCs w:val="18"/>
          <w:color w:val="auto"/>
        </w:rPr>
      </w:pPr>
    </w:p>
    <w:p>
      <w:pPr>
        <w:ind w:left="140"/>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15</w:t>
      </w:r>
    </w:p>
    <w:p>
      <w:pPr>
        <w:spacing w:after="0" w:line="225"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29</w:t>
      </w:r>
    </w:p>
    <w:p>
      <w:pPr>
        <w:spacing w:after="0" w:line="225" w:lineRule="exact"/>
        <w:rPr>
          <w:rFonts w:ascii="Times New Roman" w:cs="Times New Roman" w:eastAsia="Times New Roman" w:hAnsi="Times New Roman"/>
          <w:sz w:val="18"/>
          <w:szCs w:val="18"/>
          <w:color w:val="auto"/>
        </w:rPr>
      </w:pPr>
    </w:p>
    <w:p>
      <w:pPr>
        <w:ind w:left="100"/>
        <w:spacing w:after="0"/>
        <w:rPr>
          <w:sz w:val="20"/>
          <w:szCs w:val="20"/>
          <w:color w:val="auto"/>
        </w:rPr>
      </w:pPr>
      <w:r>
        <w:rPr>
          <w:rFonts w:ascii="Times New Roman" w:cs="Times New Roman" w:eastAsia="Times New Roman" w:hAnsi="Times New Roman"/>
          <w:sz w:val="18"/>
          <w:szCs w:val="18"/>
          <w:color w:val="auto"/>
        </w:rPr>
        <w:t>29</w:t>
      </w:r>
    </w:p>
    <w:p>
      <w:pPr>
        <w:spacing w:after="0" w:line="464" w:lineRule="exact"/>
        <w:rPr>
          <w:rFonts w:ascii="Times New Roman" w:cs="Times New Roman" w:eastAsia="Times New Roman" w:hAnsi="Times New Roman"/>
          <w:sz w:val="18"/>
          <w:szCs w:val="18"/>
          <w:color w:val="auto"/>
        </w:rPr>
      </w:pPr>
    </w:p>
    <w:p>
      <w:pPr>
        <w:sectPr>
          <w:pgSz w:w="11900" w:h="16900" w:orient="portrait"/>
          <w:cols w:equalWidth="0" w:num="2">
            <w:col w:w="10500" w:space="280"/>
            <w:col w:w="460"/>
          </w:cols>
          <w:pgMar w:left="320" w:top="121" w:right="339" w:bottom="0" w:gutter="0" w:footer="0" w:header="0"/>
        </w:sectPr>
      </w:pPr>
    </w:p>
    <w:p>
      <w:pPr>
        <w:spacing w:after="0" w:line="189"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800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24">
              <w:r>
                <w:rPr>
                  <w:rFonts w:ascii="Times New Roman" w:cs="Times New Roman" w:eastAsia="Times New Roman" w:hAnsi="Times New Roman"/>
                  <w:sz w:val="18"/>
                  <w:szCs w:val="18"/>
                  <w:b w:val="1"/>
                  <w:bCs w:val="1"/>
                  <w:u w:val="single" w:color="auto"/>
                  <w:color w:val="0000EE"/>
                </w:rPr>
                <w:t>PART II. OTHER INFORMATION</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 1.</w:t>
            </w:r>
          </w:p>
        </w:tc>
        <w:tc>
          <w:tcPr>
            <w:tcW w:w="6900" w:type="dxa"/>
            <w:vAlign w:val="bottom"/>
            <w:gridSpan w:val="6"/>
          </w:tcPr>
          <w:p>
            <w:pPr>
              <w:ind w:left="4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Legal Proceedings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r>
      <w:tr>
        <w:trPr>
          <w:trHeight w:val="432"/>
        </w:trPr>
        <w:tc>
          <w:tcPr>
            <w:tcW w:w="8000" w:type="dxa"/>
            <w:vAlign w:val="bottom"/>
            <w:gridSpan w:val="7"/>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1A.</w:t>
            </w:r>
            <w:hyperlink w:anchor="page24">
              <w:r>
                <w:rPr>
                  <w:rFonts w:ascii="Times New Roman" w:cs="Times New Roman" w:eastAsia="Times New Roman" w:hAnsi="Times New Roman"/>
                  <w:sz w:val="18"/>
                  <w:szCs w:val="18"/>
                  <w:u w:val="single" w:color="auto"/>
                  <w:color w:val="0000EE"/>
                </w:rPr>
                <w:t>Risk Factors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r>
      <w:tr>
        <w:trPr>
          <w:trHeight w:val="432"/>
        </w:trPr>
        <w:tc>
          <w:tcPr>
            <w:tcW w:w="8000" w:type="dxa"/>
            <w:vAlign w:val="bottom"/>
            <w:gridSpan w:val="7"/>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25">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r>
      <w:tr>
        <w:trPr>
          <w:trHeight w:val="432"/>
        </w:trPr>
        <w:tc>
          <w:tcPr>
            <w:tcW w:w="8000" w:type="dxa"/>
            <w:vAlign w:val="bottom"/>
            <w:gridSpan w:val="7"/>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25">
              <w:r>
                <w:rPr>
                  <w:rFonts w:ascii="Times New Roman" w:cs="Times New Roman" w:eastAsia="Times New Roman" w:hAnsi="Times New Roman"/>
                  <w:sz w:val="18"/>
                  <w:szCs w:val="18"/>
                  <w:u w:val="single" w:color="auto"/>
                  <w:color w:val="0000EE"/>
                </w:rPr>
                <w:t>Defaults Upon Senior Securities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r>
      <w:tr>
        <w:trPr>
          <w:trHeight w:val="432"/>
        </w:trPr>
        <w:tc>
          <w:tcPr>
            <w:tcW w:w="8000" w:type="dxa"/>
            <w:vAlign w:val="bottom"/>
            <w:gridSpan w:val="7"/>
          </w:tcPr>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25">
              <w:r>
                <w:rPr>
                  <w:rFonts w:ascii="Times New Roman" w:cs="Times New Roman" w:eastAsia="Times New Roman" w:hAnsi="Times New Roman"/>
                  <w:sz w:val="18"/>
                  <w:szCs w:val="18"/>
                  <w:u w:val="single" w:color="auto"/>
                  <w:color w:val="0000EE"/>
                </w:rPr>
                <w:t>Mine Safety Disclosures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r>
      <w:tr>
        <w:trPr>
          <w:trHeight w:val="432"/>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 5.</w:t>
            </w:r>
          </w:p>
        </w:tc>
        <w:tc>
          <w:tcPr>
            <w:tcW w:w="6900" w:type="dxa"/>
            <w:vAlign w:val="bottom"/>
            <w:gridSpan w:val="6"/>
          </w:tcPr>
          <w:p>
            <w:pPr>
              <w:ind w:left="4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Other Information</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r>
      <w:tr>
        <w:trPr>
          <w:trHeight w:val="432"/>
        </w:trPr>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Item 6.</w:t>
            </w:r>
          </w:p>
        </w:tc>
        <w:tc>
          <w:tcPr>
            <w:tcW w:w="6900" w:type="dxa"/>
            <w:vAlign w:val="bottom"/>
            <w:gridSpan w:val="6"/>
          </w:tcPr>
          <w:p>
            <w:pPr>
              <w:ind w:left="4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Exhibits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r>
      <w:tr>
        <w:trPr>
          <w:trHeight w:val="432"/>
        </w:trPr>
        <w:tc>
          <w:tcPr>
            <w:tcW w:w="800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25">
              <w:r>
                <w:rPr>
                  <w:rFonts w:ascii="Times New Roman" w:cs="Times New Roman" w:eastAsia="Times New Roman" w:hAnsi="Times New Roman"/>
                  <w:sz w:val="18"/>
                  <w:szCs w:val="18"/>
                  <w:b w:val="1"/>
                  <w:bCs w:val="1"/>
                  <w:u w:val="single" w:color="auto"/>
                  <w:color w:val="0000EE"/>
                </w:rPr>
                <w:t>SIGNATURES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6080" w:type="dxa"/>
            <w:vAlign w:val="bottom"/>
            <w:gridSpan w:val="3"/>
          </w:tcPr>
          <w:p>
            <w:pPr>
              <w:jc w:val="center"/>
              <w:ind w:left="2870"/>
              <w:spacing w:after="0"/>
              <w:rPr>
                <w:sz w:val="20"/>
                <w:szCs w:val="20"/>
                <w:color w:val="auto"/>
              </w:rPr>
            </w:pPr>
            <w:r>
              <w:rPr>
                <w:rFonts w:ascii="Times New Roman" w:cs="Times New Roman" w:eastAsia="Times New Roman" w:hAnsi="Times New Roman"/>
                <w:sz w:val="18"/>
                <w:szCs w:val="18"/>
                <w:color w:val="auto"/>
                <w:w w:val="88"/>
              </w:rPr>
              <w:t>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20" w:type="dxa"/>
            <w:vAlign w:val="bottom"/>
            <w:tcBorders>
              <w:bottom w:val="single" w:sz="8" w:color="9A9A9A"/>
            </w:tcBorders>
            <w:gridSpan w:val="2"/>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324"/>
        </w:trPr>
        <w:tc>
          <w:tcPr>
            <w:tcW w:w="8000" w:type="dxa"/>
            <w:vAlign w:val="bottom"/>
            <w:gridSpan w:val="7"/>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5"/>
        </w:trPr>
        <w:tc>
          <w:tcPr>
            <w:tcW w:w="1100" w:type="dxa"/>
            <w:vAlign w:val="bottom"/>
          </w:tcPr>
          <w:p>
            <w:pPr>
              <w:spacing w:after="0"/>
              <w:rPr>
                <w:sz w:val="24"/>
                <w:szCs w:val="24"/>
                <w:color w:val="auto"/>
              </w:rPr>
            </w:pPr>
          </w:p>
        </w:tc>
        <w:tc>
          <w:tcPr>
            <w:tcW w:w="6900" w:type="dxa"/>
            <w:vAlign w:val="bottom"/>
            <w:gridSpan w:val="6"/>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gridSpan w:val="2"/>
          </w:tcPr>
          <w:p>
            <w:pPr>
              <w:jc w:val="center"/>
              <w:ind w:right="4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w:t>
            </w:r>
          </w:p>
        </w:tc>
        <w:tc>
          <w:tcPr>
            <w:tcW w:w="82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259,543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181,620</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Accounts receivable (less allowances for credit losses of $1,262 and $1,424, respectively)</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183,704</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937,878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1,326,080</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20,728</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-2859405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-2868295</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121" w:right="339" w:bottom="0" w:gutter="0" w:footer="0" w:header="0"/>
          <w:type w:val="continuous"/>
        </w:sectPr>
      </w:pPr>
    </w:p>
    <w:bookmarkStart w:id="2" w:name="page3"/>
    <w:bookmarkEnd w:id="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net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1,366,413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1,712,551</w:t>
            </w:r>
          </w:p>
        </w:tc>
      </w:tr>
      <w:tr>
        <w:trPr>
          <w:trHeight w:val="216"/>
        </w:trPr>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1,227,275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1,279,931</w:t>
            </w:r>
          </w:p>
        </w:tc>
      </w:tr>
      <w:tr>
        <w:trPr>
          <w:trHeight w:val="216"/>
        </w:trPr>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57,197</w:t>
            </w:r>
          </w:p>
        </w:tc>
      </w:tr>
      <w:tr>
        <w:trPr>
          <w:trHeight w:val="216"/>
        </w:trPr>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292,142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292,142</w:t>
            </w:r>
          </w:p>
        </w:tc>
      </w:tr>
      <w:tr>
        <w:trPr>
          <w:trHeight w:val="234"/>
        </w:trPr>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67,324</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65,508</w:t>
            </w:r>
          </w:p>
        </w:tc>
      </w:tr>
      <w:tr>
        <w:trPr>
          <w:trHeight w:val="210"/>
        </w:trPr>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3,010,689</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3,407,329</w:t>
            </w:r>
          </w:p>
        </w:tc>
        <w:tc>
          <w:tcPr>
            <w:tcW w:w="20" w:type="dxa"/>
            <w:vAlign w:val="bottom"/>
          </w:tcPr>
          <w:p>
            <w:pPr>
              <w:spacing w:after="0"/>
              <w:rPr>
                <w:sz w:val="18"/>
                <w:szCs w:val="18"/>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7280" w:space="720"/>
            <w:col w:w="3240"/>
          </w:cols>
          <w:pgMar w:left="320" w:top="121" w:right="339" w:bottom="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996,336</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189,265</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22,892</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10,114</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133,697</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42,695</w:t>
            </w:r>
          </w:p>
        </w:tc>
      </w:tr>
      <w:tr>
        <w:trPr>
          <w:trHeight w:val="216"/>
        </w:trPr>
        <w:tc>
          <w:tcPr>
            <w:tcW w:w="7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1,507,389</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438,413</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69,478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47,555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20,704</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164,297</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2020 and</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42,208,299 Class A shares and 12,518,877 Class B shares outstanding in 2020; and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41,930,472 Class A shares and 12,360,729 Class B shares outstanding in 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397,267</w:t>
            </w:r>
          </w:p>
        </w:tc>
      </w:tr>
      <w:tr>
        <w:trPr>
          <w:trHeight w:val="198"/>
        </w:trPr>
        <w:tc>
          <w:tcPr>
            <w:tcW w:w="7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24,892 Class B shares in 2020 and 7,583,674 Class A shares and 7,959,511 Class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 shares in 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(304,129)</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1,065,553</w:t>
            </w: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3,010,689</w:t>
            </w:r>
          </w:p>
        </w:tc>
        <w:tc>
          <w:tcPr>
            <w:tcW w:w="12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3,407,329</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RUSH ENTERPRISES, INC. AND SUBSIDIARIES CONSOLIDATED STATEMENTS OF INCOME AND COMPREHENSIVE INCOME </w:t>
      </w:r>
      <w:r>
        <w:rPr>
          <w:rFonts w:ascii="Times New Roman" w:cs="Times New Roman" w:eastAsia="Times New Roman" w:hAnsi="Times New Roman"/>
          <w:sz w:val="18"/>
          <w:szCs w:val="18"/>
          <w:b w:val="1"/>
          <w:bCs w:val="1"/>
          <w:color w:val="auto"/>
        </w:rPr>
        <w:t>(In Thousands, Except Per Share Amounts) (Unaudited)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711,754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1,070,868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2,060,370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2,933,952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400,260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454,785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1,205,791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1,341,305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and rental</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183,973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1,178,568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1,599,265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3,467,743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4,492,143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658,192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997,946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1,908,225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2,717,484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258,379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284,328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766,990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830,153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153,316</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966,116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1,334,497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2,828,459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3,700,953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212,452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264,768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791,190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155,487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496,756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573,644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14,423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42,868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176,982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43,928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156,178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38,349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33,939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117,829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bl>
    <w:p>
      <w:pPr>
        <w:sectPr>
          <w:pgSz w:w="11900" w:h="16900" w:orient="portrait"/>
          <w:cols w:equalWidth="0" w:num="1">
            <w:col w:w="11240"/>
          </w:cols>
          <w:pgMar w:left="320" w:top="121"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54,817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54,734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55,116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56,026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55,929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56,438</w:t>
            </w:r>
          </w:p>
        </w:tc>
      </w:tr>
      <w:tr>
        <w:trPr>
          <w:trHeight w:val="216"/>
        </w:trPr>
        <w:tc>
          <w:tcPr>
            <w:tcW w:w="5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5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39,159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117,763</w:t>
            </w:r>
          </w:p>
        </w:tc>
      </w:tr>
      <w:tr>
        <w:trPr>
          <w:trHeight w:val="20"/>
        </w:trPr>
        <w:tc>
          <w:tcPr>
            <w:tcW w:w="5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Common Stock</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Accumulated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100" w:type="dxa"/>
            <w:vAlign w:val="bottom"/>
            <w:gridSpan w:val="3"/>
          </w:tcPr>
          <w:p>
            <w:pPr>
              <w:jc w:val="center"/>
              <w:ind w:left="579"/>
              <w:spacing w:after="0"/>
              <w:rPr>
                <w:sz w:val="20"/>
                <w:szCs w:val="20"/>
                <w:color w:val="auto"/>
              </w:rPr>
            </w:pPr>
            <w:r>
              <w:rPr>
                <w:rFonts w:ascii="Times New Roman" w:cs="Times New Roman" w:eastAsia="Times New Roman" w:hAnsi="Times New Roman"/>
                <w:sz w:val="16"/>
                <w:szCs w:val="16"/>
                <w:color w:val="auto"/>
              </w:rPr>
              <w:t>Shares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$0.01</w:t>
            </w:r>
          </w:p>
        </w:tc>
        <w:tc>
          <w:tcPr>
            <w:tcW w:w="220" w:type="dxa"/>
            <w:vAlign w:val="bottom"/>
          </w:tcPr>
          <w:p>
            <w:pPr>
              <w:spacing w:after="0"/>
              <w:rPr>
                <w:sz w:val="17"/>
                <w:szCs w:val="17"/>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9"/>
              </w:rPr>
              <w:t>Additional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Other</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20" w:type="dxa"/>
            <w:vAlign w:val="bottom"/>
          </w:tcPr>
          <w:p>
            <w:pPr>
              <w:spacing w:after="0"/>
              <w:rPr>
                <w:sz w:val="18"/>
                <w:szCs w:val="18"/>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color w:val="auto"/>
              </w:rPr>
              <w:t>Outstanding</w:t>
            </w:r>
          </w:p>
        </w:tc>
        <w:tc>
          <w:tcPr>
            <w:tcW w:w="140" w:type="dxa"/>
            <w:vAlign w:val="bottom"/>
          </w:tcPr>
          <w:p>
            <w:pPr>
              <w:spacing w:after="0"/>
              <w:rPr>
                <w:sz w:val="18"/>
                <w:szCs w:val="18"/>
                <w:color w:val="auto"/>
              </w:rPr>
            </w:pPr>
          </w:p>
        </w:tc>
        <w:tc>
          <w:tcPr>
            <w:tcW w:w="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Par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Paid-In</w:t>
            </w:r>
          </w:p>
        </w:tc>
        <w:tc>
          <w:tcPr>
            <w:tcW w:w="10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8"/>
              </w:rPr>
              <w:t>Retained</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Comprehensive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220" w:type="dxa"/>
            <w:vAlign w:val="bottom"/>
          </w:tcPr>
          <w:p>
            <w:pPr>
              <w:spacing w:after="0"/>
              <w:rPr>
                <w:sz w:val="17"/>
                <w:szCs w:val="17"/>
                <w:color w:val="auto"/>
              </w:rPr>
            </w:pPr>
          </w:p>
        </w:tc>
        <w:tc>
          <w:tcPr>
            <w:tcW w:w="11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Class A</w:t>
            </w:r>
          </w:p>
        </w:tc>
        <w:tc>
          <w:tcPr>
            <w:tcW w:w="6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Class B</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4"/>
              </w:rPr>
              <w:t>Value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Capital</w:t>
            </w:r>
          </w:p>
        </w:tc>
        <w:tc>
          <w:tcPr>
            <w:tcW w:w="10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8"/>
              </w:rPr>
              <w:t>Earnings</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(Loss)Income</w:t>
            </w:r>
          </w:p>
        </w:tc>
        <w:tc>
          <w:tcPr>
            <w:tcW w:w="8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3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12,361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397,267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(304,129)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1,065,553</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$ 1,159,493</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and stock awards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1,421</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1,422</w:t>
            </w:r>
          </w:p>
        </w:tc>
      </w:tr>
      <w:tr>
        <w:trPr>
          <w:trHeight w:val="18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related to stock</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 restricted shares and employee stock</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plan</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8,553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8,553</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(2,414)</w:t>
            </w:r>
          </w:p>
        </w:tc>
      </w:tr>
      <w:tr>
        <w:trPr>
          <w:trHeight w:val="18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purchase plan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1,901</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repurchases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(19,902)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(19,902)</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Class A common stock</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(3,646)</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(3,646)</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 Class B common stock</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(1,108)</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(1,108)</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(1,930)</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(1,930)</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23,107</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23,107</w:t>
            </w:r>
          </w:p>
        </w:tc>
        <w:tc>
          <w:tcPr>
            <w:tcW w:w="100" w:type="dxa"/>
            <w:vAlign w:val="bottom"/>
          </w:tcPr>
          <w:p>
            <w:pPr>
              <w:spacing w:after="0"/>
              <w:rPr>
                <w:sz w:val="17"/>
                <w:szCs w:val="17"/>
                <w:color w:val="auto"/>
              </w:rPr>
            </w:pPr>
          </w:p>
        </w:tc>
      </w:tr>
      <w:tr>
        <w:trPr>
          <w:trHeight w:val="19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March 31, 2020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41,299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12,616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406,725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(324,031)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1,083,906</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(1,593)</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$ 1,165,476</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and stock awards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4,529</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4,531</w:t>
            </w:r>
          </w:p>
        </w:tc>
      </w:tr>
      <w:tr>
        <w:trPr>
          <w:trHeight w:val="18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related to stock</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 restricted shares and employee stock</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plan</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3,586</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Class A common stock</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(3,581)</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(3,581)</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 Class B common stock</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(1,165)</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(1,165)</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925</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16,816</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16,816</w:t>
            </w:r>
          </w:p>
        </w:tc>
        <w:tc>
          <w:tcPr>
            <w:tcW w:w="100" w:type="dxa"/>
            <w:vAlign w:val="bottom"/>
          </w:tcPr>
          <w:p>
            <w:pPr>
              <w:spacing w:after="0"/>
              <w:rPr>
                <w:sz w:val="17"/>
                <w:szCs w:val="17"/>
                <w:color w:val="auto"/>
              </w:rPr>
            </w:pPr>
          </w:p>
        </w:tc>
      </w:tr>
      <w:tr>
        <w:trPr>
          <w:trHeight w:val="19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June 30, 2020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41,593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12,616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414,812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(324,031)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1,095,976</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(668)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$ 1,186,560</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and stock awards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8,701</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8,704</w:t>
            </w:r>
          </w:p>
        </w:tc>
      </w:tr>
      <w:tr>
        <w:trPr>
          <w:trHeight w:val="18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related to stock</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 restricted shares and employee stock</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plan</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3,324</w:t>
            </w:r>
          </w:p>
        </w:tc>
      </w:tr>
      <w:tr>
        <w:trPr>
          <w:trHeight w:val="202"/>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r>
      <w:tr>
        <w:trPr>
          <w:trHeight w:val="18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purchase plan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2,001</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repurchases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(2,749)</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Cancellation of treasury stock</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(326,129)</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 Class A common stock</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(3,922)</w:t>
            </w:r>
          </w:p>
        </w:tc>
        <w:tc>
          <w:tcPr>
            <w:tcW w:w="2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(3,922)</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Class B common stock</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(1,258)</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(1,258)</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488</w:t>
            </w:r>
          </w:p>
        </w:tc>
      </w:tr>
      <w:tr>
        <w:trPr>
          <w:trHeight w:val="20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33,939</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2020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42,208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12,519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428,823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(723)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798,606</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$ 1,227,073</w:t>
            </w:r>
          </w:p>
        </w:tc>
      </w:tr>
      <w:tr>
        <w:trPr>
          <w:trHeight w:val="20"/>
        </w:trPr>
        <w:tc>
          <w:tcPr>
            <w:tcW w:w="3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324"/>
        </w:trPr>
        <w:tc>
          <w:tcPr>
            <w:tcW w:w="322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220" w:type="dxa"/>
            <w:vAlign w:val="bottom"/>
          </w:tcPr>
          <w:p>
            <w:pPr>
              <w:spacing w:after="0"/>
              <w:rPr>
                <w:sz w:val="24"/>
                <w:szCs w:val="24"/>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Common Stock</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Accumulated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220" w:type="dxa"/>
            <w:vAlign w:val="bottom"/>
          </w:tcPr>
          <w:p>
            <w:pPr>
              <w:spacing w:after="0"/>
              <w:rPr>
                <w:sz w:val="17"/>
                <w:szCs w:val="17"/>
                <w:color w:val="auto"/>
              </w:rPr>
            </w:pPr>
          </w:p>
        </w:tc>
        <w:tc>
          <w:tcPr>
            <w:tcW w:w="1100" w:type="dxa"/>
            <w:vAlign w:val="bottom"/>
            <w:gridSpan w:val="3"/>
          </w:tcPr>
          <w:p>
            <w:pPr>
              <w:jc w:val="center"/>
              <w:ind w:left="579"/>
              <w:spacing w:after="0"/>
              <w:rPr>
                <w:sz w:val="20"/>
                <w:szCs w:val="20"/>
                <w:color w:val="auto"/>
              </w:rPr>
            </w:pPr>
            <w:r>
              <w:rPr>
                <w:rFonts w:ascii="Times New Roman" w:cs="Times New Roman" w:eastAsia="Times New Roman" w:hAnsi="Times New Roman"/>
                <w:sz w:val="16"/>
                <w:szCs w:val="16"/>
                <w:color w:val="auto"/>
              </w:rPr>
              <w:t>Shares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$0.01</w:t>
            </w:r>
          </w:p>
        </w:tc>
        <w:tc>
          <w:tcPr>
            <w:tcW w:w="220" w:type="dxa"/>
            <w:vAlign w:val="bottom"/>
          </w:tcPr>
          <w:p>
            <w:pPr>
              <w:spacing w:after="0"/>
              <w:rPr>
                <w:sz w:val="17"/>
                <w:szCs w:val="17"/>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9"/>
              </w:rPr>
              <w:t>Additional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Other</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20" w:type="dxa"/>
            <w:vAlign w:val="bottom"/>
          </w:tcPr>
          <w:p>
            <w:pPr>
              <w:spacing w:after="0"/>
              <w:rPr>
                <w:sz w:val="18"/>
                <w:szCs w:val="18"/>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color w:val="auto"/>
              </w:rPr>
              <w:t>Outstanding</w:t>
            </w:r>
          </w:p>
        </w:tc>
        <w:tc>
          <w:tcPr>
            <w:tcW w:w="140" w:type="dxa"/>
            <w:vAlign w:val="bottom"/>
          </w:tcPr>
          <w:p>
            <w:pPr>
              <w:spacing w:after="0"/>
              <w:rPr>
                <w:sz w:val="18"/>
                <w:szCs w:val="18"/>
                <w:color w:val="auto"/>
              </w:rPr>
            </w:pPr>
          </w:p>
        </w:tc>
        <w:tc>
          <w:tcPr>
            <w:tcW w:w="6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Par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Paid-In</w:t>
            </w:r>
          </w:p>
        </w:tc>
        <w:tc>
          <w:tcPr>
            <w:tcW w:w="10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98"/>
              </w:rPr>
              <w:t>Retained</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Comprehensive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220" w:type="dxa"/>
            <w:vAlign w:val="bottom"/>
          </w:tcPr>
          <w:p>
            <w:pPr>
              <w:spacing w:after="0"/>
              <w:rPr>
                <w:sz w:val="17"/>
                <w:szCs w:val="17"/>
                <w:color w:val="auto"/>
              </w:rPr>
            </w:pPr>
          </w:p>
        </w:tc>
        <w:tc>
          <w:tcPr>
            <w:tcW w:w="7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Class A</w:t>
            </w: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Class B</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4"/>
              </w:rPr>
              <w:t>Value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Capital</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rPr>
              <w:t>Stock</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Earnings</w:t>
            </w:r>
          </w:p>
        </w:tc>
        <w:tc>
          <w:tcPr>
            <w:tcW w:w="220" w:type="dxa"/>
            <w:vAlign w:val="bottom"/>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Income (Loss)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-882015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2018</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43,064</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12,435</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458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370,025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(245,842)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942,287</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$ 1,066,928</w:t>
            </w: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and stock awards</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88</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1,230</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17"/>
                <w:szCs w:val="17"/>
                <w:color w:val="auto"/>
              </w:rPr>
            </w:pPr>
          </w:p>
        </w:tc>
      </w:tr>
      <w:tr>
        <w:trPr>
          <w:trHeight w:val="18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related to stock</w:t>
            </w:r>
          </w:p>
        </w:tc>
        <w:tc>
          <w:tcPr>
            <w:tcW w:w="1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 restricted shares and employee stock</w:t>
            </w: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plan</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8,836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w:t>
            </w:r>
          </w:p>
        </w:tc>
        <w:tc>
          <w:tcPr>
            <w:tcW w:w="100" w:type="dxa"/>
            <w:vAlign w:val="bottom"/>
            <w:shd w:val="clear" w:color="auto" w:fill="CCEEFF"/>
          </w:tcPr>
          <w:p>
            <w:pPr>
              <w:spacing w:after="0"/>
              <w:rPr>
                <w:sz w:val="18"/>
                <w:szCs w:val="18"/>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339</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(2,315)</w:t>
            </w:r>
          </w:p>
        </w:tc>
      </w:tr>
      <w:tr>
        <w:trPr>
          <w:trHeight w:val="18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1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purchase plan</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86</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1,680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00" w:type="dxa"/>
            <w:vAlign w:val="bottom"/>
            <w:shd w:val="clear" w:color="auto" w:fill="CCEEFF"/>
          </w:tcPr>
          <w:p>
            <w:pPr>
              <w:spacing w:after="0"/>
              <w:rPr>
                <w:sz w:val="18"/>
                <w:szCs w:val="18"/>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repurchases</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(959)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(26,048)</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(26,048)</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Class A common stock</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(3,389)</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 Class B common stock</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(991)</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37,104</w:t>
            </w: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37,104</w:t>
            </w:r>
          </w:p>
        </w:tc>
        <w:tc>
          <w:tcPr>
            <w:tcW w:w="100" w:type="dxa"/>
            <w:vAlign w:val="bottom"/>
          </w:tcPr>
          <w:p>
            <w:pPr>
              <w:spacing w:after="0"/>
              <w:rPr>
                <w:sz w:val="17"/>
                <w:szCs w:val="17"/>
                <w:color w:val="auto"/>
              </w:rPr>
            </w:pPr>
          </w:p>
        </w:tc>
      </w:tr>
      <w:tr>
        <w:trPr>
          <w:trHeight w:val="19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March 31, 2019</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42,280</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12,694</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462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379,454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(271,890)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975,011</w:t>
            </w:r>
          </w:p>
        </w:tc>
        <w:tc>
          <w:tcPr>
            <w:tcW w:w="4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$ 1,083,421</w:t>
            </w:r>
          </w:p>
        </w:tc>
        <w:tc>
          <w:tcPr>
            <w:tcW w:w="100" w:type="dxa"/>
            <w:vAlign w:val="bottom"/>
            <w:shd w:val="clear" w:color="auto" w:fill="CCEEFF"/>
          </w:tcPr>
          <w:p>
            <w:pPr>
              <w:spacing w:after="0"/>
              <w:rPr>
                <w:sz w:val="17"/>
                <w:szCs w:val="17"/>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 and stock awards</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131</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1,745</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Pr>
          <w:p>
            <w:pPr>
              <w:spacing w:after="0"/>
              <w:rPr>
                <w:sz w:val="17"/>
                <w:szCs w:val="17"/>
                <w:color w:val="auto"/>
              </w:rPr>
            </w:pPr>
          </w:p>
        </w:tc>
      </w:tr>
      <w:tr>
        <w:trPr>
          <w:trHeight w:val="18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related to stock</w:t>
            </w:r>
          </w:p>
        </w:tc>
        <w:tc>
          <w:tcPr>
            <w:tcW w:w="1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options, restricted shares and employee stock</w:t>
            </w: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plan</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4,258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100" w:type="dxa"/>
            <w:vAlign w:val="bottom"/>
            <w:shd w:val="clear" w:color="auto" w:fill="CCEEFF"/>
          </w:tcPr>
          <w:p>
            <w:pPr>
              <w:spacing w:after="0"/>
              <w:rPr>
                <w:sz w:val="18"/>
                <w:szCs w:val="18"/>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(517)</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repurchases</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(12,062)</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 Class A common stock</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(3,387)</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Class B common stock</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(1,050)</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(505)</w:t>
            </w:r>
          </w:p>
        </w:tc>
      </w:tr>
      <w:tr>
        <w:trPr>
          <w:trHeight w:val="20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41,621</w:t>
            </w: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June 30, 2019</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42,034</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12,594</w:t>
            </w:r>
          </w:p>
        </w:tc>
        <w:tc>
          <w:tcPr>
            <w:tcW w:w="3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462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384,940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(283,952)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1,012,195</w:t>
            </w:r>
          </w:p>
        </w:tc>
        <w:tc>
          <w:tcPr>
            <w:tcW w:w="4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$ 1,113,524</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 and stock awards</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55</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0" w:type="dxa"/>
            <w:vAlign w:val="bottom"/>
            <w:shd w:val="clear" w:color="auto" w:fill="CCEEFF"/>
          </w:tcPr>
          <w:p>
            <w:pPr>
              <w:spacing w:after="0"/>
              <w:rPr>
                <w:sz w:val="17"/>
                <w:szCs w:val="17"/>
                <w:color w:val="auto"/>
              </w:rPr>
            </w:pPr>
          </w:p>
        </w:tc>
      </w:tr>
      <w:tr>
        <w:trPr>
          <w:trHeight w:val="189"/>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related to stock</w:t>
            </w: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options, restricted shares and employee stock</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plan</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2,709</w:t>
            </w:r>
          </w:p>
        </w:tc>
        <w:tc>
          <w:tcPr>
            <w:tcW w:w="2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c>
          <w:tcPr>
            <w:tcW w:w="100" w:type="dxa"/>
            <w:vAlign w:val="bottom"/>
          </w:tcPr>
          <w:p>
            <w:pPr>
              <w:spacing w:after="0"/>
              <w:rPr>
                <w:sz w:val="18"/>
                <w:szCs w:val="18"/>
                <w:color w:val="auto"/>
              </w:rPr>
            </w:pPr>
          </w:p>
        </w:tc>
      </w:tr>
      <w:tr>
        <w:trPr>
          <w:trHeight w:val="20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share awards</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purchase plan</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90</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1,806</w:t>
            </w:r>
          </w:p>
        </w:tc>
        <w:tc>
          <w:tcPr>
            <w:tcW w:w="2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tcPr>
          <w:p>
            <w:pPr>
              <w:spacing w:after="0"/>
              <w:rPr>
                <w:sz w:val="18"/>
                <w:szCs w:val="18"/>
                <w:color w:val="auto"/>
              </w:rPr>
            </w:pPr>
          </w:p>
        </w:tc>
      </w:tr>
      <w:tr>
        <w:trPr>
          <w:trHeight w:val="20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repurchases</w:t>
            </w:r>
          </w:p>
        </w:tc>
        <w:tc>
          <w:tcPr>
            <w:tcW w:w="10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(469)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(16,089)</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Dividend Class A common stock</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(3,637)</w:t>
            </w: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Class B common stock</w:t>
            </w:r>
          </w:p>
        </w:tc>
        <w:tc>
          <w:tcPr>
            <w:tcW w:w="10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(1,124)</w:t>
            </w: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7"/>
                <w:szCs w:val="17"/>
                <w:color w:val="auto"/>
              </w:rPr>
            </w:pPr>
          </w:p>
        </w:tc>
      </w:tr>
      <w:tr>
        <w:trPr>
          <w:trHeight w:val="20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39,104</w:t>
            </w: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September 30, 2019</w:t>
            </w: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41,710</w:t>
            </w: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12,426</w:t>
            </w:r>
          </w:p>
        </w:tc>
        <w:tc>
          <w:tcPr>
            <w:tcW w:w="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463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390,359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(300,041)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1,046,538</w:t>
            </w:r>
          </w:p>
        </w:tc>
        <w:tc>
          <w:tcPr>
            <w:tcW w:w="4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$ 1,137,253</w:t>
            </w:r>
          </w:p>
        </w:tc>
        <w:tc>
          <w:tcPr>
            <w:tcW w:w="100" w:type="dxa"/>
            <w:vAlign w:val="bottom"/>
          </w:tcPr>
          <w:p>
            <w:pPr>
              <w:spacing w:after="0"/>
              <w:rPr>
                <w:sz w:val="17"/>
                <w:szCs w:val="17"/>
                <w:color w:val="auto"/>
              </w:rPr>
            </w:pPr>
          </w:p>
        </w:tc>
      </w:tr>
      <w:tr>
        <w:trPr>
          <w:trHeight w:val="20"/>
        </w:trPr>
        <w:tc>
          <w:tcPr>
            <w:tcW w:w="3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5"/>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5"/>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73,862</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117,829</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134,001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129,618</w:t>
            </w: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sale of property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 related to stock options and employee stock purchases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15,463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15,803</w:t>
            </w: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(11,597)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21,603</w:t>
            </w: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(29,153)</w:t>
            </w: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439,226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5,709</w:t>
            </w: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7,413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(13,928)</w:t>
            </w: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9,848</w:t>
            </w: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Payments on floor plan notes payable – trade,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(14,148)</w:t>
            </w: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(2,630)</w:t>
            </w:r>
          </w:p>
        </w:tc>
      </w:tr>
      <w:tr>
        <w:trPr>
          <w:trHeight w:val="216"/>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(18,715)</w:t>
            </w:r>
          </w:p>
        </w:tc>
      </w:tr>
      <w:tr>
        <w:trPr>
          <w:trHeight w:val="216"/>
        </w:trPr>
        <w:tc>
          <w:tcPr>
            <w:tcW w:w="80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r>
      <w:tr>
        <w:trPr>
          <w:trHeight w:val="209"/>
        </w:trPr>
        <w:tc>
          <w:tcPr>
            <w:tcW w:w="8000" w:type="dxa"/>
            <w:vAlign w:val="bottom"/>
            <w:tcBorders>
              <w:top w:val="single" w:sz="8" w:color="CCEEFF"/>
            </w:tcBorders>
            <w:gridSpan w:val="5"/>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590,469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221,621</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(107,839)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(230,595)</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0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Business acquisitions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(10,168)</w:t>
            </w:r>
          </w:p>
        </w:tc>
      </w:tr>
      <w:tr>
        <w:trPr>
          <w:trHeight w:val="216"/>
        </w:trPr>
        <w:tc>
          <w:tcPr>
            <w:tcW w:w="80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equity method investment and call option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(22,499)</w:t>
            </w:r>
          </w:p>
        </w:tc>
      </w:tr>
      <w:tr>
        <w:trPr>
          <w:trHeight w:val="245"/>
        </w:trPr>
        <w:tc>
          <w:tcPr>
            <w:tcW w:w="8000" w:type="dxa"/>
            <w:vAlign w:val="bottom"/>
            <w:tcBorders>
              <w:bottom w:val="single" w:sz="8" w:color="CCEEFF"/>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Change in other assets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Borders>
              <w:bottom w:val="single" w:sz="8" w:color="CCEEFF"/>
            </w:tcBorders>
          </w:tcPr>
          <w:p>
            <w:pPr>
              <w:spacing w:after="0"/>
              <w:rPr>
                <w:sz w:val="21"/>
                <w:szCs w:val="21"/>
                <w:color w:val="auto"/>
              </w:rPr>
            </w:pPr>
          </w:p>
        </w:tc>
      </w:tr>
    </w:tbl>
    <w:p>
      <w:pPr>
        <w:sectPr>
          <w:pgSz w:w="11900" w:h="16900" w:orient="portrait"/>
          <w:cols w:equalWidth="0" w:num="1">
            <w:col w:w="11240"/>
          </w:cols>
          <w:pgMar w:left="320" w:top="342"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(98,898)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(258,750)</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draws on floor plan notes payable – non-trade, net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(320,307)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42,370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139,870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162,039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Draws on line of credit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(202,690)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(141,844)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 stock purchases</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(14,680)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(22,405)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(53,764)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8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(413,648)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(8,480)</w:t>
            </w:r>
          </w:p>
        </w:tc>
      </w:tr>
      <w:tr>
        <w:trPr>
          <w:trHeight w:val="20"/>
        </w:trPr>
        <w:tc>
          <w:tcPr>
            <w:tcW w:w="80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(45,609)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259,543</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86,117</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31,153</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43,909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26,934</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41,197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34,839</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Guaranty agreement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5,025</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2019. Results of operations for interim periods are not necessarily indicative of results that may be expected for any other interim periods 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Split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15, 2020, the Board of Directors of the Company declared a 3-for-2 stock split of the Company’s Class A common stock and Class B common stock, to be effected in the form of a stock dividend. On October 12, 2020, the Company distributed one additional share of stock for every two shares of Class A common stock, par value $0.01 per share, and Class B common stock, par value $0.01 per share, held by shareholders of record as of September 28, 2020. All share and per share data in this Form 10-Q have been adjusted and restated to reflect the stock split as if it occurred on the first day of the earliest period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Accounting Standards Update ("ASU") No. 2016-13, </w:t>
      </w:r>
      <w:r>
        <w:rPr>
          <w:rFonts w:ascii="Times New Roman" w:cs="Times New Roman" w:eastAsia="Times New Roman" w:hAnsi="Times New Roman"/>
          <w:sz w:val="18"/>
          <w:szCs w:val="18"/>
          <w:i w:val="1"/>
          <w:iCs w:val="1"/>
          <w:color w:val="auto"/>
        </w:rPr>
        <w:t>Financial Instruments - Credit Losses (“Topic 326”): 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was issued in June 2016. Under Topic 326, existing guidance on reporting credit losses for trade and other receivables, held-to-maturity debt securities and other instruments have been replaced with a new forward-looking "expected loss" model that results in the earlier recognition of allowances for losses. Under Topic 326, the Company is required to use a current expected credit loss (“CECL”) model that immediately recognizes an estimate of credit losses that are expected to occur over the life of the financial instruments that are within the scope of Topic 326. The CECL model uses a broader range of reasonable and supportable information in the development of credit loss estimates. The Company adopted Topic 326 on January 1, 2020, and the new standard did not result in a material impact on its consolidated financial statements. For a complete discussion of accounting for credit losses, see Note 12 – Accounts Receivable and Allowance for Credit Losses of the Notes to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Risks and Uncertainties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2020, the World Health Organization made the assessment that COVID-19 could be characterized as a pandemic, and the President of the United States declared the COVID-19 outbreak a national emergency. The Company’s nationwide network of commercial vehicle dealerships are classified as “essential businesses” and have remained operational across the Company’s dealership network. Despite the dealerships remaining open, the COVID-19 pandemic had a significant negative impact on our financial results during the quarter ended September 30, 2020. The Company is unable to predict the impact that the COVID-19 pandemic will have on its future business and operating results due to numerous uncertainties, including the duration and severity of the outbreak.</w:t>
      </w:r>
    </w:p>
    <w:p>
      <w:pPr>
        <w:sectPr>
          <w:pgSz w:w="11900" w:h="16838" w:orient="portrait"/>
          <w:cols w:equalWidth="0" w:num="1">
            <w:col w:w="11240"/>
          </w:cols>
          <w:pgMar w:left="320" w:top="140" w:right="3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2 –Other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ERP Platform</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total capitalized costs of the Company’s SAP enterprise resource planning software platform (“the ERP Platform”) of $7.4 million are recorded on the Consolidated Balance Sheet in Other Assets. Amortization expense relating to the ERP Platform, which is recognized in depreciation and amortization expense in the Consolidated Statements of Income and Comprehensive Income, was $0.5 million for the three months ended September 30, 2020 and the three months ended September 30, 2019, and $1.4 million for the nine months ended September 30, 2020 and the nine months ended September 30, 2019. The Company estimates that amortization expense relating to the ERP Platform will be approximately $1.5 million for 2021 and $1.2 million for each of the next four years.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Rights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as of September 30, 2020 and December 31, 2019,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impairment write-down was required in the period presented. The Company cannot predict the occurrence of certain events that might adversely affect the reported value of manufacturer franchise rights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 and Call Option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September 30, 2020, and is reported in Other Assets on the Consolidated Balance Sheet.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$5.0 million as of September 30, 2020 and $5.1 million as of December 31, 2019, and is included in the investment in RTC Canada. As of September 30, 2020, the Company’s investment in RTC Canada is $29.6 million. The Company’s equity income in RTC Canada is included in Other income on the Consolidated Statements of Income.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260" w:type="dxa"/>
            <w:vAlign w:val="bottom"/>
          </w:tcPr>
          <w:p>
            <w:pPr>
              <w:spacing w:after="0"/>
              <w:rPr>
                <w:sz w:val="17"/>
                <w:szCs w:val="17"/>
                <w:color w:val="auto"/>
              </w:rPr>
            </w:pP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39,104</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73,862</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117,829</w:t>
            </w:r>
          </w:p>
        </w:tc>
        <w:tc>
          <w:tcPr>
            <w:tcW w:w="0" w:type="dxa"/>
            <w:vAlign w:val="bottom"/>
          </w:tcPr>
          <w:p>
            <w:pPr>
              <w:spacing w:after="0"/>
              <w:rPr>
                <w:sz w:val="1"/>
                <w:szCs w:val="1"/>
                <w:color w:val="auto"/>
              </w:rPr>
            </w:pPr>
          </w:p>
        </w:tc>
      </w:tr>
      <w:tr>
        <w:trPr>
          <w:trHeight w:val="221"/>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shareholders</w:t>
            </w: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55,116</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dilutive securities– Employee and director stock options and restricted</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2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awards</w:t>
            </w: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56,443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56,026</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55,929</w:t>
            </w: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56,438</w:t>
            </w:r>
          </w:p>
        </w:tc>
        <w:tc>
          <w:tcPr>
            <w:tcW w:w="0" w:type="dxa"/>
            <w:vAlign w:val="bottom"/>
          </w:tcPr>
          <w:p>
            <w:pPr>
              <w:spacing w:after="0"/>
              <w:rPr>
                <w:sz w:val="1"/>
                <w:szCs w:val="1"/>
                <w:color w:val="auto"/>
              </w:rPr>
            </w:pPr>
          </w:p>
        </w:tc>
      </w:tr>
      <w:tr>
        <w:trPr>
          <w:trHeight w:val="194"/>
        </w:trPr>
        <w:tc>
          <w:tcPr>
            <w:tcW w:w="59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outstanding and assumed conversions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26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0.70</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and nine months ended September 30, 2020 and 2019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45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8"/>
                <w:szCs w:val="18"/>
                <w:color w:val="auto"/>
              </w:rPr>
            </w:pPr>
          </w:p>
        </w:tc>
      </w:tr>
      <w:tr>
        <w:trPr>
          <w:trHeight w:val="209"/>
        </w:trPr>
        <w:tc>
          <w:tcPr>
            <w:tcW w:w="5360" w:type="dxa"/>
            <w:vAlign w:val="bottom"/>
            <w:gridSpan w:val="2"/>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8"/>
              </w:rPr>
              <w:t>Weighted average anti-dilutive options</w:t>
            </w: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1,100</w:t>
            </w: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2,065</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1,799</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1,874</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718-10,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which requires the measurement and recognition of compensation expense for all share-based payment awards made to our employees and directors, including employee stock options, restricted stock unit awards, restricted stock awards and employee stock purchases related to the Employee Stock Purchase Plan based on estimated fair values.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calculated using the Black-Scholes option-pricing model for employee stock options and included in selling, general and administrative expense, was $3.3 million for the three months ended September 30, 2020, and $2.7 million for the three months ended September 30, 2019. Stock-based compensation expense was $15.5 million for the nine months ended September 30, 2020, and $15.8 million for the nine months ended September 30, 2019.</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the Company had $9.0 million of unrecognized compensation expense related to non-vested employee stock options to be recognized over a weighted-average period of 2.2 years and $9.7 million of unrecognized compensation cost related to non-vested restricted stock units and non-vested restricted stock awards to be recognized over a weighted-average period of 1.3 years.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 Financial Instruments and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September 30, 2020, and December 31, 2019. The carrying value of current assets and current liabilities approximates the fair value due to the short maturity of these items.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carrying amount of such debt approximates fair value.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 Segment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operating income.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September 30, 2020 and 2019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Truck</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Segment</w:t>
            </w:r>
          </w:p>
        </w:tc>
        <w:tc>
          <w:tcPr>
            <w:tcW w:w="24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September 30, 2020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1,174,662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1,178,568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42,714</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42,868</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43,844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43,928</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2,965,188</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45,501</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3,010,689</w:t>
            </w: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2020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3,456,780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10,963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3,467,743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100,842</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101,066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98,097</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98,109</w:t>
            </w: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September 30, 2019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1,595,285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1,599,265</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58,642</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58,323</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51,250</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52,210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3,364,895</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40,359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3,405,254</w:t>
            </w: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 the nine months ended September 30, 2019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4,479,972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12,171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4,492,143</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176,963</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176,982</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155,024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156,178</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$3.0 million as a component of accrued liabilities as of September 30, 2020 and December 31, 2019, the total of which, if recognized, would impact the Company’s effective tax rate. An unfavorable settlement may require a charge to income tax expense and a favorable resolution would be recognized as a reduction to income tax expense. The Company recognizes accrued interest related to unrecognized tax benefits in income tax expense. The Company had approximately $144,000 accrued for the payment of interest as of September 30, 2020 and December 31, 2019. No amounts were accrued for penalties.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September 30, 2020, the tax years ended December 31, 2016 through 2019 remained subject to audit by federal tax authorities, and the tax years ended December 31, 2015 through 2019 remained subject to audit by state tax authorities.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Coronavirus Aid, Relief, and Economic Security Act (the CARES Act)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on March 27, 2020, President Donald Trump signed into law the CARES Act. The Company evaluated the provisions of the CARES Act as of September 30, 2020, with no material effect on the financial statements. Provisions of the CARES Act may result in deferral of payment of certain taxes.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for the three months and nine months ended September 30, 2020 and 2019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1"/>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32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6"/>
                <w:szCs w:val="16"/>
                <w:color w:val="auto"/>
              </w:rPr>
            </w:pPr>
          </w:p>
        </w:tc>
      </w:tr>
      <w:tr>
        <w:trPr>
          <w:trHeight w:val="234"/>
        </w:trPr>
        <w:tc>
          <w:tcPr>
            <w:tcW w:w="4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r>
      <w:tr>
        <w:trPr>
          <w:trHeight w:val="209"/>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sales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711,754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1,070,868</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2,060,370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2,933,952</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revenue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235,282</w:t>
            </w:r>
          </w:p>
        </w:tc>
        <w:tc>
          <w:tcPr>
            <w:tcW w:w="3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258,513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683,684</w:t>
            </w:r>
          </w:p>
        </w:tc>
        <w:tc>
          <w:tcPr>
            <w:tcW w:w="3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760,495</w:t>
            </w: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repair service revenue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164,978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196,272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522,107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580,810</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revenue</w:t>
            </w: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3,107</w:t>
            </w:r>
          </w:p>
        </w:tc>
        <w:tc>
          <w:tcPr>
            <w:tcW w:w="3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7,986</w:t>
            </w:r>
          </w:p>
        </w:tc>
        <w:tc>
          <w:tcPr>
            <w:tcW w:w="3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11,223</w:t>
            </w: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revenue</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7,651</w:t>
            </w:r>
          </w:p>
        </w:tc>
      </w:tr>
      <w:tr>
        <w:trPr>
          <w:trHeight w:val="230"/>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3,008</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10,538</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w:t>
            </w:r>
          </w:p>
        </w:tc>
        <w:tc>
          <w:tcPr>
            <w:tcW w:w="100" w:type="dxa"/>
            <w:vAlign w:val="bottom"/>
          </w:tcPr>
          <w:p>
            <w:pPr>
              <w:spacing w:after="0"/>
              <w:rPr>
                <w:sz w:val="19"/>
                <w:szCs w:val="19"/>
                <w:color w:val="auto"/>
              </w:rPr>
            </w:pPr>
          </w:p>
        </w:tc>
      </w:tr>
      <w:tr>
        <w:trPr>
          <w:trHeight w:val="290"/>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1,120,655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1,536,316</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3,291,759</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4,308,170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are generally transferred to customers at a point in time. The Company does not have any material contract assets or contract liabilities on the balance sheet as of September 30, 2020 or December 31, 2019. Revenues related to commercial vehicle sales, parts sales, commercial vehicle repair service, finance and the majority of other revenues are related to the Truck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commercial vehicles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Sales-type leases are recognized by the Company as lease receivables. The lessee obtains control of the underlying asset and the Company recognizes sales revenue upon lease commencement. The receivable for sales-type leases was $5.6 million as of September 30, 2020 and December 31, 2019, and is reflected in Other Assets on the Consolidated Balance Sheet.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and rental income during the three and nine months ended September 30, 2020, and September 30, 2019, consisted of the following (in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24"/>
                <w:szCs w:val="24"/>
                <w:color w:val="auto"/>
              </w:rPr>
            </w:pPr>
          </w:p>
        </w:tc>
        <w:tc>
          <w:tcPr>
            <w:tcW w:w="2460" w:type="dxa"/>
            <w:vAlign w:val="bottom"/>
            <w:gridSpan w:val="9"/>
          </w:tcPr>
          <w:p>
            <w:pPr>
              <w:jc w:val="right"/>
              <w:ind w:right="6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91"/>
        </w:trPr>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8"/>
              </w:rPr>
              <w:t>September 30,</w:t>
            </w:r>
          </w:p>
        </w:tc>
        <w:tc>
          <w:tcPr>
            <w:tcW w:w="180" w:type="dxa"/>
            <w:vAlign w:val="bottom"/>
          </w:tcPr>
          <w:p>
            <w:pPr>
              <w:spacing w:after="0"/>
              <w:rPr>
                <w:sz w:val="16"/>
                <w:szCs w:val="16"/>
                <w:color w:val="auto"/>
              </w:rPr>
            </w:pPr>
          </w:p>
        </w:tc>
        <w:tc>
          <w:tcPr>
            <w:tcW w:w="1320" w:type="dxa"/>
            <w:vAlign w:val="bottom"/>
            <w:tcBorders>
              <w:top w:val="single" w:sz="8" w:color="auto"/>
            </w:tcBorders>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6"/>
                <w:szCs w:val="16"/>
                <w:color w:val="auto"/>
              </w:rPr>
            </w:pPr>
          </w:p>
        </w:tc>
      </w:tr>
      <w:tr>
        <w:trPr>
          <w:trHeight w:val="234"/>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rental payments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50,085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54,538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153,453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159,866</w:t>
            </w:r>
          </w:p>
        </w:tc>
      </w:tr>
      <w:tr>
        <w:trPr>
          <w:trHeight w:val="216"/>
        </w:trPr>
        <w:tc>
          <w:tcPr>
            <w:tcW w:w="9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Nonlease payments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8,411</w:t>
            </w:r>
          </w:p>
        </w:tc>
        <w:tc>
          <w:tcPr>
            <w:tcW w:w="2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24,107</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62,949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175,984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183,973</w:t>
            </w:r>
          </w:p>
        </w:tc>
      </w:tr>
      <w:tr>
        <w:trPr>
          <w:trHeight w:val="20"/>
        </w:trPr>
        <w:tc>
          <w:tcPr>
            <w:tcW w:w="98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87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 Accumulated Other Comprehensive (Loss) Income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6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loss (in thousands):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equity method investment in RTC Canada was valued using the exchange rate of one US Dollar equals 1.33 Canadian dollars as of September 30, 2020. The adjustment is reflected in Other Assets on the Consolidated Balance Sheet.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Accounts Receivable and Allowance for Credit Losses</w:t>
      </w:r>
    </w:p>
    <w:p>
      <w:pPr>
        <w:spacing w:after="0" w:line="229"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7"/>
          <w:szCs w:val="17"/>
          <w:color w:val="auto"/>
        </w:rPr>
        <w:t>The Company adopted Topic 326 on January 1, 2020. The Company did not recognize an adjustment to the beginning balance of retained earnings because the new accounting standard did not have a material impact on its consolidated financial statements. The Company establishes an allowance for credit losses to present the net amount of accounts receivable expected to be collected. Under Topic 326, the Company is required to remeasure expected credit losses for financial instruments held on the reporting date based on historical experience, current conditions and reasonable forecasts.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leasing and parts and service receivables and other trade receivables. The Company maintains an allowance for credit losses based on the probability of default, its historical rate of losses, aging and current economic conditions. The Company’s assessment of future losses in the first nine months of 2020 considered the impact of the COVID-19 pandemic on forecasted economic trends. The Company writes off account balances when it has exhausted reasonable collection efforts and determined that the likelihood of collection is remote. These write-offs are charged against the allowance for credit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Provision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the Nine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Write offs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Against</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Balance</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Allowance, net</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c>
          <w:tcPr>
            <w:tcW w:w="4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of Recoveries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480" w:type="dxa"/>
            <w:vAlign w:val="bottom"/>
          </w:tcPr>
          <w:p>
            <w:pPr>
              <w:spacing w:after="0"/>
              <w:rPr>
                <w:sz w:val="18"/>
                <w:szCs w:val="18"/>
                <w:color w:val="auto"/>
              </w:rPr>
            </w:pPr>
          </w:p>
        </w:tc>
      </w:tr>
      <w:tr>
        <w:trPr>
          <w:trHeight w:val="425"/>
        </w:trPr>
        <w:tc>
          <w:tcPr>
            <w:tcW w:w="66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Subsequent Event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12, 2020, the Company distributed one additional share of stock for every two shares of the Company’s Class A common stock, par value $0.01 per share, and Class B common stock, par value $0.01 per share, held by shareholders of record as of September 28, 2020, thus completing a three-for-two stock split of the Company’s Class A common stock and Class B common stock. All share and per share data in this quarterly report on Form 10-Q have been adjusted and restated to reflect the stock split as if it occurred on the first day of the earliest period presented.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as well as statements regarding the effects COVID-19 may have on our business and financial results.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in the Company’s Annual Report on Form 10-K for the year ended December 31, 2019, as supplemented by Item 1A. Risk Factors in the Company’s Quarterly Report on Form 10-Q for the quarter ended March 31, 2020,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PACCAR Leasing Corporation. Navistar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Navistar International Corporation. International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IC Bus, LLC. FUSO</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Mitsubishi Fuso Truck and Bus Corporation. Hino</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Isuzu Motors Limited. Ford Motor Credit Company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Ford Motor Company. Ford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Ford Motor Company. SAP</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8"/>
          <w:szCs w:val="18"/>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to enable us to better serve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 and Its Impact on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Rush Truck Centers are classified as “essential businesses” and our dealership network has remained operational since the beginning of the COVID-19 pandemic, although some hours of operation have been modified. Despite our dealerships remaining open, the COVID-19 pandemic had a significant negative impact on our revenues in the third quarter of 2020, and we expect that the negative impact of the COVID-19 pandemic on our revenues, and business in general, will be substantial for the foreseeable future. However, based on current market conditions and the steps we have taken to reduce expenses, we continue to believe the worst of the pandemic’s effect on our business may be behind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monitoring and complying with CDC guidelines for limiting the spread of COVID-19 and complying with all applicable federal, state and local executive orders. We also provide employees who are unable to work as a direct result of COVID-19 with up to two weeks of additional sick leave despite the fact that we are generally not legally obligated to do so. In accordance with CDC guidelines, we have mandated that all employees stay at least 6 feet away from each other and our customers. In addition, we are requiring all our employees to wear face coverings, regardless of whether state or local laws require face coverings, and we are cleaning and disinfecting our facilities on a regular basis. We are also providing curbside parts pick-up, online parts</w:t>
      </w:r>
    </w:p>
    <w:p>
      <w:pPr>
        <w:sectPr>
          <w:pgSz w:w="11900" w:h="16838" w:orient="portrait"/>
          <w:cols w:equalWidth="0" w:num="1">
            <w:col w:w="11240"/>
          </w:cols>
          <w:pgMar w:left="320" w:top="121" w:right="339" w:bottom="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ordering and web-based vehicle service communication to reduce in-person interactions. Our service teams are minimizing contact with customers and taking extra precautions to keep high-touch areas on customer vehicles clean and disinfected.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Commercial Vehicle Sales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commercial vehicle manufacturers that we represent have resumed operations and their plants are currently producing vehicles.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Aftermarket Products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our parts, service and collision center operations (collectively, “Aftermarket Products and Services”), with only a few minor exceptions, our parts supply chain has remained uninterrupted to-date. We believe that the investments we have made over the years in our aftermarket strategic initiatives have enabled us to mitigate the impact of the COVID-19 pandemic on our Aftermarket Products and Service business.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Rental and Leasing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our rental and leasing operations during the third quarter, we allowed certain credit-worthy customers that serve industries that have been dramatically impacted by the COVID-19 pandemic to skip up to three months of lease payments and either extended the lease term by three months or increased the remaining payments to keep the same lease term. These customers have resumed payments.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2020, our total net liquidity was approximately $365.2 million, including $259.5 million in cash and $105.7 million available under our various credit agreements, excluding our floor plan credit agreements. Our working capital facility (“the Working Capital Facility”) with BMO Harris Bank N.A. (“BMO Harris”) includes up to $100.0 million of revolving credit loans that are available to us for working capital, capital expenditures and other general corporate purposes. We currently have no outstanding draws on this line of credit. We continue to believe that we are well positioned to navigate the economic and industry challenges that may lie ahead as a result of the COVID-19 pandemic. For further discussion of our liquidity, see the Liquidity and Capital Resources discussion set forth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A.C.T. Research Co., LLC (“A.C.T. Research”), a commercial vehicle industry data and forecasting service provider, currently forecasts new U.S. Class 8 retail truck sales to be 186,300 units in 2020, which would represent a 33.8% decrease compared to 2019. As anticipated, our Class 8 new truck sales in the third quarter were down significantly from the same time period in 2019, due to the previously anticipated industry downturn in new Class 8 truck sales and the COVID-19 pandemic, but encouragingly, were up significantly over the second quarter. We expect our new Class 8 truck sales in the fourth quarter to be similar to our results in the third quarter. However, while we continue to see increased quoting activity, there are still many uncertainties regarding the COVID-19 pandemic, including its impact on the economy, and the presidential election, which could have a significant negative impact on truck sales.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new U.S. Class 4-7 retail commercial vehicle sales, A.C.T. Research currently forecasts sales to be 216,100 units in 2020, which would represent a 19.1% decrease compared to 2019. Similar to our Class 8 new truck sales, our third quarter Class 4 through 7 new commercial vehicle sales were significantly impacted by the COVID-19 pandemic and the overall industry downturn, but were up significantly over the second quarter. We believe that our fourth quarter medium-duty commercial vehicle sales will be similar to our results in the third quarter, subject to the uncertainties detailed above with respect to our outlook on new Class 8 truck sales.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our Aftermarket Products and Services business and similarly to our new commercial vehicle sales, our third quarter revenues declined significantly as a result of the COVID-19 pandemic compared to 2019, but were up significantly over the second quarter of 2020. Although we expect seasonal softness through the winter, which is normal for our business, we are cautiously optimistic that increased freight demand may offset the normal seasonal softness. Regardless, we believe that the recovery for our Aftermarket Products and Services business will be gradual, and that the COVID-19 pandemic will continue to impact our Aftermarket Products and Services revenues for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w:t>
      </w:r>
    </w:p>
    <w:p>
      <w:pPr>
        <w:sectPr>
          <w:pgSz w:w="11900" w:h="16838" w:orient="portrait"/>
          <w:cols w:equalWidth="0" w:num="1">
            <w:col w:w="11240"/>
          </w:cols>
          <w:pgMar w:left="320" w:top="121" w:right="339" w:bottom="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Goodwill was tested for impairment during the fourth quarter of 2019 and no impairment was required. The fair value of our reporting unit exceeded the carrying value of its net assets. As a result, we were not required to conduct the second step of the impairment test.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COVID-19 pandemic, in the first quarter of 2020 we reviewed the estimates in our fourth quarter 2019 goodwill model and updated the projections for 2020 through 2024. Based on the revised projections, it was determined that no impairment of the Truck Segment goodwill was required. The duration and severity of the COVID-19 pandemic could result in future impairment charges for the Truck Segment. A prolonged pandemic could impact the results of operations due to changes to assumptions utilized in the determination of the estimated fair values of the Truck Segment reporting unit. Sales and earnings growth rates could be negatively impacted by reductions or changes in demand for our products.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Effective January 1, 2018, we adopted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ectPr>
          <w:pgSz w:w="11900" w:h="16838" w:orient="portrait"/>
          <w:cols w:equalWidth="0" w:num="1">
            <w:col w:w="11240"/>
          </w:cols>
          <w:pgMar w:left="320" w:top="121" w:right="339"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6" w:name="page17"/>
    <w:bookmarkEnd w:id="16"/>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lease commercial vehicles and real estate under finance and operating leases. We determine whether an arrangement is a lease at its inception. For leases with terms greater than twelve months, we record a lease asset and liability at the present value of lease payments over the term. Many of our leases include renewal options and termination options that are factored into our determination of lease payments when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commercial vehicles that we own to customers. Lease and rental revenue is recognized over the period of the related lease or rental agreement. Variable rental revenue is recognized when it is earned.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 at their cost basis adjusted for any write-offs and net of allowances for credit losses. We maintain allowances for credit losses, which represent an estimate of expected losses over the remaining contractual life of our receivables after considering current market conditions and estimates for supportable forecasts when appropriate. The estimate is a result of our ongoing assessments and evaluations of collectability, historical loss experience, and future expectations in estimating credit losses in each of our receivable portfolios (commercial vehicle receivables, manufacturers’ receivables, parts and service receivables, leasing receivables and other trade receivables). For trade receivables, we use the probability of default and our historical loss experience rates by portfolio and apply them to a related aging analysis while also considering customer and/or economic risk where appropriate. Determination of the proper amount of allowances by portfolio requires management to exercise judgment about the timing, frequency and severity of credit losses that could materially affect the provision for credit losses and, as a result, net earnings. The allowances take into consideration numerous quantitative and qualitative factors that include receivable type, historical loss experience, collection experience, current economic conditions, estimates for supportable forecasts (when appropriate) and credit risk characteristics.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15, 2020, our Board of Directors declared a 3-for-2 stock split of our Class A common stock and Class B common stock, to be effected in the form of a stock dividend. On October 12, 2020, we distributed one additional share of stock for every two shares of Class A common stock, par value $0.01 per share, and Class B common stock, par value $0.01 per share, held by shareholders of record as of September 28, 2020. All share and per share data in this Form 10-Q have been adjusted and restated to reflect the stock split as if it occurred on the first day of the earliest period presented.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the three months and nine months ended September 30, 2020 and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2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20" w:type="dxa"/>
            <w:vAlign w:val="bottom"/>
          </w:tcPr>
          <w:p>
            <w:pPr>
              <w:spacing w:after="0"/>
              <w:rPr>
                <w:sz w:val="20"/>
                <w:szCs w:val="20"/>
                <w:color w:val="auto"/>
              </w:rPr>
            </w:pPr>
          </w:p>
        </w:tc>
        <w:tc>
          <w:tcPr>
            <w:tcW w:w="22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4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 sales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3"/>
              </w:rPr>
              <w:t>100.0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83.4</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w:t>
            </w:r>
          </w:p>
        </w:tc>
      </w:tr>
      <w:tr>
        <w:trPr>
          <w:trHeight w:val="20"/>
        </w:trPr>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26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420" w:type="dxa"/>
            <w:vAlign w:val="bottom"/>
          </w:tcPr>
          <w:p>
            <w:pPr>
              <w:spacing w:after="0"/>
              <w:rPr>
                <w:sz w:val="20"/>
                <w:szCs w:val="20"/>
                <w:color w:val="auto"/>
              </w:rPr>
            </w:pPr>
          </w:p>
        </w:tc>
        <w:tc>
          <w:tcPr>
            <w:tcW w:w="22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44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8"/>
                <w:szCs w:val="18"/>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25.2%</w:t>
            </w:r>
          </w:p>
        </w:tc>
        <w:tc>
          <w:tcPr>
            <w:tcW w:w="8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27.5%</w:t>
            </w:r>
          </w:p>
        </w:tc>
        <w:tc>
          <w:tcPr>
            <w:tcW w:w="14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23.8%</w:t>
            </w: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8"/>
              </w:rPr>
              <w:t>27.4%</w:t>
            </w:r>
          </w:p>
        </w:tc>
      </w:tr>
      <w:tr>
        <w:trPr>
          <w:trHeight w:val="198"/>
        </w:trPr>
        <w:tc>
          <w:tcPr>
            <w:tcW w:w="5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Aftermarket products and services sales</w:t>
            </w:r>
          </w:p>
        </w:tc>
        <w:tc>
          <w:tcPr>
            <w:tcW w:w="6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66.8</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64.4</w:t>
            </w:r>
          </w:p>
        </w:tc>
        <w:tc>
          <w:tcPr>
            <w:tcW w:w="1440" w:type="dxa"/>
            <w:vAlign w:val="bottom"/>
            <w:gridSpan w:val="2"/>
            <w:shd w:val="clear" w:color="auto" w:fill="CCEEFF"/>
          </w:tcPr>
          <w:p>
            <w:pPr>
              <w:ind w:left="880"/>
              <w:spacing w:after="0" w:line="198" w:lineRule="exact"/>
              <w:rPr>
                <w:sz w:val="20"/>
                <w:szCs w:val="20"/>
                <w:color w:val="auto"/>
              </w:rPr>
            </w:pPr>
            <w:r>
              <w:rPr>
                <w:rFonts w:ascii="Times New Roman" w:cs="Times New Roman" w:eastAsia="Times New Roman" w:hAnsi="Times New Roman"/>
                <w:sz w:val="18"/>
                <w:szCs w:val="18"/>
                <w:color w:val="auto"/>
              </w:rPr>
              <w:t>68.6</w:t>
            </w:r>
          </w:p>
        </w:tc>
        <w:tc>
          <w:tcPr>
            <w:tcW w:w="1360" w:type="dxa"/>
            <w:vAlign w:val="bottom"/>
            <w:gridSpan w:val="2"/>
            <w:shd w:val="clear" w:color="auto" w:fill="CCEEFF"/>
          </w:tcPr>
          <w:p>
            <w:pPr>
              <w:ind w:left="880"/>
              <w:spacing w:after="0" w:line="198" w:lineRule="exact"/>
              <w:rPr>
                <w:sz w:val="20"/>
                <w:szCs w:val="20"/>
                <w:color w:val="auto"/>
              </w:rPr>
            </w:pPr>
            <w:r>
              <w:rPr>
                <w:rFonts w:ascii="Times New Roman" w:cs="Times New Roman" w:eastAsia="Times New Roman" w:hAnsi="Times New Roman"/>
                <w:sz w:val="18"/>
                <w:szCs w:val="18"/>
                <w:color w:val="auto"/>
              </w:rPr>
              <w:t>64.6</w:t>
            </w:r>
          </w:p>
        </w:tc>
      </w:tr>
    </w:tbl>
    <w:p>
      <w:pPr>
        <w:sectPr>
          <w:pgSz w:w="11900" w:h="16900" w:orient="portrait"/>
          <w:cols w:equalWidth="0" w:num="1">
            <w:col w:w="11240"/>
          </w:cols>
          <w:pgMar w:left="320" w:top="121" w:right="339" w:bottom="0" w:gutter="0" w:footer="0" w:header="0"/>
        </w:sectPr>
      </w:pPr>
    </w:p>
    <w:bookmarkStart w:id="17" w:name="page18"/>
    <w:bookmarkEnd w:id="17"/>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425"/>
        </w:trPr>
        <w:tc>
          <w:tcPr>
            <w:tcW w:w="44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our absorption ratio (revenue in millions):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8"/>
                <w:szCs w:val="18"/>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8"/>
                <w:szCs w:val="18"/>
                <w:color w:val="auto"/>
              </w:rPr>
            </w:pPr>
          </w:p>
        </w:tc>
      </w:tr>
      <w:tr>
        <w:trPr>
          <w:trHeight w:val="210"/>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2,584</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7,528</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11,857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11,048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22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r>
      <w:tr>
        <w:trPr>
          <w:trHeight w:val="191"/>
        </w:trPr>
        <w:tc>
          <w:tcPr>
            <w:tcW w:w="222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Total new vehicle unit</w:t>
            </w: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5,808</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16,870</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24,688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Used vehicles</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2,055</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5,381</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5,809</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Vehicle revenues: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605.7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1,129.3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1,732.9</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247.5</w:t>
            </w: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683.2</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844.7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2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630.4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1,847.3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2,650.1</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253.3</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Other vehicle revenues: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Absorption ratio:</w:t>
            </w: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121.3%</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Absorption ratio is calculated by dividing the gross profit from the parts, service and collision center (collectively,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119.4% absorption ratio for the third quarter of 2020 compared to a 120.0% absorption ratio for the third quarter of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to Three Months Ended September 30,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revenues decreased $420.7 million, or 26.3%, in the third quarter of 2020, compared to the third quarter of 2019. This decline was primarily due to the effects of the COVID-19 pandemic, in addition to fewer new commercial vehicle sales resulting from the anticipated downturn in demand for new commercial vehicles.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Products and Services revenues totaled $400.3 million in the third quarter of 2020, down 12% from the third quarter of 2019. This decline was primarily due to the effects of the COVID-19 pandemic. We expect our Aftermarket Products and Services revenues to decrease approximately 9% to 11% in 2020, compared to 2019.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sales of new and used commercial vehicles decreased $359.1 million, or 33.5%, in the third quarter of 2020, compared to the third quarter of 2019. This decline was a result of both the COVID-19 pandemic and the anticipated downturn in new commercial vehicle sales resulting from record to near-record sales of commercial vehicles in 2018 and 2019.</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sold 2,584 heavy-duty trucks in the third quarter of 2020, a 40.2% decrease compared to 4,318 heavy-duty trucks sold in the third quarter of 2019. According to A.C.T. Research, new U. S. Class 8 truck retail sales are estimated to total 186,300 truck units in 2020, a 33.8% decrease compared to 281,440 units sold in 2019. We expect our share of the U.S. new Class 8 truck sales market to be approximately 5.3% to 5.5% in 2020. This market share percentage would result in the sale of approximately 10,000 to 10,500 of new Class 8 trucks in 2020, based on A.C.T. Research’s current U.S. retail sales estimate of 186,300 units.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240"/>
          </w:cols>
          <w:pgMar w:left="320" w:top="121" w:right="339" w:bottom="42" w:gutter="0" w:footer="0" w:header="0"/>
        </w:sectPr>
      </w:pPr>
    </w:p>
    <w:bookmarkStart w:id="18" w:name="page19"/>
    <w:bookmarkEnd w:id="1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sold 2,941 medium-duty commercial vehicles, including 429 buses, in the third quarter of 2020, a 35.6% decrease compared to 4,566 medium-duty commercial vehicles, including 525 buses, in the third quarter of 2019. According to A.C.T. Research, new U. S. Class 4 through 7 commercial vehicle retail sales are estimated to total 216,100 units in 2020, a 19.1% decrease compared to 266,977 units sold in 2019. We expect our share of the U.S. new Class 4 through 7 commercial vehicle sales market to be approximately 4.8% to 5.0% in 2020. This market share percentage would result in the sale of approximately 10,300 to 10,800 of new Class 4 through 7 commercial vehicles in 2020, based on A.C.T. Research’s current U.S. retail sales estimate of 216,100 units.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283 light-duty vehicles in the third quarter of 2020, a 46.1% decrease compared to 525 light-duty vehicles sold in the third quarter of 2019. We expect to sell approximately 1,100 light-duty vehicles in 2020.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2,055 used commercial vehicles in the third quarter of 2020, a 10.0% increase compared to 1,868 used commercial vehicles in the third quarter of 2019. We expect to sell approximately 7,100 used commercial vehicles in 2020.</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Commercial vehicle lease and rental revenues decreased $5.0 million, or 8.0%, in the third quarter of 2020, compared to the third quarter of 2019. This decrease is primarily related to the decrease in size and utilization of the rental fleet. We expect lease and rental revenues to decrease 4% to 5% during 2020, compared to 2019.</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Finance and insurance revenues decreased $0.2 million, or 3.9%, in the third quarter of 2020, compared to the third quarter of 2019. We expect finance and insurance revenues to fluctuate proportionately with our new and used commercial vehicle sales in 2020. Finance and insurance revenues have limited direct costs and, therefore, contribute a disproportionate share of our operating profits.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decreased $52.3 million, or 19.8%, in the third quarter of 2020, compared to the third quarter of 2019. Gross profit as a percentage of sales increased to 18.0% in the third quarter of 2020, from 16.6% in the third quarter of 2019. This increase in gross profit as a percentage of sales is a result of a change in our product sales mix. Commercial vehicle sales, a lower margin revenue item, decreased as a percentage of total revenues to 60.4% in the third quarter of 2020, from 67.0% in the third quarter of 2019. Aftermarket Products and Services revenues, a higher margin revenue item, increased as a percentage of total revenues to 34.0% in the third quarter of 2020, from 28.4% in the third quarter of 2019.</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decreased to 35.4% in the third quarter of 2020, from 37.5% in the third quarter of 2019. This decrease is primarily related to the decrease in parts rebates from parts suppliers and the increase in inventory obsolescence reserves in the third quarter of 2020. Gross profit for the Aftermarket Products and Services departments decreased to $141.9 million in the third quarter of 2020, from $170.5 million in the third quarter of 2019. This decrease in gross profit is consistent with the decrease in Aftermarket Products and Services revenues, primarily due to the effects of the COVID-19 pandemic. Historically, gross margins on parts sales range from 27% to 28% and gross margins on service and collision center operations range from 67% to 68%. Gross profits from parts sales represented 58.8% of total gross profit for Aftermarket Products and Services operations in the third quarter of 2020 and 60.2% in the third quarter of 2019. Service and collision center operations represented 41.2% of total gross profit for Aftermarket Products and Services operations in the third quarter of 2020 and 39.8% in the third quarter of 2019.</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8 truck sales increased to 7.8% in the third quarter of 2020, from 7.1% in the third quarter of 2019. This increase is primarily related to increased demand for new commercial vehicles and the mix of purchasers in the third quarter of 2020.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increased to 5.9% in the third quarter of 2020, from 5.4% in the third quarter of 2019. This increase is primarily due to the mix of purchasers during the third quarter of 2020.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12.0% in the third quarter of 2020, from 9.8% in the third quarter of 2019. This increase is due to the unanticipated increased demand for used commercial vehicles.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truck lease and rental sales decreased to 14.4% in the third quarter of 2020, from 17.0% in the third quarter of 2019. This decrease is primarily related to decreased rental fleet utilization.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$37.0 million, or 19.2%, in the third quarter of 2020, compared to the third quarter of 2019. This decrease is primarily related to expense reductions that began in the fourth quarter of 2019 and were fully implemented in the first half of 2020 and decreased selling expense, compared to the third quarter of 2019. SG&amp;A expenses as a percentage of total revenues increased to 13.2% in the third quarter of 2020, from 12.0% in the third quarter of 2019. Annual SG&amp;A expenses as a percentage of total revenues have recently ranged from 12.4% to 13.9% over the last five years. In general, when new and used commercial vehicle revenues decrease as a percentage of total revenues, SG&amp;A expenses as a percentage of total revenues will be at the higher end of this range. For 2020, we expect SG&amp;A expenses as a percentage of total revenues to range from 13.8% to 14.5%, due to the decrease in revenues from new and used commercial vehicle sales and Aftermarket Products and Services sales, and the selling portion of SG&amp;A expenses to be approximately 25.0% to 30.0% of new and used commercial vehicle gross profit.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Depreciation and amortization expense increased $0.4 million, or 2.8%, in the third quarter of 2020, compared to the third quarter of 2019.</w:t>
      </w:r>
    </w:p>
    <w:p>
      <w:pPr>
        <w:sectPr>
          <w:pgSz w:w="11900" w:h="16838" w:orient="portrait"/>
          <w:cols w:equalWidth="0" w:num="1">
            <w:col w:w="11240"/>
          </w:cols>
          <w:pgMar w:left="320" w:top="121" w:right="339" w:bottom="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ectPr>
          <w:pgSz w:w="11900" w:h="16838" w:orient="portrait"/>
          <w:cols w:equalWidth="0" w:num="1">
            <w:col w:w="11240"/>
          </w:cols>
          <w:pgMar w:left="320" w:top="121" w:right="339" w:bottom="0" w:gutter="0" w:footer="0" w:header="0"/>
          <w:type w:val="continuous"/>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expense decreased $6.6 million, or 86.3%, in the third quarter of 2020, compared to the third quarter of 2019. This decrease in interest expense is a result of the decrease in inventory levels and lower floor plan interest rates in the third quarter of 2020, compared to the third quarter of 2019. We expect net interest expense in 2020 to decrease, but the amount of the decrease will depend on inventory levels, interest rate fluctuations and the amount of cash available to make prepayments on our floor plan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decreased $8.3 million, or 15.9%, in the third quarter of 2020, compared to the third quarter of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taxes decreased $3.1 million, or 23.8%, in the third quarter of 2020, compared to the third quarter of 2019. We provided for taxes at a 22.7% effective rate in the third quarter of 2020 and 25.1% in the third quarter of 2019. We expect our effective tax rate to be approximately 26% to 28% of pretax income in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to Nine Months Ended September 30, 2019</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below, our variance explanations and future expectations with regard to the items discussed in this section are set forth in the discussion of the Three Months Ended September 30, 2020 Compared to Three Months Ended September 30,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revenues decreased $1,024.4 million, or 22.8%, in the first nine months of 2020, compared to the first nine months of 2019.</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Aftermarket Products and Services revenues decreased $135.5 million, or 10.1%, in the first nine months of 2020, compared to the first nine months of 2019.</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Revenues from the sales of new and used commercial vehicles decreased $873.6 million, or 29.8%, in the first nine months of 2020, compared to the first nine months of 2019.</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7,528 new Class 8 heavy-duty trucks during the first nine months of 2020, a 36.5% decrease compared to 11,995 new Class 8 heavy-duty trucks in the first nine months of 2019. According to A.C.T. Research, new U.S. Class 8 truck sales decreased 36.6% in the first nine months of 2020, compared to the first nine months of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8,538 new Class 4 through 7 medium-duty commercial vehicles, including 853 buses, during the first nine months of 2020, a 22.7% decrease compared to 11,046 new Class 4 through 7 medium-duty commercial vehicles, including 983 buses, in the first nine months of 2019. A.C.T. Research estimates that unit sales of new Class 4 through 7 commercial vehicles, including buses, in the U.S decreased approximately 17.6% in the first nine months of 2020, compared to the first nine months of 2019.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804 light-duty commercial vehicles during the first nine months of 2020, a 54.9% decrease compared to 1,783 light-duty commercial vehicles in the first nine months of 2019.</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sold 5,381 used commercial vehicles during the first nine months of 2020, a 7.4% decrease compared to 5,809 used commercial vehicles in the first nine months of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Truck lease and rental revenues decreased $8.0 million, or 4.3%, in the first nine months of 2020, compared to the first nine months of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Finance and insurance revenues decreased $3.8 million, or 20.2%, in the first nine months of 2020, compared to the first nine months of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decreased $151.9 million, or 19.2%, in the first nine months of 2020, compared to the first nine months of 2019. Gross profit as a percentage of sales increased to 18.4% in the first nine months of 2020, from 17.6% in the first nine months of 2019.</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decreased to 36.4% in the first nine months of 2020, from 38.1% in the first nine months of 2019. Gross profit for the Aftermarket Products and Services departments was $438.8 million in the first nine months of 2020, compared to $511.2 million in the first nine months of 2019. Gross profits from parts sales represented 59.3% of total gross profit for Aftermarket Products and Services operations in the first nine months of 2020 and 60.2% in the first nine months of 2019. Service and collision center operations represented 40.7% of total gross profit for Aftermarket Products and Services operations in the first nine months of 2020 and 39.8% in the first nine months of 2019.</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new Class 8 truck sales were 8.1% in the first nine months of 2020 and 8.0% in the first nine months of 2019.</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4 through 7 medium-duty commercial vehicle sales increased to 6.0% in the first nine months of 2020, from 5.3% in the first nine months of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on used commercial vehicle sales decreased to 8.0% in the first nine months of 2020, from 9.5% in the first nine months of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from truck lease and rental sales decreased to 12.9% in the first nine months of 2020, from 16.7% in the first nine months of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ectPr>
          <w:pgSz w:w="11900" w:h="16838" w:orient="portrait"/>
          <w:cols w:equalWidth="0" w:num="1">
            <w:col w:w="11240"/>
          </w:cols>
          <w:pgMar w:left="320" w:top="337" w:right="339" w:bottom="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SG&amp;A expenses decreased $76.9 million, or 13.4%, in the first nine months of 2020, compared to the first nine months of 2019. SG&amp;A expenses equaled 14.3% of total revenue in the first nine months of 2020, and 12.8% in the first nine months of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and amortization expense increased $2.7 million, or 6.7%, in the first nine months of 2020, compared to the first nine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Net interest expense decreased $15.1 million, or 65.3%, in the first nine months of 2020, compared to the first nine months of 2019.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decreased $58.1 million, or 37.2%, in the first nine months of 2020, compared to the first nine months of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Income taxes decreased $14.1 million, or 36.8%, in the first nine months of 2020, compared to the first nine months of 2019. We provided for taxes at a 24.7% rate in the first nine months of 2020 and a 24.6% rate in the first nine months of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2020, we had working capital of approximately $277.2 million, including $259.5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our floor plan credit agreement with BMO Harris Bank N.A. (“BMO Harris”) (the “Floor Plan Credit Agreement”), and the resulting interest earned is recognized as an offset to our gross interest expense under the Floor Plan Credit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$17.5 million. There were no advances outstanding under this secured line of credit at September 30, 2020, however, $11.8 million was pledged to secure various letters of credit related to self-insurance products, leaving $5.7 million available for future borrowings as of September 30, 2020.</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Working Capital Facility with BMO Harris includes up to $100.0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June 30, 2022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September 30, 2020.</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GAAP net worth. As of September 30, 2020,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third quarter of 2020, we paid a cash dividend of $5.1 million. Additionally, on October 20, 2020, our Board of Directors declared a cash dividend of $0.14 per share of Class A and Class B Common Stock, to be paid on December 10, 2020, to all shareholders of record as of November 9, 2020. The total dividend disbursement is estimated at approximately $7.6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26, 2019, our Board of Directors approved a stock repurchase program authorizing management to repurchase, from time to time, up to an aggregate of $100.0 million of our shares of Class A Common Stock and/or Class B Common Stock. As of September 30, 2020, we had repurchased $23.2 million of our shares of common stock under the stock repurchase program. The stock repurchase program was suspended during the latter part of the first quarter of 2020 and through the second quarter as a result of the COVID-19 pandemic; the suspension was lifted during the third quarter of 2020.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240"/>
          </w:cols>
          <w:pgMar w:left="320" w:top="337" w:right="339" w:bottom="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September 30, 2020.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by $77.9 million during the nine months ended September 30, 2020 and decreased by $45.6 million during the nine months ended September 30, 2019. The major components of these changes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nine months of 2020, operating activities resulted in net cash provided by operations of $590.5 million. Net cash provided by operating activities primarily consisted of $73.9 million in net income, as well as non-cash adjustments related to depreciation and amortization of $134.0 million, stock-based compensation of $15.5 million and the benefit for deferred income tax expense of $11.6 million. Cash provided by operating activities included an aggregate of $384.3 million net change in operating assets and liabilities. Included in the net change in operating assets and liabilities were cash inflows of $439.2 million from the decrease in inventories, $28.0 million from the decrease in accounts receivable and $7.4 million from the decrease in other assets and $3.0 million from the increase in accrued liabilities, which was offset by cash outflows of $24.9 million from decreases in accounts payables, $62.3 million from the net decrease in floor plan, trade and $6.1 million from the decrease in customer deposits. The majority of our commercial vehicle inventory is financed through our floor plan credit agreements.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first nine months of 2019, operating activities resulted in net cash provided by operations of $221.6 million. Net cash used in operating activities primarily consisted of $117.8 million in net income, as well as non-cash adjustments related to depreciation and amortization of $129.6 million, stock-based compensation of $15.8 million and the provision for deferred income tax expense of $21.6 million. Cash provided by operating activities included an aggregate of $63.0 million net change in operating assets and liabilities. Included in the net change in operating assets and liabilities were cash inflows of $9.8 million from increases in accounts payable and $5.7 million from the decrease in inventory, which was offset by cash outflows of $29.2 million from the increase in accounts receivable, $13.9 million from the increase in other assets, $14.1 million from the net decrease in floor plan, trade, $18.7 million from the decrease in accrued liabilities and $2.6 million from an increase in customer deposits. The majority of our commercial vehicle inventory is financed through our floor plan credit agreements.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the greater of Prime or 4% plus 150 basis points minus certain incentives and rebates. As of September 30, 2020, the interest rate on the wholesale financing agreement was 5.5% before considering the applicable incentives that we are qualified to receive. As of September 30, 2020, we had an outstanding balance of approximately $52.6 million under the Ford Motor Credit Company wholesale financing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2020, cash used in investing activities was $98.9 million. Cash flows used in investing activities consists primarily of cash used for capital expenditures. Capital expenditures were $107.8 million during the first nine months of 2020 and consisted primarily of purchases of property and equipment and improvements to our existing dealership facilities. Property and equipment purchases during the first nine months of 2020 included $75.6 million for additional units for the rental and leasing operations, which were directly offset by borrowings of long-term debt. We expect to purchase or lease commercial vehicles worth approximately $90.0 million to $110.0 million for our leasing operations in 2020, depending on customer demand, all of which will be financed. We expect to make capital expenditures for recurring items such as computers, shop tools and equipment and vehicles of approximately $30.0 million to $35.0 million during 2020.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nine months of 2019, cash used in investing activities was $258.8 million. Cash flows used in investing activities consists primarily of cash used for capital expenditures. Capital expenditures were $230.6 million during the first nine months of 2019 and consisted primarily of purchases of property and equipment and improvements to our existing dealership facilities. Property and equipment purchases during the first nine months of 2019 included $163.9 million for additional units for the rental and leasing operations, which were directly offset by borrowings of long-term debt. Business acquisitions of $10.2 million consisted of the purchase of a Ford dealership in Ceres, California, and a used truck dealership in Jacksonville, Florida, including the real estate associated with each dealership. In addition, we purchased an equity method investment for $22.5 million for 50% of the equity interest in RTC Canada.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nine months of 2020, financing activities resulted in net cash used in financing of $413.6 million, primarily related to $320.3 million from net payments on floor plan notes payable, non-trade, $212.2 million used for principal repayments of long-term debt and capital lease obligations, $22.4 million used for repurchases of common stock and $14.7 million used for payment of cash dividends. These cash outflows were offset by cash inflows of $16.1 million from the issuance of shares related to equity compensation plans and borrowings of $139.9 million of long-term debt. The borrowings of long-term debt were primarily related to purchasing units for the rental and leasing operations.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nine months of 2019, financing activities resulted in net cash used in financing of $8.5 million, primarily related to $42.4 million from net draws on floor plan notes payable, non-trade, borrowings of $162.0 million of long-term debt, $135.0 million from draws on a line of credit and $4.5 million from the issuance of shares related to equity compensation plans. These cash inflows were partially offset by $149.4 million used for principal repayments of long-term debt and capital lease obligations, $53.8 million used for repurchases of common stock, $135.0 million for payments on a line of credit and $13.6 million used for payment of cash dividends. The borrowings of long-term debt were primarily related to purchasing units for the rental and leasing operations.</w:t>
      </w:r>
    </w:p>
    <w:p>
      <w:pPr>
        <w:sectPr>
          <w:pgSz w:w="11900" w:h="16838" w:orient="portrait"/>
          <w:cols w:equalWidth="0" w:num="1">
            <w:col w:w="11240"/>
          </w:cols>
          <w:pgMar w:left="320" w:top="121" w:right="339" w:bottom="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$1.0 billion. Borrowings under the Floor Plan Credit Agreement bear interest at an annual rate equal to (A) the greater of (i) zero and (ii) 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September 30, 2022, although BMO Harris has the right to terminate at any time upon 360 days written notice and we may terminate at any time, subject to specified limited exceptions. On September 30, 2020, we had approximately $492.1 million outstanding under the Floor Plan Credit Agreement. The average daily outstanding borrowings under the Floor Plan Credit Agreement were $629.3 million during the nine months ended September 30, 2020.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30, 2020, our backlog of commercial vehicle orders was approximately $1,067.3 million, compared to a backlog of commercial vehicle orders of approximately $1,259.7 million on September 30, 2019.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September 30, 2020 and we expect to fill our backlog orders during the remainder of 2020 and the first half of 2021.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parts and service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97,000 in 2009,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w:t>
      </w:r>
    </w:p>
    <w:p>
      <w:pPr>
        <w:sectPr>
          <w:pgSz w:w="11900" w:h="16838" w:orient="portrait"/>
          <w:cols w:equalWidth="0" w:num="1">
            <w:col w:w="11240"/>
          </w:cols>
          <w:pgMar w:left="320" w:top="337" w:right="339" w:bottom="0" w:gutter="0" w:footer="0" w:header="0"/>
        </w:sectPr>
      </w:pPr>
    </w:p>
    <w:bookmarkStart w:id="23" w:name="page24"/>
    <w:bookmarkEnd w:id="23"/>
    <w:p>
      <w:pPr>
        <w:spacing w:after="0" w:line="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uncommon for neighboring landowners and other third parties to file claims for personal injury and property damage allegedly caused by the release of hazardous substances or other materials into the environment.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our floor plan financing agreements, the Working Capital Facility, variable rate real estate debt and discount rates related to finance sales. The majority of floor plan debt and variable rate real estate debt is based on LIBOR. As of September 30, 2020, we had floor plan borrowings of approximately $613.7 million and variable interest rate real estate debt of approximately $52.6 million. Assuming an increase or decrease in LIBOR of 100 basis points, annual interest expense could correspondingly increase or decrease by approximately $6.7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2020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September 30, 2020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2019 Annual Report on Form 10-K (the “2019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supplemented the risk factors described under “Item 1A. Risk Factors” in our 2019 Annual Report on Form 10-K with an additional risk factor under “Item 1A. Risk Factors” in our Form 10-Q for the period ended March 31, 2020.</w:t>
      </w:r>
    </w:p>
    <w:p>
      <w:pPr>
        <w:sectPr>
          <w:pgSz w:w="11900" w:h="16846" w:orient="portrait"/>
          <w:cols w:equalWidth="0" w:num="1">
            <w:col w:w="11240"/>
          </w:cols>
          <w:pgMar w:left="320" w:top="121" w:right="339" w:bottom="0" w:gutter="0" w:footer="0" w:header="0"/>
        </w:sectPr>
      </w:pPr>
    </w:p>
    <w:bookmarkStart w:id="24" w:name="page25"/>
    <w:bookmarkEnd w:id="24"/>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third quarter of 2020.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third quarter of 2020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Yet be Purchased</w:t>
            </w: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220" w:type="dxa"/>
            <w:vAlign w:val="bottom"/>
          </w:tcPr>
          <w:p>
            <w:pPr>
              <w:spacing w:after="0"/>
              <w:rPr>
                <w:sz w:val="20"/>
                <w:szCs w:val="20"/>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 (3)</w:t>
            </w:r>
          </w:p>
        </w:tc>
        <w:tc>
          <w:tcPr>
            <w:tcW w:w="120" w:type="dxa"/>
            <w:vAlign w:val="bottom"/>
          </w:tcPr>
          <w:p>
            <w:pPr>
              <w:spacing w:after="0"/>
              <w:rPr>
                <w:sz w:val="20"/>
                <w:szCs w:val="20"/>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 2020</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40.57</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79,527,416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August 1 – August 31,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21,566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43.25</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21,566</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78,593,941</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 2020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40,333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76,841,116</w:t>
            </w:r>
          </w:p>
        </w:tc>
      </w:tr>
      <w:tr>
        <w:trPr>
          <w:trHeight w:val="20"/>
        </w:trPr>
        <w:tc>
          <w:tcPr>
            <w:tcW w:w="4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2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63,442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-8890</wp:posOffset>
            </wp:positionV>
            <wp:extent cx="8572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-8890</wp:posOffset>
            </wp:positionV>
            <wp:extent cx="8655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0"/>
          <w:szCs w:val="20"/>
          <w:color w:val="auto"/>
        </w:rPr>
      </w:pPr>
    </w:p>
    <w:p>
      <w:pPr>
        <w:ind w:left="660" w:right="38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right="120" w:hanging="652"/>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2019, we announced the approval of a new stock repurchase program authorizing management to repurchase, from time to time, up to an aggregate of $100.0 million of our shares of Class A Common Stock and/or Class B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0" w:type="dxa"/>
            <w:vAlign w:val="bottom"/>
          </w:tcPr>
          <w:p>
            <w:pPr>
              <w:spacing w:after="0"/>
              <w:rPr>
                <w:sz w:val="1"/>
                <w:szCs w:val="1"/>
                <w:color w:val="auto"/>
              </w:rPr>
            </w:pPr>
          </w:p>
        </w:tc>
      </w:tr>
      <w:tr>
        <w:trPr>
          <w:trHeight w:val="198"/>
        </w:trPr>
        <w:tc>
          <w:tcPr>
            <w:tcW w:w="114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1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640" w:type="dxa"/>
            <w:vAlign w:val="bottom"/>
            <w:tcBorders>
              <w:top w:val="single" w:sz="8" w:color="auto"/>
              <w:bottom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vMerge w:val="restart"/>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100" w:type="dxa"/>
            <w:vAlign w:val="bottom"/>
            <w:gridSpan w:val="4"/>
          </w:tcPr>
          <w:p>
            <w:pPr>
              <w:spacing w:after="0" w:line="15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Restated Articles of Incorporation of Rush Enterprises, Inc. (incorporated herein by reference to Exhibit 3.1 of the Company’s Quarterly</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Report on Form 10-Q (File No. 000-20797) for the quarter ended June 30,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7"/>
                <w:szCs w:val="17"/>
                <w:color w:val="auto"/>
              </w:rPr>
            </w:pPr>
          </w:p>
        </w:tc>
        <w:tc>
          <w:tcPr>
            <w:tcW w:w="101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Rush Enterprises, Inc. Amended and Restated Bylaws (incorporated herein by reference to Exhibit 3.1 of the Company’s Current Report on</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Form 8-K (File No. 000-20797) filed May 21, 2013)</w:t>
              </w:r>
            </w:hyperlink>
          </w:p>
        </w:tc>
        <w:tc>
          <w:tcPr>
            <w:tcW w:w="6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31.1*</w:t>
            </w:r>
          </w:p>
        </w:tc>
        <w:tc>
          <w:tcPr>
            <w:tcW w:w="240" w:type="dxa"/>
            <w:vAlign w:val="bottom"/>
          </w:tcPr>
          <w:p>
            <w:pPr>
              <w:spacing w:after="0"/>
              <w:rPr>
                <w:sz w:val="18"/>
                <w:szCs w:val="18"/>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Certification of CEO pursuant to Rules 13a-14(a) and 15d-14(a) adopted pursuant to Section 302 of the Sarbanes-Oxley Act of 2002.</w:t>
              </w:r>
            </w:hyperlink>
          </w:p>
        </w:tc>
        <w:tc>
          <w:tcPr>
            <w:tcW w:w="0" w:type="dxa"/>
            <w:vAlign w:val="bottom"/>
          </w:tcPr>
          <w:p>
            <w:pPr>
              <w:spacing w:after="0"/>
              <w:rPr>
                <w:sz w:val="1"/>
                <w:szCs w:val="1"/>
                <w:color w:val="auto"/>
              </w:rPr>
            </w:pPr>
          </w:p>
        </w:tc>
      </w:tr>
      <w:tr>
        <w:trPr>
          <w:trHeight w:val="216"/>
        </w:trPr>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31.2*</w:t>
            </w:r>
          </w:p>
        </w:tc>
        <w:tc>
          <w:tcPr>
            <w:tcW w:w="240" w:type="dxa"/>
            <w:vAlign w:val="bottom"/>
          </w:tcPr>
          <w:p>
            <w:pPr>
              <w:spacing w:after="0"/>
              <w:rPr>
                <w:sz w:val="18"/>
                <w:szCs w:val="18"/>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Certification of CFO pursuant to Rules 13a-14(a) and 15d-14(a) adopted pursuant to Section 302 of the Sarbanes-Oxley Act of 2002.</w:t>
              </w:r>
            </w:hyperlink>
          </w:p>
        </w:tc>
        <w:tc>
          <w:tcPr>
            <w:tcW w:w="0" w:type="dxa"/>
            <w:vAlign w:val="bottom"/>
          </w:tcPr>
          <w:p>
            <w:pPr>
              <w:spacing w:after="0"/>
              <w:rPr>
                <w:sz w:val="1"/>
                <w:szCs w:val="1"/>
                <w:color w:val="auto"/>
              </w:rPr>
            </w:pPr>
          </w:p>
        </w:tc>
      </w:tr>
      <w:tr>
        <w:trPr>
          <w:trHeight w:val="216"/>
        </w:trPr>
        <w:tc>
          <w:tcPr>
            <w:tcW w:w="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Certification of CEO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16"/>
        </w:trPr>
        <w:tc>
          <w:tcPr>
            <w:tcW w:w="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0100" w:type="dxa"/>
            <w:vAlign w:val="bottom"/>
            <w:gridSpan w:val="4"/>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Certification of CFO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iXBRL and contained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660" w:right="900" w:hanging="652"/>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87" w:orient="portrait"/>
          <w:cols w:equalWidth="0" w:num="1">
            <w:col w:w="11240"/>
          </w:cols>
          <w:pgMar w:left="320" w:top="333" w:right="3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440" w:type="dxa"/>
            <w:vAlign w:val="bottom"/>
            <w:gridSpan w:val="4"/>
          </w:tcPr>
          <w:p>
            <w:pPr>
              <w:ind w:left="188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60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6, 2020</w:t>
            </w:r>
          </w:p>
        </w:tc>
        <w:tc>
          <w:tcPr>
            <w:tcW w:w="5440" w:type="dxa"/>
            <w:vAlign w:val="bottom"/>
            <w:gridSpan w:val="4"/>
          </w:tcPr>
          <w:p>
            <w:pPr>
              <w:ind w:left="188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12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16"/>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0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6, 2020</w:t>
            </w:r>
          </w:p>
        </w:tc>
        <w:tc>
          <w:tcPr>
            <w:tcW w:w="5440" w:type="dxa"/>
            <w:vAlign w:val="bottom"/>
            <w:gridSpan w:val="4"/>
          </w:tcPr>
          <w:p>
            <w:pPr>
              <w:ind w:left="188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gridSpan w:val="2"/>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432"/>
        </w:trPr>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39"/>
          </w:cols>
          <w:pgMar w:left="320" w:top="337"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680" w:hanging="672"/>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6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0" w:firstLine="8"/>
        <w:spacing w:after="0" w:line="282" w:lineRule="auto"/>
        <w:tabs>
          <w:tab w:leader="none" w:pos="8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8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37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2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00" w:firstLine="656"/>
        <w:spacing w:after="0" w:line="282" w:lineRule="auto"/>
        <w:tabs>
          <w:tab w:leader="none" w:pos="127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3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0" w:firstLine="8"/>
        <w:spacing w:after="0" w:line="282" w:lineRule="auto"/>
        <w:tabs>
          <w:tab w:leader="none" w:pos="8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25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3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2020</w:t>
            </w:r>
          </w:p>
        </w:tc>
        <w:tc>
          <w:tcPr>
            <w:tcW w:w="496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W.M. “RUSTY” RUSH</w:t>
            </w:r>
          </w:p>
        </w:tc>
      </w:tr>
      <w:tr>
        <w:trPr>
          <w:trHeight w:val="218"/>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W.M. “Rusty” Rush</w:t>
            </w:r>
          </w:p>
        </w:tc>
        <w:tc>
          <w:tcPr>
            <w:tcW w:w="82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Chief Executive Officer and</w:t>
            </w:r>
          </w:p>
        </w:tc>
      </w:tr>
      <w:tr>
        <w:trPr>
          <w:trHeight w:val="216"/>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680" w:hanging="672"/>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8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0" w:firstLine="8"/>
        <w:spacing w:after="0" w:line="282" w:lineRule="auto"/>
        <w:tabs>
          <w:tab w:leader="none" w:pos="8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8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22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380" w:firstLine="656"/>
        <w:spacing w:after="0" w:line="266" w:lineRule="auto"/>
        <w:tabs>
          <w:tab w:leader="none" w:pos="11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00" w:firstLine="656"/>
        <w:spacing w:after="0" w:line="282" w:lineRule="auto"/>
        <w:tabs>
          <w:tab w:leader="none" w:pos="11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400" w:firstLine="656"/>
        <w:spacing w:after="0" w:line="266" w:lineRule="auto"/>
        <w:tabs>
          <w:tab w:leader="none" w:pos="122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0" w:firstLine="8"/>
        <w:spacing w:after="0" w:line="282" w:lineRule="auto"/>
        <w:tabs>
          <w:tab w:leader="none" w:pos="9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16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2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2020</w:t>
            </w:r>
          </w:p>
        </w:tc>
        <w:tc>
          <w:tcPr>
            <w:tcW w:w="54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218"/>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136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September 30, 2020,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Chairman,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17"/>
                <w:szCs w:val="17"/>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W.M. “RUSTY” RUSH</w:t>
            </w:r>
          </w:p>
        </w:tc>
        <w:tc>
          <w:tcPr>
            <w:tcW w:w="820" w:type="dxa"/>
            <w:vAlign w:val="bottom"/>
          </w:tcPr>
          <w:p>
            <w:pPr>
              <w:spacing w:after="0"/>
              <w:rPr>
                <w:sz w:val="17"/>
                <w:szCs w:val="17"/>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W.M. “Rusty” Rush</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r>
      <w:tr>
        <w:trPr>
          <w:trHeight w:val="216"/>
        </w:trPr>
        <w:tc>
          <w:tcPr>
            <w:tcW w:w="58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November 6, 2020</w:t>
            </w:r>
          </w:p>
        </w:tc>
      </w:tr>
    </w:tbl>
    <w:p>
      <w:pPr>
        <w:spacing w:after="0" w:line="200" w:lineRule="exact"/>
        <w:rPr>
          <w:sz w:val="20"/>
          <w:szCs w:val="20"/>
          <w:color w:val="auto"/>
        </w:rPr>
      </w:pPr>
    </w:p>
    <w:p>
      <w:pPr>
        <w:spacing w:after="0" w:line="21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September 30, 2020,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64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STEVEN L. KELLER</w:t>
            </w: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Steven L. Keller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Chief Financial Officer and Treasurer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November 6, 2020</w:t>
            </w:r>
          </w:p>
        </w:tc>
      </w:tr>
    </w:tbl>
    <w:p>
      <w:pPr>
        <w:spacing w:after="0" w:line="200" w:lineRule="exact"/>
        <w:rPr>
          <w:sz w:val="20"/>
          <w:szCs w:val="20"/>
          <w:color w:val="auto"/>
        </w:rPr>
      </w:pPr>
    </w:p>
    <w:p>
      <w:pPr>
        <w:spacing w:after="0" w:line="21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4" Type="http://schemas.openxmlformats.org/officeDocument/2006/relationships/hyperlink" Target="http://www.sec.gov/Archives/edgar/data/1012019/000110465908051789/a08-18770_1ex3d1.htm" TargetMode="External"/><Relationship Id="rId45" Type="http://schemas.openxmlformats.org/officeDocument/2006/relationships/hyperlink" Target="http://www.sec.gov/Archives/edgar/data/1012019/000143774913006455/rusha20130517_8k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2020-11-06T11:25:55Z</dcterms:created>
  <dcterms:modified xsi:type="dcterms:W3CDTF">2020-11-06T11:25:55Z</dcterms:modified>
</cp:coreProperties>
</file>