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2011</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0-20797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RUSH ENTERPRISES,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84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2"/>
              </w:rPr>
              <w:t>Texas</w:t>
            </w:r>
          </w:p>
        </w:tc>
        <w:tc>
          <w:tcPr>
            <w:tcW w:w="5160" w:type="dxa"/>
            <w:vAlign w:val="bottom"/>
            <w:gridSpan w:val="4"/>
          </w:tcPr>
          <w:p>
            <w:pPr>
              <w:jc w:val="right"/>
              <w:ind w:right="428"/>
              <w:spacing w:after="0"/>
              <w:rPr>
                <w:sz w:val="20"/>
                <w:szCs w:val="20"/>
                <w:color w:val="auto"/>
              </w:rPr>
            </w:pPr>
            <w:r>
              <w:rPr>
                <w:rFonts w:ascii="Arial" w:cs="Arial" w:eastAsia="Arial" w:hAnsi="Arial"/>
                <w:sz w:val="18"/>
                <w:szCs w:val="18"/>
                <w:b w:val="1"/>
                <w:bCs w:val="1"/>
                <w:color w:val="auto"/>
              </w:rPr>
              <w:t>74-1733016</w:t>
            </w:r>
          </w:p>
        </w:tc>
        <w:tc>
          <w:tcPr>
            <w:tcW w:w="1360" w:type="dxa"/>
            <w:vAlign w:val="bottom"/>
          </w:tcPr>
          <w:p>
            <w:pPr>
              <w:spacing w:after="0"/>
              <w:rPr>
                <w:sz w:val="18"/>
                <w:szCs w:val="18"/>
                <w:color w:val="auto"/>
              </w:rPr>
            </w:pPr>
          </w:p>
        </w:tc>
      </w:tr>
      <w:tr>
        <w:trPr>
          <w:trHeight w:val="149"/>
        </w:trPr>
        <w:tc>
          <w:tcPr>
            <w:tcW w:w="84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1360" w:type="dxa"/>
            <w:vAlign w:val="bottom"/>
          </w:tcPr>
          <w:p>
            <w:pPr>
              <w:spacing w:after="0"/>
              <w:rPr>
                <w:sz w:val="12"/>
                <w:szCs w:val="12"/>
                <w:color w:val="auto"/>
              </w:rPr>
            </w:pPr>
          </w:p>
        </w:tc>
      </w:tr>
      <w:tr>
        <w:trPr>
          <w:trHeight w:val="174"/>
        </w:trPr>
        <w:tc>
          <w:tcPr>
            <w:tcW w:w="84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Identification No.)</w:t>
            </w:r>
          </w:p>
        </w:tc>
        <w:tc>
          <w:tcPr>
            <w:tcW w:w="1360" w:type="dxa"/>
            <w:vAlign w:val="bottom"/>
          </w:tcPr>
          <w:p>
            <w:pPr>
              <w:spacing w:after="0"/>
              <w:rPr>
                <w:sz w:val="15"/>
                <w:szCs w:val="15"/>
                <w:color w:val="auto"/>
              </w:rPr>
            </w:pPr>
          </w:p>
        </w:tc>
      </w:tr>
      <w:tr>
        <w:trPr>
          <w:trHeight w:val="420"/>
        </w:trPr>
        <w:tc>
          <w:tcPr>
            <w:tcW w:w="8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555 IH 35 South, New Braunfels, TX</w:t>
            </w:r>
          </w:p>
        </w:tc>
        <w:tc>
          <w:tcPr>
            <w:tcW w:w="5160" w:type="dxa"/>
            <w:vAlign w:val="bottom"/>
            <w:gridSpan w:val="4"/>
          </w:tcPr>
          <w:p>
            <w:pPr>
              <w:jc w:val="right"/>
              <w:ind w:right="628"/>
              <w:spacing w:after="0"/>
              <w:rPr>
                <w:sz w:val="20"/>
                <w:szCs w:val="20"/>
                <w:color w:val="auto"/>
              </w:rPr>
            </w:pPr>
            <w:r>
              <w:rPr>
                <w:rFonts w:ascii="Arial" w:cs="Arial" w:eastAsia="Arial" w:hAnsi="Arial"/>
                <w:sz w:val="18"/>
                <w:szCs w:val="18"/>
                <w:b w:val="1"/>
                <w:bCs w:val="1"/>
                <w:color w:val="auto"/>
              </w:rPr>
              <w:t>78130</w:t>
            </w:r>
          </w:p>
        </w:tc>
        <w:tc>
          <w:tcPr>
            <w:tcW w:w="1360" w:type="dxa"/>
            <w:vAlign w:val="bottom"/>
          </w:tcPr>
          <w:p>
            <w:pPr>
              <w:spacing w:after="0"/>
              <w:rPr>
                <w:sz w:val="24"/>
                <w:szCs w:val="24"/>
                <w:color w:val="auto"/>
              </w:rPr>
            </w:pPr>
          </w:p>
        </w:tc>
      </w:tr>
      <w:tr>
        <w:trPr>
          <w:trHeight w:val="174"/>
        </w:trPr>
        <w:tc>
          <w:tcPr>
            <w:tcW w:w="84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(Zip Code)</w:t>
            </w:r>
          </w:p>
        </w:tc>
        <w:tc>
          <w:tcPr>
            <w:tcW w:w="1360" w:type="dxa"/>
            <w:vAlign w:val="bottom"/>
          </w:tcPr>
          <w:p>
            <w:pPr>
              <w:spacing w:after="0"/>
              <w:rPr>
                <w:sz w:val="15"/>
                <w:szCs w:val="15"/>
                <w:color w:val="auto"/>
              </w:rPr>
            </w:pPr>
          </w:p>
        </w:tc>
      </w:tr>
      <w:tr>
        <w:trPr>
          <w:trHeight w:val="336"/>
        </w:trPr>
        <w:tc>
          <w:tcPr>
            <w:tcW w:w="840" w:type="dxa"/>
            <w:vAlign w:val="bottom"/>
          </w:tcPr>
          <w:p>
            <w:pPr>
              <w:spacing w:after="0"/>
              <w:rPr>
                <w:sz w:val="24"/>
                <w:szCs w:val="24"/>
                <w:color w:val="auto"/>
              </w:rPr>
            </w:pPr>
          </w:p>
        </w:tc>
        <w:tc>
          <w:tcPr>
            <w:tcW w:w="8300" w:type="dxa"/>
            <w:vAlign w:val="bottom"/>
            <w:gridSpan w:val="5"/>
          </w:tcPr>
          <w:p>
            <w:pPr>
              <w:jc w:val="center"/>
              <w:ind w:left="460"/>
              <w:spacing w:after="0"/>
              <w:rPr>
                <w:sz w:val="20"/>
                <w:szCs w:val="20"/>
                <w:color w:val="auto"/>
              </w:rPr>
            </w:pPr>
            <w:r>
              <w:rPr>
                <w:rFonts w:ascii="Arial" w:cs="Arial" w:eastAsia="Arial" w:hAnsi="Arial"/>
                <w:sz w:val="18"/>
                <w:szCs w:val="18"/>
                <w:b w:val="1"/>
                <w:bCs w:val="1"/>
                <w:color w:val="auto"/>
                <w:w w:val="87"/>
              </w:rPr>
              <w:t>Registrant’s telephone number, including area code: (830) 626-5200</w:t>
            </w:r>
          </w:p>
        </w:tc>
        <w:tc>
          <w:tcPr>
            <w:tcW w:w="1360" w:type="dxa"/>
            <w:vAlign w:val="bottom"/>
          </w:tcPr>
          <w:p>
            <w:pPr>
              <w:spacing w:after="0"/>
              <w:rPr>
                <w:sz w:val="24"/>
                <w:szCs w:val="24"/>
                <w:color w:val="auto"/>
              </w:rPr>
            </w:pPr>
          </w:p>
        </w:tc>
      </w:tr>
      <w:tr>
        <w:trPr>
          <w:trHeight w:val="351"/>
        </w:trPr>
        <w:tc>
          <w:tcPr>
            <w:tcW w:w="840" w:type="dxa"/>
            <w:vAlign w:val="bottom"/>
          </w:tcPr>
          <w:p>
            <w:pPr>
              <w:spacing w:after="0"/>
              <w:rPr>
                <w:sz w:val="24"/>
                <w:szCs w:val="24"/>
                <w:color w:val="auto"/>
              </w:rPr>
            </w:pPr>
          </w:p>
        </w:tc>
        <w:tc>
          <w:tcPr>
            <w:tcW w:w="8300" w:type="dxa"/>
            <w:vAlign w:val="bottom"/>
            <w:gridSpan w:val="5"/>
          </w:tcPr>
          <w:p>
            <w:pPr>
              <w:jc w:val="center"/>
              <w:ind w:left="44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360" w:type="dxa"/>
            <w:vAlign w:val="bottom"/>
          </w:tcPr>
          <w:p>
            <w:pPr>
              <w:spacing w:after="0"/>
              <w:rPr>
                <w:sz w:val="24"/>
                <w:szCs w:val="24"/>
                <w:color w:val="auto"/>
              </w:rPr>
            </w:pPr>
          </w:p>
        </w:tc>
      </w:tr>
      <w:tr>
        <w:trPr>
          <w:trHeight w:val="299"/>
        </w:trPr>
        <w:tc>
          <w:tcPr>
            <w:tcW w:w="8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Class A and Class B Common Stock, $.01 par value</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NASDAQ Global Select Market</w:t>
            </w:r>
          </w:p>
        </w:tc>
        <w:tc>
          <w:tcPr>
            <w:tcW w:w="13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85"/>
              </w:rPr>
              <w:t>Name of</w:t>
            </w:r>
          </w:p>
        </w:tc>
        <w:tc>
          <w:tcPr>
            <w:tcW w:w="1940" w:type="dxa"/>
            <w:vAlign w:val="bottom"/>
          </w:tcPr>
          <w:p>
            <w:pPr>
              <w:ind w:left="60"/>
              <w:spacing w:after="0"/>
              <w:rPr>
                <w:sz w:val="20"/>
                <w:szCs w:val="20"/>
                <w:color w:val="auto"/>
              </w:rPr>
            </w:pPr>
            <w:r>
              <w:rPr>
                <w:rFonts w:ascii="Arial" w:cs="Arial" w:eastAsia="Arial" w:hAnsi="Arial"/>
                <w:sz w:val="18"/>
                <w:szCs w:val="18"/>
                <w:color w:val="auto"/>
                <w:w w:val="93"/>
              </w:rPr>
              <w:t>each exchange on which</w:t>
            </w:r>
          </w:p>
        </w:tc>
        <w:tc>
          <w:tcPr>
            <w:tcW w:w="1360" w:type="dxa"/>
            <w:vAlign w:val="bottom"/>
          </w:tcPr>
          <w:p>
            <w:pPr>
              <w:spacing w:after="0"/>
              <w:rPr>
                <w:sz w:val="20"/>
                <w:szCs w:val="20"/>
                <w:color w:val="auto"/>
              </w:rPr>
            </w:pPr>
            <w:r>
              <w:rPr>
                <w:rFonts w:ascii="Arial" w:cs="Arial" w:eastAsia="Arial" w:hAnsi="Arial"/>
                <w:sz w:val="18"/>
                <w:szCs w:val="18"/>
                <w:color w:val="auto"/>
              </w:rPr>
              <w:t>registered</w:t>
            </w:r>
          </w:p>
        </w:tc>
      </w:tr>
      <w:tr>
        <w:trPr>
          <w:trHeight w:val="330"/>
        </w:trPr>
        <w:tc>
          <w:tcPr>
            <w:tcW w:w="840" w:type="dxa"/>
            <w:vAlign w:val="bottom"/>
          </w:tcPr>
          <w:p>
            <w:pPr>
              <w:spacing w:after="0"/>
              <w:rPr>
                <w:sz w:val="24"/>
                <w:szCs w:val="24"/>
                <w:color w:val="auto"/>
              </w:rPr>
            </w:pPr>
          </w:p>
        </w:tc>
        <w:tc>
          <w:tcPr>
            <w:tcW w:w="8300" w:type="dxa"/>
            <w:vAlign w:val="bottom"/>
            <w:gridSpan w:val="5"/>
          </w:tcPr>
          <w:p>
            <w:pPr>
              <w:jc w:val="center"/>
              <w:ind w:left="46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360" w:type="dxa"/>
            <w:vAlign w:val="bottom"/>
          </w:tcPr>
          <w:p>
            <w:pPr>
              <w:spacing w:after="0"/>
              <w:rPr>
                <w:sz w:val="24"/>
                <w:szCs w:val="24"/>
                <w:color w:val="auto"/>
              </w:rPr>
            </w:pPr>
          </w:p>
        </w:tc>
      </w:tr>
      <w:tr>
        <w:trPr>
          <w:trHeight w:val="228"/>
        </w:trPr>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gridSpan w:val="3"/>
          </w:tcPr>
          <w:p>
            <w:pPr>
              <w:jc w:val="center"/>
              <w:ind w:right="2628"/>
              <w:spacing w:after="0"/>
              <w:rPr>
                <w:sz w:val="20"/>
                <w:szCs w:val="20"/>
                <w:color w:val="auto"/>
              </w:rPr>
            </w:pPr>
            <w:r>
              <w:rPr>
                <w:rFonts w:ascii="Arial" w:cs="Arial" w:eastAsia="Arial" w:hAnsi="Arial"/>
                <w:sz w:val="18"/>
                <w:szCs w:val="18"/>
                <w:b w:val="1"/>
                <w:bCs w:val="1"/>
                <w:color w:val="auto"/>
                <w:w w:val="84"/>
              </w:rPr>
              <w:t>None</w:t>
            </w:r>
          </w:p>
        </w:tc>
        <w:tc>
          <w:tcPr>
            <w:tcW w:w="1360" w:type="dxa"/>
            <w:vAlign w:val="bottom"/>
          </w:tcPr>
          <w:p>
            <w:pPr>
              <w:spacing w:after="0"/>
              <w:rPr>
                <w:sz w:val="19"/>
                <w:szCs w:val="19"/>
                <w:color w:val="auto"/>
              </w:rPr>
            </w:pPr>
          </w:p>
        </w:tc>
      </w:tr>
      <w:tr>
        <w:trPr>
          <w:trHeight w:val="232"/>
        </w:trPr>
        <w:tc>
          <w:tcPr>
            <w:tcW w:w="4060" w:type="dxa"/>
            <w:vAlign w:val="bottom"/>
            <w:gridSpan w:val="3"/>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70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r>
      <w:tr>
        <w:trPr>
          <w:trHeight w:val="363"/>
        </w:trPr>
        <w:tc>
          <w:tcPr>
            <w:tcW w:w="9140" w:type="dxa"/>
            <w:vAlign w:val="bottom"/>
            <w:gridSpan w:val="6"/>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36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1"/>
        </w:trPr>
        <w:tc>
          <w:tcPr>
            <w:tcW w:w="91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Exchange Act.</w:t>
            </w:r>
          </w:p>
        </w:tc>
        <w:tc>
          <w:tcPr>
            <w:tcW w:w="136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09"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535" w:gutter="0" w:footer="0" w:header="0"/>
        </w:sectPr>
      </w:pPr>
    </w:p>
    <w:p>
      <w:pPr>
        <w:spacing w:after="0" w:line="39" w:lineRule="exact"/>
        <w:rPr>
          <w:sz w:val="24"/>
          <w:szCs w:val="24"/>
          <w:color w:val="auto"/>
        </w:rPr>
      </w:pPr>
    </w:p>
    <w:p>
      <w:pPr>
        <w:ind w:left="1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3">
            <w:col w:w="8080" w:space="720"/>
            <w:col w:w="1340" w:space="720"/>
            <w:col w:w="560"/>
          </w:cols>
          <w:pgMar w:left="240" w:top="230" w:right="239" w:bottom="535" w:gutter="0" w:footer="0" w:header="0"/>
          <w:type w:val="continuous"/>
        </w:sectPr>
      </w:pPr>
    </w:p>
    <w:p>
      <w:pPr>
        <w:spacing w:after="0" w:line="3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7" w:lineRule="exact"/>
        <w:rPr>
          <w:sz w:val="24"/>
          <w:szCs w:val="24"/>
          <w:color w:val="auto"/>
        </w:rPr>
      </w:pPr>
    </w:p>
    <w:p>
      <w:pPr>
        <w:sectPr>
          <w:pgSz w:w="11900" w:h="16838" w:orient="portrait"/>
          <w:cols w:equalWidth="0" w:num="4">
            <w:col w:w="1640" w:space="140"/>
            <w:col w:w="160" w:space="480"/>
            <w:col w:w="5660" w:space="720"/>
            <w:col w:w="2620"/>
          </w:cols>
          <w:pgMar w:left="240" w:top="230" w:right="239" w:bottom="535"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5">
            <w:col w:w="8440" w:space="120"/>
            <w:col w:w="260" w:space="80"/>
            <w:col w:w="160" w:space="180"/>
            <w:col w:w="220" w:space="80"/>
            <w:col w:w="1880"/>
          </w:cols>
          <w:pgMar w:left="240" w:top="230" w:right="239" w:bottom="535" w:gutter="0" w:footer="0" w:header="0"/>
          <w:type w:val="continuous"/>
        </w:sectPr>
      </w:pPr>
    </w:p>
    <w:p>
      <w:pPr>
        <w:jc w:val="both"/>
        <w:ind w:firstLine="456"/>
        <w:spacing w:after="0" w:line="255"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2011 was approximately $618,179,524 based upon the last sales price on June 30, 2011 on The NASDAQ Global Select Market</w:t>
      </w:r>
      <w:r>
        <w:rPr>
          <w:rFonts w:ascii="Arial" w:cs="Arial" w:eastAsia="Arial" w:hAnsi="Arial"/>
          <w:sz w:val="11"/>
          <w:szCs w:val="11"/>
          <w:color w:val="auto"/>
        </w:rPr>
        <w:t>SM</w:t>
      </w:r>
      <w:r>
        <w:rPr>
          <w:rFonts w:ascii="Arial" w:cs="Arial" w:eastAsia="Arial" w:hAnsi="Arial"/>
          <w:sz w:val="18"/>
          <w:szCs w:val="18"/>
          <w:color w:val="auto"/>
        </w:rPr>
        <w:t xml:space="preserve"> of $19.03 for the registrant’s Class A common stock and $16.10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registrant had 27,713,888 shares Class A common stock and 10,779,674 shares of Class B common stock outstanding on March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0" w:lineRule="exact"/>
        <w:rPr>
          <w:sz w:val="24"/>
          <w:szCs w:val="24"/>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Portions of registrant’s definitive proxy statement for the registrant’s 2012 Annual Meeting of Shareholders, to be filed with the Securities and Exchange Commission not later than April 30, 2012,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3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80" w:type="dxa"/>
            <w:vAlign w:val="bottom"/>
            <w:gridSpan w:val="13"/>
          </w:tcPr>
          <w:p>
            <w:pPr>
              <w:jc w:val="center"/>
              <w:ind w:right="3380"/>
              <w:spacing w:after="0"/>
              <w:rPr>
                <w:sz w:val="20"/>
                <w:szCs w:val="20"/>
                <w:color w:val="auto"/>
              </w:rPr>
            </w:pPr>
            <w:r>
              <w:rPr>
                <w:rFonts w:ascii="Arial" w:cs="Arial" w:eastAsia="Arial" w:hAnsi="Arial"/>
                <w:sz w:val="18"/>
                <w:szCs w:val="18"/>
                <w:b w:val="1"/>
                <w:bCs w:val="1"/>
                <w:color w:val="auto"/>
                <w:w w:val="96"/>
              </w:rPr>
              <w:t>RUSH ENTERPRISES, INC.</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60" w:type="dxa"/>
            <w:vAlign w:val="bottom"/>
            <w:gridSpan w:val="12"/>
          </w:tcPr>
          <w:p>
            <w:pPr>
              <w:jc w:val="center"/>
              <w:ind w:right="4120"/>
              <w:spacing w:after="0"/>
              <w:rPr>
                <w:sz w:val="20"/>
                <w:szCs w:val="20"/>
                <w:color w:val="auto"/>
              </w:rPr>
            </w:pPr>
            <w:r>
              <w:rPr>
                <w:rFonts w:ascii="Arial" w:cs="Arial" w:eastAsia="Arial" w:hAnsi="Arial"/>
                <w:sz w:val="18"/>
                <w:szCs w:val="18"/>
                <w:b w:val="1"/>
                <w:bCs w:val="1"/>
                <w:color w:val="auto"/>
                <w:w w:val="91"/>
              </w:rPr>
              <w:t>Index to Form 10-K</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13"/>
          </w:tcPr>
          <w:p>
            <w:pPr>
              <w:jc w:val="center"/>
              <w:ind w:right="3400"/>
              <w:spacing w:after="0"/>
              <w:rPr>
                <w:sz w:val="20"/>
                <w:szCs w:val="20"/>
                <w:color w:val="auto"/>
              </w:rPr>
            </w:pPr>
            <w:r>
              <w:rPr>
                <w:rFonts w:ascii="Arial" w:cs="Arial" w:eastAsia="Arial" w:hAnsi="Arial"/>
                <w:sz w:val="18"/>
                <w:szCs w:val="18"/>
                <w:b w:val="1"/>
                <w:bCs w:val="1"/>
                <w:color w:val="auto"/>
                <w:w w:val="87"/>
              </w:rPr>
              <w:t>Year ended December 31, 2011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9"/>
            <w:vMerge w:val="restart"/>
          </w:tcPr>
          <w:p>
            <w:pPr>
              <w:jc w:val="center"/>
              <w:ind w:right="4880"/>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320" w:type="dxa"/>
            <w:vAlign w:val="bottom"/>
            <w:gridSpan w:val="9"/>
            <w:vMerge w:val="continue"/>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72"/>
        </w:trPr>
        <w:tc>
          <w:tcPr>
            <w:tcW w:w="53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440" w:type="dxa"/>
            <w:vAlign w:val="bottom"/>
            <w:tcBorders>
              <w:top w:val="single" w:sz="8" w:color="0000EE"/>
            </w:tcBorders>
          </w:tcPr>
          <w:p>
            <w:pPr>
              <w:spacing w:after="0"/>
              <w:rPr>
                <w:sz w:val="24"/>
                <w:szCs w:val="24"/>
                <w:color w:val="auto"/>
              </w:rPr>
            </w:pPr>
          </w:p>
        </w:tc>
        <w:tc>
          <w:tcPr>
            <w:tcW w:w="4880" w:type="dxa"/>
            <w:vAlign w:val="bottom"/>
            <w:gridSpan w:val="8"/>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line="20" w:lineRule="exact"/>
              <w:rPr>
                <w:sz w:val="1"/>
                <w:szCs w:val="1"/>
                <w:color w:val="auto"/>
              </w:rPr>
            </w:pPr>
          </w:p>
        </w:tc>
      </w:tr>
      <w:tr>
        <w:trPr>
          <w:trHeight w:val="372"/>
        </w:trPr>
        <w:tc>
          <w:tcPr>
            <w:tcW w:w="1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1A Risk Factors</w:t>
              </w:r>
            </w:hyperlink>
          </w:p>
        </w:tc>
        <w:tc>
          <w:tcPr>
            <w:tcW w:w="9180" w:type="dxa"/>
            <w:vAlign w:val="bottom"/>
            <w:gridSpan w:val="25"/>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Item 1B Unresolved Staff Comments</w:t>
              </w:r>
            </w:hyperlink>
          </w:p>
        </w:tc>
        <w:tc>
          <w:tcPr>
            <w:tcW w:w="8080" w:type="dxa"/>
            <w:vAlign w:val="bottom"/>
            <w:gridSpan w:val="1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72"/>
        </w:trPr>
        <w:tc>
          <w:tcPr>
            <w:tcW w:w="12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2 Properties</w:t>
              </w:r>
            </w:hyperlink>
          </w:p>
        </w:tc>
        <w:tc>
          <w:tcPr>
            <w:tcW w:w="9480" w:type="dxa"/>
            <w:vAlign w:val="bottom"/>
            <w:gridSpan w:val="2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 Legal Proceedings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18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line="20" w:lineRule="exact"/>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0"/>
          </w:tcPr>
          <w:p>
            <w:pPr>
              <w:jc w:val="center"/>
              <w:ind w:right="4820"/>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line="20" w:lineRule="exact"/>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5 Market for Registrant’s Common Equity, Related Shareholder Matters and Issuer Purchases of Equity Securities</w:t>
              </w:r>
            </w:hyperlink>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Item 6 Selected Financial Data</w:t>
              </w:r>
            </w:hyperlink>
          </w:p>
        </w:tc>
        <w:tc>
          <w:tcPr>
            <w:tcW w:w="6240" w:type="dxa"/>
            <w:vAlign w:val="bottom"/>
            <w:tcBorders>
              <w:top w:val="single" w:sz="8" w:color="0000EE"/>
            </w:tcBorders>
            <w:gridSpan w:val="21"/>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7 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72"/>
        </w:trPr>
        <w:tc>
          <w:tcPr>
            <w:tcW w:w="48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7A Quantitative and Qualitative Disclosures about Market Risk</w:t>
              </w:r>
            </w:hyperlink>
          </w:p>
        </w:tc>
        <w:tc>
          <w:tcPr>
            <w:tcW w:w="1960" w:type="dxa"/>
            <w:vAlign w:val="bottom"/>
            <w:tcBorders>
              <w:top w:val="single" w:sz="8" w:color="0000EE"/>
            </w:tcBorders>
            <w:gridSpan w:val="8"/>
          </w:tcPr>
          <w:p>
            <w:pPr>
              <w:spacing w:after="0"/>
              <w:rPr>
                <w:sz w:val="24"/>
                <w:szCs w:val="24"/>
                <w:color w:val="auto"/>
              </w:rPr>
            </w:pPr>
          </w:p>
        </w:tc>
        <w:tc>
          <w:tcPr>
            <w:tcW w:w="39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372"/>
        </w:trPr>
        <w:tc>
          <w:tcPr>
            <w:tcW w:w="37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Item 8 Financial Statements and Supplementary Data</w:t>
              </w:r>
            </w:hyperlink>
          </w:p>
        </w:tc>
        <w:tc>
          <w:tcPr>
            <w:tcW w:w="69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9 Changes in and Disagreements with Accountants on Accounting and Financial Disclosure</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372"/>
        </w:trPr>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Item 9A Controls and Procedures</w:t>
              </w:r>
            </w:hyperlink>
          </w:p>
        </w:tc>
        <w:tc>
          <w:tcPr>
            <w:tcW w:w="4460" w:type="dxa"/>
            <w:vAlign w:val="bottom"/>
            <w:tcBorders>
              <w:top w:val="single" w:sz="8" w:color="0000EE"/>
            </w:tcBorders>
            <w:gridSpan w:val="16"/>
          </w:tcPr>
          <w:p>
            <w:pPr>
              <w:spacing w:after="0"/>
              <w:rPr>
                <w:sz w:val="24"/>
                <w:szCs w:val="24"/>
                <w:color w:val="auto"/>
              </w:rPr>
            </w:pPr>
          </w:p>
        </w:tc>
        <w:tc>
          <w:tcPr>
            <w:tcW w:w="38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9B Other Information</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372"/>
        </w:trPr>
        <w:tc>
          <w:tcPr>
            <w:tcW w:w="1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60" w:type="dxa"/>
            <w:vAlign w:val="bottom"/>
            <w:gridSpan w:val="12"/>
          </w:tcPr>
          <w:p>
            <w:pPr>
              <w:jc w:val="center"/>
              <w:ind w:right="4320"/>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III</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1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10 Directors and Executive Officers of the Registrant</w:t>
              </w:r>
            </w:hyperlink>
          </w:p>
        </w:tc>
        <w:tc>
          <w:tcPr>
            <w:tcW w:w="1200" w:type="dxa"/>
            <w:vAlign w:val="bottom"/>
            <w:gridSpan w:val="2"/>
          </w:tcPr>
          <w:p>
            <w:pPr>
              <w:spacing w:after="0"/>
              <w:rPr>
                <w:sz w:val="24"/>
                <w:szCs w:val="24"/>
                <w:color w:val="auto"/>
              </w:rPr>
            </w:pPr>
          </w:p>
        </w:tc>
        <w:tc>
          <w:tcPr>
            <w:tcW w:w="600" w:type="dxa"/>
            <w:vAlign w:val="bottom"/>
            <w:tcBorders>
              <w:top w:val="single" w:sz="8" w:color="0000EE"/>
            </w:tcBorders>
            <w:gridSpan w:val="6"/>
          </w:tcPr>
          <w:p>
            <w:pPr>
              <w:spacing w:after="0"/>
              <w:rPr>
                <w:sz w:val="24"/>
                <w:szCs w:val="24"/>
                <w:color w:val="auto"/>
              </w:rPr>
            </w:pPr>
          </w:p>
        </w:tc>
        <w:tc>
          <w:tcPr>
            <w:tcW w:w="47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11 Executive Compensation</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0"/>
        </w:trPr>
        <w:tc>
          <w:tcPr>
            <w:tcW w:w="2340" w:type="dxa"/>
            <w:vAlign w:val="bottom"/>
            <w:gridSpan w:val="8"/>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line="20" w:lineRule="exact"/>
              <w:rPr>
                <w:sz w:val="1"/>
                <w:szCs w:val="1"/>
                <w:color w:val="auto"/>
              </w:rPr>
            </w:pPr>
          </w:p>
        </w:tc>
      </w:tr>
      <w:tr>
        <w:trPr>
          <w:trHeight w:val="372"/>
        </w:trPr>
        <w:tc>
          <w:tcPr>
            <w:tcW w:w="10700" w:type="dxa"/>
            <w:vAlign w:val="bottom"/>
            <w:gridSpan w:val="2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12 Security Ownership of Certain Beneficial Owners and Management and Related Shareholder Matters</w:t>
              </w:r>
            </w:hyperlink>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40" w:type="dxa"/>
            <w:vAlign w:val="bottom"/>
            <w:tcBorders>
              <w:top w:val="single" w:sz="8" w:color="0000EE"/>
            </w:tcBorders>
            <w:gridSpan w:val="2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13 Certain Relationships and Related Transactions</w:t>
              </w:r>
            </w:hyperlink>
          </w:p>
        </w:tc>
        <w:tc>
          <w:tcPr>
            <w:tcW w:w="29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372"/>
        </w:trPr>
        <w:tc>
          <w:tcPr>
            <w:tcW w:w="3920" w:type="dxa"/>
            <w:vAlign w:val="bottom"/>
            <w:tcBorders>
              <w:top w:val="single" w:sz="8" w:color="0000EE"/>
            </w:tcBorders>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14 Principal Accountant Fees and Services</w:t>
              </w:r>
            </w:hyperlink>
          </w:p>
        </w:tc>
        <w:tc>
          <w:tcPr>
            <w:tcW w:w="67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372"/>
        </w:trPr>
        <w:tc>
          <w:tcPr>
            <w:tcW w:w="1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gridSpan w:val="11"/>
          </w:tcPr>
          <w:p>
            <w:pPr>
              <w:jc w:val="center"/>
              <w:ind w:right="480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IV</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6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Item 15 Exhibits and Financial Statement Schedules</w:t>
              </w:r>
            </w:hyperlink>
          </w:p>
        </w:tc>
        <w:tc>
          <w:tcPr>
            <w:tcW w:w="1660" w:type="dxa"/>
            <w:vAlign w:val="bottom"/>
            <w:gridSpan w:val="6"/>
          </w:tcPr>
          <w:p>
            <w:pPr>
              <w:spacing w:after="0"/>
              <w:rPr>
                <w:sz w:val="24"/>
                <w:szCs w:val="24"/>
                <w:color w:val="auto"/>
              </w:rPr>
            </w:pPr>
          </w:p>
        </w:tc>
        <w:tc>
          <w:tcPr>
            <w:tcW w:w="560" w:type="dxa"/>
            <w:vAlign w:val="bottom"/>
            <w:tcBorders>
              <w:top w:val="single" w:sz="8" w:color="0000EE"/>
            </w:tcBorders>
            <w:gridSpan w:val="4"/>
          </w:tcPr>
          <w:p>
            <w:pPr>
              <w:spacing w:after="0"/>
              <w:rPr>
                <w:sz w:val="24"/>
                <w:szCs w:val="24"/>
                <w:color w:val="auto"/>
              </w:rPr>
            </w:pPr>
          </w:p>
        </w:tc>
        <w:tc>
          <w:tcPr>
            <w:tcW w:w="48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INCORPORATION BY REFERENCE</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10-K</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Meritor Technology</w:t>
      </w:r>
      <w:r>
        <w:rPr>
          <w:rFonts w:ascii="Arial" w:cs="Arial" w:eastAsia="Arial" w:hAnsi="Arial"/>
          <w:sz w:val="16"/>
          <w:szCs w:val="16"/>
          <w:color w:val="auto"/>
        </w:rPr>
        <w:t>,</w:t>
      </w:r>
      <w:r>
        <w:rPr>
          <w:rFonts w:ascii="Arial" w:cs="Arial" w:eastAsia="Arial" w:hAnsi="Arial"/>
          <w:sz w:val="16"/>
          <w:szCs w:val="16"/>
          <w:i w:val="1"/>
          <w:iCs w:val="1"/>
          <w:color w:val="auto"/>
        </w:rPr>
        <w:t xml:space="preserve"> Inc. JPMorgan Chase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Collins Bus Corporation. Fuso</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Mitsubishi Fuso Truck and Bus Corporation. Workhorse</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Workhorse Custom Chassis, LLC. Micro Bird</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is a registered trademark of Blue Bird Body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References herein to “the Company,” “Rush Enterprises,” “Rush,” “we,” “our” or “us” mean Rush Enterprises, Inc., a Texas corporation, and its subsidiaries unless the context requires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15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Rush electronically files annual reports, quarterly reports, and other reports with the SEC. You may read and copy any of the materials that we have filed with the SEC at the SEC’s Public Reference Room at 100 F Street NE, NW, Washington, DC 20549. You may obtain information about the Public Reference Room by calling the SEC at 1-800-SEC-0330. Our filings are also available to you on the SEC’s website at www.sec.gov.</w:t>
      </w:r>
    </w:p>
    <w:p>
      <w:pPr>
        <w:spacing w:after="0" w:line="8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89"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70 Rush Truck Centers in 14 states.</w:t>
      </w:r>
    </w:p>
    <w:p>
      <w:pPr>
        <w:spacing w:after="0" w:line="10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Construction Equipment Segment will no longer be reported as a separate business segment due to the Company’s disposition of its John Deere construction equipment business in September 2010. Operating results of the Construction Equipment Segment have been classified as discontinued operations in the financial statements and related discussion and analysis below.</w:t>
      </w:r>
    </w:p>
    <w:p>
      <w:pPr>
        <w:spacing w:after="0" w:line="113"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i w:val="1"/>
          <w:iCs w:val="1"/>
          <w:color w:val="auto"/>
        </w:rPr>
        <w:t xml:space="preserve">Rush Truck Centers. </w:t>
      </w:r>
      <w:r>
        <w:rPr>
          <w:rFonts w:ascii="Arial" w:cs="Arial" w:eastAsia="Arial" w:hAnsi="Arial"/>
          <w:sz w:val="16"/>
          <w:szCs w:val="16"/>
          <w:color w:val="auto"/>
        </w:rPr>
        <w:t>Our Rush Truck Centers are located in Alabama, Arizona, California, Colorado, Florida, Georgia, Idaho, New Mexico, North</w:t>
      </w:r>
      <w:r>
        <w:rPr>
          <w:rFonts w:ascii="Arial" w:cs="Arial" w:eastAsia="Arial" w:hAnsi="Arial"/>
          <w:sz w:val="16"/>
          <w:szCs w:val="16"/>
          <w:i w:val="1"/>
          <w:iCs w:val="1"/>
          <w:color w:val="auto"/>
        </w:rPr>
        <w:t xml:space="preserve"> </w:t>
      </w:r>
      <w:r>
        <w:rPr>
          <w:rFonts w:ascii="Arial" w:cs="Arial" w:eastAsia="Arial" w:hAnsi="Arial"/>
          <w:sz w:val="16"/>
          <w:szCs w:val="16"/>
          <w:color w:val="auto"/>
        </w:rPr>
        <w:t>Carolina, Oklahoma, Oregon, Tennessee, Texas and Utah. The following chart reflects our franchises and parts, service and body shop operations by location.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9"/>
          </w:tcPr>
          <w:p>
            <w:pPr>
              <w:spacing w:after="0"/>
              <w:rPr>
                <w:sz w:val="20"/>
                <w:szCs w:val="20"/>
                <w:color w:val="auto"/>
              </w:rPr>
            </w:pPr>
            <w:r>
              <w:rPr>
                <w:rFonts w:ascii="Arial" w:cs="Arial" w:eastAsia="Arial" w:hAnsi="Arial"/>
                <w:sz w:val="14"/>
                <w:szCs w:val="14"/>
                <w:b w:val="1"/>
                <w:bCs w:val="1"/>
                <w:color w:val="auto"/>
              </w:rPr>
              <w:t>Rush Truck Center</w:t>
            </w:r>
          </w:p>
        </w:tc>
        <w:tc>
          <w:tcPr>
            <w:tcW w:w="2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Heavy-Duty</w:t>
            </w:r>
          </w:p>
        </w:tc>
        <w:tc>
          <w:tcPr>
            <w:tcW w:w="3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Medium-Duty, Light-Duty and</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Body</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gridSpan w:val="8"/>
          </w:tcPr>
          <w:p>
            <w:pPr>
              <w:spacing w:after="0" w:line="129" w:lineRule="exact"/>
              <w:rPr>
                <w:sz w:val="20"/>
                <w:szCs w:val="20"/>
                <w:color w:val="auto"/>
              </w:rPr>
            </w:pPr>
            <w:r>
              <w:rPr>
                <w:rFonts w:ascii="Arial" w:cs="Arial" w:eastAsia="Arial" w:hAnsi="Arial"/>
                <w:sz w:val="14"/>
                <w:szCs w:val="14"/>
                <w:b w:val="1"/>
                <w:bCs w:val="1"/>
                <w:color w:val="auto"/>
              </w:rPr>
              <w:t>Location</w:t>
            </w:r>
          </w:p>
        </w:tc>
        <w:tc>
          <w:tcPr>
            <w:tcW w:w="1660" w:type="dxa"/>
            <w:vAlign w:val="bottom"/>
          </w:tcPr>
          <w:p>
            <w:pPr>
              <w:spacing w:after="0"/>
              <w:rPr>
                <w:sz w:val="12"/>
                <w:szCs w:val="12"/>
                <w:color w:val="auto"/>
              </w:rPr>
            </w:pPr>
          </w:p>
        </w:tc>
        <w:tc>
          <w:tcPr>
            <w:tcW w:w="27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Franchise(s)</w:t>
            </w:r>
          </w:p>
        </w:tc>
        <w:tc>
          <w:tcPr>
            <w:tcW w:w="35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Bus Franchise(s)</w:t>
            </w:r>
          </w:p>
        </w:tc>
        <w:tc>
          <w:tcPr>
            <w:tcW w:w="9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Parts</w:t>
            </w:r>
          </w:p>
        </w:tc>
        <w:tc>
          <w:tcPr>
            <w:tcW w:w="10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Service</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Shop</w:t>
            </w:r>
          </w:p>
        </w:tc>
        <w:tc>
          <w:tcPr>
            <w:tcW w:w="0" w:type="dxa"/>
            <w:vAlign w:val="bottom"/>
          </w:tcPr>
          <w:p>
            <w:pPr>
              <w:spacing w:after="0"/>
              <w:rPr>
                <w:sz w:val="1"/>
                <w:szCs w:val="1"/>
                <w:color w:val="auto"/>
              </w:rPr>
            </w:pPr>
          </w:p>
        </w:tc>
      </w:tr>
      <w:tr>
        <w:trPr>
          <w:trHeight w:val="20"/>
        </w:trPr>
        <w:tc>
          <w:tcPr>
            <w:tcW w:w="2860" w:type="dxa"/>
            <w:vAlign w:val="bottom"/>
            <w:gridSpan w:val="9"/>
            <w:vMerge w:val="restart"/>
          </w:tcPr>
          <w:p>
            <w:pPr>
              <w:spacing w:after="0"/>
              <w:rPr>
                <w:sz w:val="20"/>
                <w:szCs w:val="20"/>
                <w:color w:val="auto"/>
              </w:rPr>
            </w:pPr>
            <w:r>
              <w:rPr>
                <w:rFonts w:ascii="Arial" w:cs="Arial" w:eastAsia="Arial" w:hAnsi="Arial"/>
                <w:sz w:val="14"/>
                <w:szCs w:val="14"/>
                <w:b w:val="1"/>
                <w:bCs w:val="1"/>
                <w:i w:val="1"/>
                <w:iCs w:val="1"/>
                <w:color w:val="auto"/>
              </w:rPr>
              <w:t>Alabama:</w:t>
            </w:r>
          </w:p>
        </w:tc>
        <w:tc>
          <w:tcPr>
            <w:tcW w:w="2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gridSpan w:val="9"/>
            <w:vMerge w:val="continue"/>
          </w:tcPr>
          <w:p>
            <w:pPr>
              <w:spacing w:after="0"/>
              <w:rPr>
                <w:sz w:val="20"/>
                <w:szCs w:val="20"/>
                <w:color w:val="auto"/>
              </w:rPr>
            </w:pPr>
          </w:p>
        </w:tc>
        <w:tc>
          <w:tcPr>
            <w:tcW w:w="272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55"/>
        </w:trPr>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340" w:type="dxa"/>
            <w:vAlign w:val="bottom"/>
            <w:gridSpan w:val="4"/>
          </w:tcPr>
          <w:p>
            <w:pPr>
              <w:spacing w:after="0" w:line="155" w:lineRule="exact"/>
              <w:rPr>
                <w:sz w:val="20"/>
                <w:szCs w:val="20"/>
                <w:color w:val="auto"/>
              </w:rPr>
            </w:pPr>
            <w:r>
              <w:rPr>
                <w:rFonts w:ascii="Arial" w:cs="Arial" w:eastAsia="Arial" w:hAnsi="Arial"/>
                <w:sz w:val="14"/>
                <w:szCs w:val="14"/>
                <w:color w:val="auto"/>
              </w:rPr>
              <w:t>Mobile</w:t>
            </w:r>
          </w:p>
        </w:tc>
        <w:tc>
          <w:tcPr>
            <w:tcW w:w="2720" w:type="dxa"/>
            <w:vAlign w:val="bottom"/>
            <w:gridSpan w:val="2"/>
            <w:vMerge w:val="continue"/>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Arizona:</w:t>
            </w:r>
          </w:p>
        </w:tc>
        <w:tc>
          <w:tcPr>
            <w:tcW w:w="2720" w:type="dxa"/>
            <w:vAlign w:val="bottom"/>
            <w:gridSpan w:val="2"/>
            <w:vMerge w:val="restart"/>
          </w:tcPr>
          <w:p>
            <w:pPr>
              <w:jc w:val="center"/>
              <w:ind w:right="560"/>
              <w:spacing w:after="0"/>
              <w:rPr>
                <w:sz w:val="20"/>
                <w:szCs w:val="20"/>
                <w:color w:val="auto"/>
              </w:rPr>
            </w:pPr>
            <w:r>
              <w:rPr>
                <w:rFonts w:ascii="Arial" w:cs="Arial" w:eastAsia="Arial" w:hAnsi="Arial"/>
                <w:sz w:val="14"/>
                <w:szCs w:val="14"/>
                <w:color w:val="auto"/>
                <w:w w:val="83"/>
              </w:rPr>
              <w:t>None</w:t>
            </w:r>
          </w:p>
        </w:tc>
        <w:tc>
          <w:tcPr>
            <w:tcW w:w="3560" w:type="dxa"/>
            <w:vAlign w:val="bottom"/>
            <w:gridSpan w:val="2"/>
            <w:vMerge w:val="restart"/>
          </w:tcPr>
          <w:p>
            <w:pPr>
              <w:jc w:val="center"/>
              <w:ind w:right="560"/>
              <w:spacing w:after="0"/>
              <w:rPr>
                <w:sz w:val="20"/>
                <w:szCs w:val="20"/>
                <w:color w:val="auto"/>
              </w:rPr>
            </w:pPr>
            <w:r>
              <w:rPr>
                <w:rFonts w:ascii="Arial" w:cs="Arial" w:eastAsia="Arial" w:hAnsi="Arial"/>
                <w:sz w:val="14"/>
                <w:szCs w:val="14"/>
                <w:color w:val="auto"/>
                <w:w w:val="83"/>
              </w:rPr>
              <w:t>None</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31"/>
        </w:trPr>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0" w:type="dxa"/>
            <w:vAlign w:val="bottom"/>
            <w:gridSpan w:val="6"/>
          </w:tcPr>
          <w:p>
            <w:pPr>
              <w:spacing w:after="0" w:line="131" w:lineRule="exact"/>
              <w:rPr>
                <w:sz w:val="20"/>
                <w:szCs w:val="20"/>
                <w:color w:val="auto"/>
              </w:rPr>
            </w:pPr>
            <w:r>
              <w:rPr>
                <w:rFonts w:ascii="Arial" w:cs="Arial" w:eastAsia="Arial" w:hAnsi="Arial"/>
                <w:sz w:val="14"/>
                <w:szCs w:val="14"/>
                <w:color w:val="auto"/>
              </w:rPr>
              <w:t>Flagstaff</w:t>
            </w:r>
          </w:p>
        </w:tc>
        <w:tc>
          <w:tcPr>
            <w:tcW w:w="272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Phoenix</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Peterbilt, Hino</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Tucson</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Peterbilt, Hino</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Yuma</w:t>
            </w:r>
          </w:p>
        </w:tc>
        <w:tc>
          <w:tcPr>
            <w:tcW w:w="272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98"/>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California:</w:t>
            </w:r>
          </w:p>
        </w:tc>
        <w:tc>
          <w:tcPr>
            <w:tcW w:w="272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vMerge w:val="restart"/>
          </w:tcPr>
          <w:p>
            <w:pPr>
              <w:jc w:val="center"/>
              <w:ind w:right="560"/>
              <w:spacing w:after="0"/>
              <w:rPr>
                <w:sz w:val="20"/>
                <w:szCs w:val="20"/>
                <w:color w:val="auto"/>
              </w:rPr>
            </w:pPr>
            <w:r>
              <w:rPr>
                <w:rFonts w:ascii="Arial" w:cs="Arial" w:eastAsia="Arial" w:hAnsi="Arial"/>
                <w:sz w:val="14"/>
                <w:szCs w:val="14"/>
                <w:color w:val="auto"/>
                <w:w w:val="90"/>
              </w:rPr>
              <w:t>Peterbilt, Hino</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20" w:type="dxa"/>
            <w:vAlign w:val="bottom"/>
            <w:gridSpan w:val="2"/>
            <w:vMerge w:val="continue"/>
          </w:tcPr>
          <w:p>
            <w:pPr>
              <w:spacing w:after="0" w:line="20" w:lineRule="exact"/>
              <w:rPr>
                <w:sz w:val="1"/>
                <w:szCs w:val="1"/>
                <w:color w:val="auto"/>
              </w:rPr>
            </w:pPr>
          </w:p>
        </w:tc>
        <w:tc>
          <w:tcPr>
            <w:tcW w:w="356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7"/>
          </w:tcPr>
          <w:p>
            <w:pPr>
              <w:ind w:left="20"/>
              <w:spacing w:after="0" w:line="131" w:lineRule="exact"/>
              <w:rPr>
                <w:sz w:val="20"/>
                <w:szCs w:val="20"/>
                <w:color w:val="auto"/>
              </w:rPr>
            </w:pPr>
            <w:r>
              <w:rPr>
                <w:rFonts w:ascii="Arial" w:cs="Arial" w:eastAsia="Arial" w:hAnsi="Arial"/>
                <w:sz w:val="14"/>
                <w:szCs w:val="14"/>
                <w:color w:val="auto"/>
              </w:rPr>
              <w:t>Escondido</w:t>
            </w:r>
          </w:p>
        </w:tc>
        <w:tc>
          <w:tcPr>
            <w:tcW w:w="272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Fontana Heavy-Duty</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Fontana Medium-Duty</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Peterbilt, Hino, Isuzu, UD</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Pico Rivera</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San Diego</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Peterbilt, Hino</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Sylmar</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Peterbilt, UD</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Whittier</w:t>
            </w:r>
          </w:p>
        </w:tc>
        <w:tc>
          <w:tcPr>
            <w:tcW w:w="2720" w:type="dxa"/>
            <w:vAlign w:val="bottom"/>
            <w:gridSpan w:val="2"/>
          </w:tcPr>
          <w:p>
            <w:pPr>
              <w:jc w:val="center"/>
              <w:ind w:right="560"/>
              <w:spacing w:after="0"/>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60"/>
              <w:spacing w:after="0"/>
              <w:rPr>
                <w:sz w:val="20"/>
                <w:szCs w:val="20"/>
                <w:color w:val="auto"/>
              </w:rPr>
            </w:pPr>
            <w:r>
              <w:rPr>
                <w:rFonts w:ascii="Arial" w:cs="Arial" w:eastAsia="Arial" w:hAnsi="Arial"/>
                <w:sz w:val="14"/>
                <w:szCs w:val="14"/>
                <w:color w:val="auto"/>
                <w:w w:val="85"/>
              </w:rPr>
              <w:t>Ford, Isuzu</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Colorado:</w:t>
            </w:r>
          </w:p>
        </w:tc>
        <w:tc>
          <w:tcPr>
            <w:tcW w:w="272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31"/>
        </w:trPr>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gridSpan w:val="2"/>
          </w:tcPr>
          <w:p>
            <w:pPr>
              <w:spacing w:after="0"/>
              <w:rPr>
                <w:sz w:val="11"/>
                <w:szCs w:val="11"/>
                <w:color w:val="auto"/>
              </w:rPr>
            </w:pPr>
          </w:p>
        </w:tc>
        <w:tc>
          <w:tcPr>
            <w:tcW w:w="100" w:type="dxa"/>
            <w:vAlign w:val="bottom"/>
            <w:tcBorders>
              <w:top w:val="single" w:sz="8" w:color="auto"/>
            </w:tcBorders>
            <w:gridSpan w:val="2"/>
          </w:tcPr>
          <w:p>
            <w:pPr>
              <w:spacing w:after="0"/>
              <w:rPr>
                <w:sz w:val="11"/>
                <w:szCs w:val="11"/>
                <w:color w:val="auto"/>
              </w:rPr>
            </w:pPr>
          </w:p>
        </w:tc>
        <w:tc>
          <w:tcPr>
            <w:tcW w:w="2280" w:type="dxa"/>
            <w:vAlign w:val="bottom"/>
            <w:gridSpan w:val="3"/>
          </w:tcPr>
          <w:p>
            <w:pPr>
              <w:spacing w:after="0" w:line="131" w:lineRule="exact"/>
              <w:rPr>
                <w:sz w:val="20"/>
                <w:szCs w:val="20"/>
                <w:color w:val="auto"/>
              </w:rPr>
            </w:pPr>
            <w:r>
              <w:rPr>
                <w:rFonts w:ascii="Arial" w:cs="Arial" w:eastAsia="Arial" w:hAnsi="Arial"/>
                <w:sz w:val="14"/>
                <w:szCs w:val="14"/>
                <w:color w:val="auto"/>
              </w:rPr>
              <w:t>Denver Heavy-Duty</w:t>
            </w:r>
          </w:p>
        </w:tc>
        <w:tc>
          <w:tcPr>
            <w:tcW w:w="272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Denver Medium-Duty</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5"/>
              </w:rPr>
              <w:t>Ford, Isuzu</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Greeley</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Pueblo</w:t>
            </w:r>
          </w:p>
        </w:tc>
        <w:tc>
          <w:tcPr>
            <w:tcW w:w="272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Florida:</w:t>
            </w:r>
          </w:p>
        </w:tc>
        <w:tc>
          <w:tcPr>
            <w:tcW w:w="2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40" w:type="dxa"/>
            <w:vAlign w:val="bottom"/>
            <w:gridSpan w:val="7"/>
          </w:tcPr>
          <w:p>
            <w:pPr>
              <w:ind w:left="20"/>
              <w:spacing w:after="0" w:line="131" w:lineRule="exact"/>
              <w:rPr>
                <w:sz w:val="20"/>
                <w:szCs w:val="20"/>
                <w:color w:val="auto"/>
              </w:rPr>
            </w:pPr>
            <w:r>
              <w:rPr>
                <w:rFonts w:ascii="Arial" w:cs="Arial" w:eastAsia="Arial" w:hAnsi="Arial"/>
                <w:sz w:val="14"/>
                <w:szCs w:val="14"/>
                <w:color w:val="auto"/>
              </w:rPr>
              <w:t>Haines City</w:t>
            </w:r>
          </w:p>
        </w:tc>
        <w:tc>
          <w:tcPr>
            <w:tcW w:w="272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31"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Jacksonville</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Peterbilt, Hino</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Orlando Heavy-duty</w:t>
            </w:r>
          </w:p>
        </w:tc>
        <w:tc>
          <w:tcPr>
            <w:tcW w:w="2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9"/>
              </w:rPr>
              <w:t>Peterbilt, Isuzu, UD</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Orlando Ford</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Ford</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Orlando Isuzu</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Isuzu</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Tampa</w:t>
            </w:r>
          </w:p>
        </w:tc>
        <w:tc>
          <w:tcPr>
            <w:tcW w:w="272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Georgia:</w:t>
            </w:r>
          </w:p>
        </w:tc>
        <w:tc>
          <w:tcPr>
            <w:tcW w:w="2720" w:type="dxa"/>
            <w:vAlign w:val="bottom"/>
            <w:gridSpan w:val="2"/>
            <w:vMerge w:val="restart"/>
          </w:tcPr>
          <w:p>
            <w:pPr>
              <w:jc w:val="center"/>
              <w:ind w:right="560"/>
              <w:spacing w:after="0"/>
              <w:rPr>
                <w:sz w:val="20"/>
                <w:szCs w:val="20"/>
                <w:color w:val="auto"/>
              </w:rPr>
            </w:pPr>
            <w:r>
              <w:rPr>
                <w:rFonts w:ascii="Arial" w:cs="Arial" w:eastAsia="Arial" w:hAnsi="Arial"/>
                <w:sz w:val="14"/>
                <w:szCs w:val="14"/>
                <w:color w:val="auto"/>
                <w:w w:val="83"/>
              </w:rPr>
              <w:t>None</w:t>
            </w:r>
          </w:p>
        </w:tc>
        <w:tc>
          <w:tcPr>
            <w:tcW w:w="356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90"/>
              </w:rPr>
              <w:t>International, Hino, Isuzu, UD, IC Bus</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31"/>
        </w:trPr>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gridSpan w:val="2"/>
          </w:tcPr>
          <w:p>
            <w:pPr>
              <w:spacing w:after="0"/>
              <w:rPr>
                <w:sz w:val="11"/>
                <w:szCs w:val="11"/>
                <w:color w:val="auto"/>
              </w:rPr>
            </w:pPr>
          </w:p>
        </w:tc>
        <w:tc>
          <w:tcPr>
            <w:tcW w:w="2380" w:type="dxa"/>
            <w:vAlign w:val="bottom"/>
            <w:gridSpan w:val="5"/>
          </w:tcPr>
          <w:p>
            <w:pPr>
              <w:spacing w:after="0" w:line="131" w:lineRule="exact"/>
              <w:rPr>
                <w:sz w:val="20"/>
                <w:szCs w:val="20"/>
                <w:color w:val="auto"/>
              </w:rPr>
            </w:pPr>
            <w:r>
              <w:rPr>
                <w:rFonts w:ascii="Arial" w:cs="Arial" w:eastAsia="Arial" w:hAnsi="Arial"/>
                <w:sz w:val="14"/>
                <w:szCs w:val="14"/>
                <w:color w:val="auto"/>
              </w:rPr>
              <w:t>Smyrna</w:t>
            </w:r>
          </w:p>
        </w:tc>
        <w:tc>
          <w:tcPr>
            <w:tcW w:w="272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Atlanta</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9"/>
              </w:rPr>
              <w:t>International, Hino, Isuzu, UD, IC Bus, Workhorse</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Atlanta Collision</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None</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No</w:t>
            </w:r>
          </w:p>
        </w:tc>
        <w:tc>
          <w:tcPr>
            <w:tcW w:w="10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rPr>
              <w:t>No</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Doraville</w:t>
            </w:r>
          </w:p>
        </w:tc>
        <w:tc>
          <w:tcPr>
            <w:tcW w:w="2720" w:type="dxa"/>
            <w:vAlign w:val="bottom"/>
            <w:gridSpan w:val="2"/>
          </w:tcPr>
          <w:p>
            <w:pPr>
              <w:jc w:val="center"/>
              <w:ind w:right="560"/>
              <w:spacing w:after="0"/>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International, Hino, Isuzu, UD, IC Bus, Workhorse</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Idaho:</w:t>
            </w:r>
          </w:p>
        </w:tc>
        <w:tc>
          <w:tcPr>
            <w:tcW w:w="2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7"/>
          </w:tcPr>
          <w:p>
            <w:pPr>
              <w:ind w:left="20"/>
              <w:spacing w:after="0" w:line="131" w:lineRule="exact"/>
              <w:rPr>
                <w:sz w:val="20"/>
                <w:szCs w:val="20"/>
                <w:color w:val="auto"/>
              </w:rPr>
            </w:pPr>
            <w:r>
              <w:rPr>
                <w:rFonts w:ascii="Arial" w:cs="Arial" w:eastAsia="Arial" w:hAnsi="Arial"/>
                <w:sz w:val="14"/>
                <w:szCs w:val="14"/>
                <w:color w:val="auto"/>
              </w:rPr>
              <w:t>Boise</w:t>
            </w:r>
          </w:p>
        </w:tc>
        <w:tc>
          <w:tcPr>
            <w:tcW w:w="2720" w:type="dxa"/>
            <w:vAlign w:val="bottom"/>
            <w:gridSpan w:val="2"/>
          </w:tcPr>
          <w:p>
            <w:pPr>
              <w:jc w:val="center"/>
              <w:ind w:right="560"/>
              <w:spacing w:after="0" w:line="131" w:lineRule="exact"/>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9"/>
              </w:rPr>
              <w:t>International, IC Bus, Autocar, Kalmar</w:t>
            </w:r>
          </w:p>
        </w:tc>
        <w:tc>
          <w:tcPr>
            <w:tcW w:w="90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31"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Heyburn</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Idaho Falls</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9"/>
              </w:rPr>
              <w:t>International, IC Bus, Kalmar</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Lewiston</w:t>
            </w:r>
          </w:p>
        </w:tc>
        <w:tc>
          <w:tcPr>
            <w:tcW w:w="2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International</w:t>
            </w:r>
          </w:p>
        </w:tc>
        <w:tc>
          <w:tcPr>
            <w:tcW w:w="9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Twin Falls</w:t>
            </w:r>
          </w:p>
        </w:tc>
        <w:tc>
          <w:tcPr>
            <w:tcW w:w="2720" w:type="dxa"/>
            <w:vAlign w:val="bottom"/>
            <w:gridSpan w:val="2"/>
          </w:tcPr>
          <w:p>
            <w:pPr>
              <w:jc w:val="center"/>
              <w:ind w:right="560"/>
              <w:spacing w:after="0"/>
              <w:rPr>
                <w:sz w:val="20"/>
                <w:szCs w:val="20"/>
                <w:color w:val="auto"/>
              </w:rPr>
            </w:pPr>
            <w:r>
              <w:rPr>
                <w:rFonts w:ascii="Arial" w:cs="Arial" w:eastAsia="Arial" w:hAnsi="Arial"/>
                <w:sz w:val="14"/>
                <w:szCs w:val="14"/>
                <w:color w:val="auto"/>
                <w:w w:val="88"/>
              </w:rPr>
              <w:t>International</w:t>
            </w:r>
          </w:p>
        </w:tc>
        <w:tc>
          <w:tcPr>
            <w:tcW w:w="3560" w:type="dxa"/>
            <w:vAlign w:val="bottom"/>
            <w:gridSpan w:val="2"/>
          </w:tcPr>
          <w:p>
            <w:pPr>
              <w:jc w:val="center"/>
              <w:ind w:right="560"/>
              <w:spacing w:after="0"/>
              <w:rPr>
                <w:sz w:val="20"/>
                <w:szCs w:val="20"/>
                <w:color w:val="auto"/>
              </w:rPr>
            </w:pPr>
            <w:r>
              <w:rPr>
                <w:rFonts w:ascii="Arial" w:cs="Arial" w:eastAsia="Arial" w:hAnsi="Arial"/>
                <w:sz w:val="14"/>
                <w:szCs w:val="14"/>
                <w:color w:val="auto"/>
                <w:w w:val="88"/>
              </w:rPr>
              <w:t>International</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7"/>
        </w:trPr>
        <w:tc>
          <w:tcPr>
            <w:tcW w:w="286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New Mexico:</w:t>
            </w:r>
          </w:p>
        </w:tc>
        <w:tc>
          <w:tcPr>
            <w:tcW w:w="272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20" w:type="dxa"/>
            <w:vAlign w:val="bottom"/>
            <w:gridSpan w:val="2"/>
            <w:vMerge w:val="continue"/>
          </w:tcPr>
          <w:p>
            <w:pPr>
              <w:spacing w:after="0" w:line="20" w:lineRule="exact"/>
              <w:rPr>
                <w:sz w:val="1"/>
                <w:szCs w:val="1"/>
                <w:color w:val="auto"/>
              </w:rPr>
            </w:pPr>
          </w:p>
        </w:tc>
        <w:tc>
          <w:tcPr>
            <w:tcW w:w="356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7"/>
          </w:tcPr>
          <w:p>
            <w:pPr>
              <w:ind w:left="20"/>
              <w:spacing w:after="0" w:line="131" w:lineRule="exact"/>
              <w:rPr>
                <w:sz w:val="20"/>
                <w:szCs w:val="20"/>
                <w:color w:val="auto"/>
              </w:rPr>
            </w:pPr>
            <w:r>
              <w:rPr>
                <w:rFonts w:ascii="Arial" w:cs="Arial" w:eastAsia="Arial" w:hAnsi="Arial"/>
                <w:sz w:val="14"/>
                <w:szCs w:val="14"/>
                <w:color w:val="auto"/>
              </w:rPr>
              <w:t>Albuquerque</w:t>
            </w:r>
          </w:p>
        </w:tc>
        <w:tc>
          <w:tcPr>
            <w:tcW w:w="272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color w:val="auto"/>
              </w:rPr>
              <w:t>Las Cruces</w:t>
            </w:r>
          </w:p>
        </w:tc>
        <w:tc>
          <w:tcPr>
            <w:tcW w:w="272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356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Peterbilt</w:t>
            </w:r>
          </w:p>
        </w:tc>
        <w:tc>
          <w:tcPr>
            <w:tcW w:w="900" w:type="dxa"/>
            <w:vAlign w:val="bottom"/>
            <w:gridSpan w:val="2"/>
          </w:tcPr>
          <w:p>
            <w:pPr>
              <w:jc w:val="center"/>
              <w:ind w:right="580"/>
              <w:spacing w:after="0"/>
              <w:rPr>
                <w:sz w:val="20"/>
                <w:szCs w:val="20"/>
                <w:color w:val="auto"/>
              </w:rPr>
            </w:pPr>
            <w:r>
              <w:rPr>
                <w:rFonts w:ascii="Arial" w:cs="Arial" w:eastAsia="Arial" w:hAnsi="Arial"/>
                <w:sz w:val="14"/>
                <w:szCs w:val="14"/>
                <w:color w:val="auto"/>
                <w:w w:val="82"/>
              </w:rPr>
              <w:t>Yes</w:t>
            </w: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82"/>
              </w:rPr>
              <w:t>Yes</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6"/>
          </w:tcPr>
          <w:p>
            <w:pPr>
              <w:spacing w:after="0"/>
              <w:rPr>
                <w:sz w:val="20"/>
                <w:szCs w:val="20"/>
                <w:color w:val="auto"/>
              </w:rPr>
            </w:pPr>
            <w:r>
              <w:rPr>
                <w:rFonts w:ascii="Arial" w:cs="Arial" w:eastAsia="Arial" w:hAnsi="Arial"/>
                <w:sz w:val="14"/>
                <w:szCs w:val="14"/>
                <w:b w:val="1"/>
                <w:bCs w:val="1"/>
                <w:color w:val="auto"/>
              </w:rPr>
              <w:t>Rush Truck Center</w:t>
            </w: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Heavy-Duty</w:t>
            </w: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Medium-Duty, Light-Duty 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Body</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Location</w:t>
            </w:r>
          </w:p>
        </w:tc>
        <w:tc>
          <w:tcPr>
            <w:tcW w:w="1880" w:type="dxa"/>
            <w:vAlign w:val="bottom"/>
          </w:tcPr>
          <w:p>
            <w:pPr>
              <w:spacing w:after="0"/>
              <w:rPr>
                <w:sz w:val="12"/>
                <w:szCs w:val="12"/>
                <w:color w:val="auto"/>
              </w:rPr>
            </w:pPr>
          </w:p>
        </w:tc>
        <w:tc>
          <w:tcPr>
            <w:tcW w:w="296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Franchise(s)</w:t>
            </w:r>
          </w:p>
        </w:tc>
        <w:tc>
          <w:tcPr>
            <w:tcW w:w="29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Bus Franchise(s)</w:t>
            </w:r>
          </w:p>
        </w:tc>
        <w:tc>
          <w:tcPr>
            <w:tcW w:w="10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5"/>
              </w:rPr>
              <w:t>Parts</w:t>
            </w:r>
          </w:p>
        </w:tc>
        <w:tc>
          <w:tcPr>
            <w:tcW w:w="114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Service</w:t>
            </w: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Shop</w:t>
            </w:r>
          </w:p>
        </w:tc>
        <w:tc>
          <w:tcPr>
            <w:tcW w:w="0" w:type="dxa"/>
            <w:vAlign w:val="bottom"/>
          </w:tcPr>
          <w:p>
            <w:pPr>
              <w:spacing w:after="0"/>
              <w:rPr>
                <w:sz w:val="1"/>
                <w:szCs w:val="1"/>
                <w:color w:val="auto"/>
              </w:rPr>
            </w:pPr>
          </w:p>
        </w:tc>
      </w:tr>
      <w:tr>
        <w:trPr>
          <w:trHeight w:val="20"/>
        </w:trPr>
        <w:tc>
          <w:tcPr>
            <w:tcW w:w="3080" w:type="dxa"/>
            <w:vAlign w:val="bottom"/>
            <w:gridSpan w:val="6"/>
            <w:vMerge w:val="restart"/>
          </w:tcPr>
          <w:p>
            <w:pPr>
              <w:spacing w:after="0"/>
              <w:rPr>
                <w:sz w:val="20"/>
                <w:szCs w:val="20"/>
                <w:color w:val="auto"/>
              </w:rPr>
            </w:pPr>
            <w:r>
              <w:rPr>
                <w:rFonts w:ascii="Arial" w:cs="Arial" w:eastAsia="Arial" w:hAnsi="Arial"/>
                <w:sz w:val="14"/>
                <w:szCs w:val="14"/>
                <w:b w:val="1"/>
                <w:bCs w:val="1"/>
                <w:i w:val="1"/>
                <w:iCs w:val="1"/>
                <w:color w:val="auto"/>
              </w:rPr>
              <w:t>North Carolina:</w:t>
            </w:r>
          </w:p>
        </w:tc>
        <w:tc>
          <w:tcPr>
            <w:tcW w:w="2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gridSpan w:val="6"/>
            <w:vMerge w:val="continue"/>
          </w:tcPr>
          <w:p>
            <w:pPr>
              <w:spacing w:after="0"/>
              <w:rPr>
                <w:sz w:val="24"/>
                <w:szCs w:val="24"/>
                <w:color w:val="auto"/>
              </w:rPr>
            </w:pPr>
          </w:p>
        </w:tc>
        <w:tc>
          <w:tcPr>
            <w:tcW w:w="2960" w:type="dxa"/>
            <w:vAlign w:val="bottom"/>
            <w:gridSpan w:val="2"/>
            <w:vMerge w:val="restart"/>
          </w:tcPr>
          <w:p>
            <w:pPr>
              <w:jc w:val="center"/>
              <w:ind w:right="700"/>
              <w:spacing w:after="0"/>
              <w:rPr>
                <w:sz w:val="20"/>
                <w:szCs w:val="20"/>
                <w:color w:val="auto"/>
              </w:rPr>
            </w:pPr>
            <w:r>
              <w:rPr>
                <w:rFonts w:ascii="Arial" w:cs="Arial" w:eastAsia="Arial" w:hAnsi="Arial"/>
                <w:sz w:val="14"/>
                <w:szCs w:val="14"/>
                <w:color w:val="auto"/>
                <w:w w:val="89"/>
              </w:rPr>
              <w:t>Peterbilt</w:t>
            </w:r>
          </w:p>
        </w:tc>
        <w:tc>
          <w:tcPr>
            <w:tcW w:w="290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89"/>
              </w:rPr>
              <w:t>Peterbilt, Hino, Isuzu</w:t>
            </w: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74"/>
              </w:rPr>
              <w:t>Yes</w:t>
            </w:r>
          </w:p>
        </w:tc>
        <w:tc>
          <w:tcPr>
            <w:tcW w:w="114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82"/>
              </w:rPr>
              <w:t>Yes</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31"/>
        </w:trPr>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70"/>
              </w:rPr>
              <w:t>Charlotte</w:t>
            </w:r>
          </w:p>
        </w:tc>
        <w:tc>
          <w:tcPr>
            <w:tcW w:w="2220" w:type="dxa"/>
            <w:vAlign w:val="bottom"/>
            <w:gridSpan w:val="2"/>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2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ind w:left="20"/>
              <w:spacing w:after="0"/>
              <w:rPr>
                <w:sz w:val="20"/>
                <w:szCs w:val="20"/>
                <w:color w:val="auto"/>
              </w:rPr>
            </w:pPr>
            <w:r>
              <w:rPr>
                <w:rFonts w:ascii="Arial" w:cs="Arial" w:eastAsia="Arial" w:hAnsi="Arial"/>
                <w:sz w:val="14"/>
                <w:szCs w:val="14"/>
                <w:color w:val="auto"/>
              </w:rPr>
              <w:t>Charlotte</w:t>
            </w:r>
          </w:p>
        </w:tc>
        <w:tc>
          <w:tcPr>
            <w:tcW w:w="2960" w:type="dxa"/>
            <w:vAlign w:val="bottom"/>
            <w:gridSpan w:val="2"/>
          </w:tcPr>
          <w:p>
            <w:pPr>
              <w:jc w:val="center"/>
              <w:ind w:right="680"/>
              <w:spacing w:after="0"/>
              <w:rPr>
                <w:sz w:val="20"/>
                <w:szCs w:val="20"/>
                <w:color w:val="auto"/>
              </w:rPr>
            </w:pPr>
            <w:r>
              <w:rPr>
                <w:rFonts w:ascii="Arial" w:cs="Arial" w:eastAsia="Arial" w:hAnsi="Arial"/>
                <w:sz w:val="14"/>
                <w:szCs w:val="14"/>
                <w:color w:val="auto"/>
                <w:w w:val="88"/>
              </w:rPr>
              <w:t>International</w:t>
            </w: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color w:val="auto"/>
                <w:w w:val="87"/>
              </w:rPr>
              <w:t>International, Workhorse</w:t>
            </w: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298"/>
        </w:trPr>
        <w:tc>
          <w:tcPr>
            <w:tcW w:w="30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Oklahoma:</w:t>
            </w:r>
          </w:p>
        </w:tc>
        <w:tc>
          <w:tcPr>
            <w:tcW w:w="2960" w:type="dxa"/>
            <w:vAlign w:val="bottom"/>
            <w:gridSpan w:val="2"/>
            <w:vMerge w:val="restart"/>
          </w:tcPr>
          <w:p>
            <w:pPr>
              <w:jc w:val="center"/>
              <w:ind w:right="700"/>
              <w:spacing w:after="0"/>
              <w:rPr>
                <w:sz w:val="20"/>
                <w:szCs w:val="20"/>
                <w:color w:val="auto"/>
              </w:rPr>
            </w:pPr>
            <w:r>
              <w:rPr>
                <w:rFonts w:ascii="Arial" w:cs="Arial" w:eastAsia="Arial" w:hAnsi="Arial"/>
                <w:sz w:val="14"/>
                <w:szCs w:val="14"/>
                <w:color w:val="auto"/>
                <w:w w:val="89"/>
              </w:rPr>
              <w:t>Peterbilt</w:t>
            </w:r>
          </w:p>
        </w:tc>
        <w:tc>
          <w:tcPr>
            <w:tcW w:w="2900" w:type="dxa"/>
            <w:vAlign w:val="bottom"/>
            <w:gridSpan w:val="2"/>
            <w:vMerge w:val="restart"/>
          </w:tcPr>
          <w:p>
            <w:pPr>
              <w:jc w:val="center"/>
              <w:ind w:right="680"/>
              <w:spacing w:after="0"/>
              <w:rPr>
                <w:sz w:val="20"/>
                <w:szCs w:val="20"/>
                <w:color w:val="auto"/>
              </w:rPr>
            </w:pPr>
            <w:r>
              <w:rPr>
                <w:rFonts w:ascii="Arial" w:cs="Arial" w:eastAsia="Arial" w:hAnsi="Arial"/>
                <w:sz w:val="14"/>
                <w:szCs w:val="14"/>
                <w:color w:val="auto"/>
                <w:w w:val="89"/>
              </w:rPr>
              <w:t>Peterbilt</w:t>
            </w: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74"/>
              </w:rPr>
              <w:t>Yes</w:t>
            </w:r>
          </w:p>
        </w:tc>
        <w:tc>
          <w:tcPr>
            <w:tcW w:w="114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82"/>
              </w:rPr>
              <w:t>Yes</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00" w:type="dxa"/>
            <w:vAlign w:val="bottom"/>
            <w:tcBorders>
              <w:left w:val="single" w:sz="8" w:color="auto"/>
            </w:tcBorders>
            <w:gridSpan w:val="3"/>
          </w:tcPr>
          <w:p>
            <w:pPr>
              <w:spacing w:after="0" w:line="20" w:lineRule="exact"/>
              <w:rPr>
                <w:sz w:val="1"/>
                <w:szCs w:val="1"/>
                <w:color w:val="auto"/>
              </w:rPr>
            </w:pPr>
          </w:p>
        </w:tc>
        <w:tc>
          <w:tcPr>
            <w:tcW w:w="2960" w:type="dxa"/>
            <w:vAlign w:val="bottom"/>
            <w:gridSpan w:val="2"/>
            <w:vMerge w:val="continue"/>
          </w:tcPr>
          <w:p>
            <w:pPr>
              <w:spacing w:after="0" w:line="20" w:lineRule="exact"/>
              <w:rPr>
                <w:sz w:val="1"/>
                <w:szCs w:val="1"/>
                <w:color w:val="auto"/>
              </w:rPr>
            </w:pPr>
          </w:p>
        </w:tc>
        <w:tc>
          <w:tcPr>
            <w:tcW w:w="290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ind w:left="20"/>
              <w:spacing w:after="0" w:line="131" w:lineRule="exact"/>
              <w:rPr>
                <w:sz w:val="20"/>
                <w:szCs w:val="20"/>
                <w:color w:val="auto"/>
              </w:rPr>
            </w:pPr>
            <w:r>
              <w:rPr>
                <w:rFonts w:ascii="Arial" w:cs="Arial" w:eastAsia="Arial" w:hAnsi="Arial"/>
                <w:sz w:val="14"/>
                <w:szCs w:val="14"/>
                <w:color w:val="auto"/>
              </w:rPr>
              <w:t>Ardmore</w:t>
            </w:r>
          </w:p>
        </w:tc>
        <w:tc>
          <w:tcPr>
            <w:tcW w:w="2960" w:type="dxa"/>
            <w:vAlign w:val="bottom"/>
            <w:gridSpan w:val="2"/>
            <w:vMerge w:val="continue"/>
          </w:tcPr>
          <w:p>
            <w:pPr>
              <w:spacing w:after="0"/>
              <w:rPr>
                <w:sz w:val="11"/>
                <w:szCs w:val="11"/>
                <w:color w:val="auto"/>
              </w:rPr>
            </w:pPr>
          </w:p>
        </w:tc>
        <w:tc>
          <w:tcPr>
            <w:tcW w:w="2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Oklahoma City</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Peterbilt, Hino, Ford, Isuzu</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ind w:left="20"/>
              <w:spacing w:after="0"/>
              <w:rPr>
                <w:sz w:val="20"/>
                <w:szCs w:val="20"/>
                <w:color w:val="auto"/>
              </w:rPr>
            </w:pPr>
            <w:r>
              <w:rPr>
                <w:rFonts w:ascii="Arial" w:cs="Arial" w:eastAsia="Arial" w:hAnsi="Arial"/>
                <w:sz w:val="14"/>
                <w:szCs w:val="14"/>
                <w:color w:val="auto"/>
              </w:rPr>
              <w:t>Tulsa</w:t>
            </w: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Peterbilt, Hino</w:t>
            </w: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298"/>
        </w:trPr>
        <w:tc>
          <w:tcPr>
            <w:tcW w:w="30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Oregon:</w:t>
            </w: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60" w:type="dxa"/>
            <w:vAlign w:val="bottom"/>
            <w:gridSpan w:val="4"/>
          </w:tcPr>
          <w:p>
            <w:pPr>
              <w:ind w:left="20"/>
              <w:spacing w:after="0" w:line="155" w:lineRule="exact"/>
              <w:rPr>
                <w:sz w:val="20"/>
                <w:szCs w:val="20"/>
                <w:color w:val="auto"/>
              </w:rPr>
            </w:pPr>
            <w:r>
              <w:rPr>
                <w:rFonts w:ascii="Arial" w:cs="Arial" w:eastAsia="Arial" w:hAnsi="Arial"/>
                <w:sz w:val="14"/>
                <w:szCs w:val="14"/>
                <w:color w:val="auto"/>
              </w:rPr>
              <w:t>Ontario</w:t>
            </w:r>
          </w:p>
        </w:tc>
        <w:tc>
          <w:tcPr>
            <w:tcW w:w="2960" w:type="dxa"/>
            <w:vAlign w:val="bottom"/>
            <w:gridSpan w:val="2"/>
          </w:tcPr>
          <w:p>
            <w:pPr>
              <w:jc w:val="center"/>
              <w:ind w:right="680"/>
              <w:spacing w:after="0" w:line="155" w:lineRule="exact"/>
              <w:rPr>
                <w:sz w:val="20"/>
                <w:szCs w:val="20"/>
                <w:color w:val="auto"/>
              </w:rPr>
            </w:pPr>
            <w:r>
              <w:rPr>
                <w:rFonts w:ascii="Arial" w:cs="Arial" w:eastAsia="Arial" w:hAnsi="Arial"/>
                <w:sz w:val="14"/>
                <w:szCs w:val="14"/>
                <w:color w:val="auto"/>
                <w:w w:val="88"/>
              </w:rPr>
              <w:t>International</w:t>
            </w:r>
          </w:p>
        </w:tc>
        <w:tc>
          <w:tcPr>
            <w:tcW w:w="2900" w:type="dxa"/>
            <w:vAlign w:val="bottom"/>
            <w:gridSpan w:val="2"/>
          </w:tcPr>
          <w:p>
            <w:pPr>
              <w:jc w:val="center"/>
              <w:ind w:right="680"/>
              <w:spacing w:after="0" w:line="155" w:lineRule="exact"/>
              <w:rPr>
                <w:sz w:val="20"/>
                <w:szCs w:val="20"/>
                <w:color w:val="auto"/>
              </w:rPr>
            </w:pPr>
            <w:r>
              <w:rPr>
                <w:rFonts w:ascii="Arial" w:cs="Arial" w:eastAsia="Arial" w:hAnsi="Arial"/>
                <w:sz w:val="14"/>
                <w:szCs w:val="14"/>
                <w:color w:val="auto"/>
                <w:w w:val="90"/>
              </w:rPr>
              <w:t>International</w:t>
            </w:r>
          </w:p>
        </w:tc>
        <w:tc>
          <w:tcPr>
            <w:tcW w:w="1000" w:type="dxa"/>
            <w:vAlign w:val="bottom"/>
            <w:gridSpan w:val="2"/>
          </w:tcPr>
          <w:p>
            <w:pPr>
              <w:jc w:val="center"/>
              <w:ind w:right="660"/>
              <w:spacing w:after="0" w:line="155"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55"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55"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98"/>
        </w:trPr>
        <w:tc>
          <w:tcPr>
            <w:tcW w:w="30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Tennessee:</w:t>
            </w:r>
          </w:p>
        </w:tc>
        <w:tc>
          <w:tcPr>
            <w:tcW w:w="2960" w:type="dxa"/>
            <w:vAlign w:val="bottom"/>
            <w:gridSpan w:val="2"/>
            <w:vMerge w:val="restart"/>
          </w:tcPr>
          <w:p>
            <w:pPr>
              <w:jc w:val="center"/>
              <w:ind w:right="700"/>
              <w:spacing w:after="0"/>
              <w:rPr>
                <w:sz w:val="20"/>
                <w:szCs w:val="20"/>
                <w:color w:val="auto"/>
              </w:rPr>
            </w:pPr>
            <w:r>
              <w:rPr>
                <w:rFonts w:ascii="Arial" w:cs="Arial" w:eastAsia="Arial" w:hAnsi="Arial"/>
                <w:sz w:val="14"/>
                <w:szCs w:val="14"/>
                <w:color w:val="auto"/>
                <w:w w:val="89"/>
              </w:rPr>
              <w:t>Peterbilt</w:t>
            </w:r>
          </w:p>
        </w:tc>
        <w:tc>
          <w:tcPr>
            <w:tcW w:w="2900" w:type="dxa"/>
            <w:vAlign w:val="bottom"/>
            <w:gridSpan w:val="2"/>
            <w:vMerge w:val="restart"/>
          </w:tcPr>
          <w:p>
            <w:pPr>
              <w:jc w:val="center"/>
              <w:ind w:right="680"/>
              <w:spacing w:after="0"/>
              <w:rPr>
                <w:sz w:val="20"/>
                <w:szCs w:val="20"/>
                <w:color w:val="auto"/>
              </w:rPr>
            </w:pPr>
            <w:r>
              <w:rPr>
                <w:rFonts w:ascii="Arial" w:cs="Arial" w:eastAsia="Arial" w:hAnsi="Arial"/>
                <w:sz w:val="14"/>
                <w:szCs w:val="14"/>
                <w:color w:val="auto"/>
                <w:w w:val="89"/>
              </w:rPr>
              <w:t>Peterbilt</w:t>
            </w: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74"/>
              </w:rPr>
              <w:t>Yes</w:t>
            </w:r>
          </w:p>
        </w:tc>
        <w:tc>
          <w:tcPr>
            <w:tcW w:w="114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82"/>
              </w:rPr>
              <w:t>Yes</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960" w:type="dxa"/>
            <w:vAlign w:val="bottom"/>
            <w:gridSpan w:val="2"/>
            <w:vMerge w:val="continue"/>
          </w:tcPr>
          <w:p>
            <w:pPr>
              <w:spacing w:after="0" w:line="20" w:lineRule="exact"/>
              <w:rPr>
                <w:sz w:val="1"/>
                <w:szCs w:val="1"/>
                <w:color w:val="auto"/>
              </w:rPr>
            </w:pPr>
          </w:p>
        </w:tc>
        <w:tc>
          <w:tcPr>
            <w:tcW w:w="290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ind w:left="20"/>
              <w:spacing w:after="0"/>
              <w:rPr>
                <w:sz w:val="20"/>
                <w:szCs w:val="20"/>
                <w:color w:val="auto"/>
              </w:rPr>
            </w:pPr>
            <w:r>
              <w:rPr>
                <w:rFonts w:ascii="Arial" w:cs="Arial" w:eastAsia="Arial" w:hAnsi="Arial"/>
                <w:sz w:val="14"/>
                <w:szCs w:val="14"/>
                <w:color w:val="auto"/>
              </w:rPr>
              <w:t>Nashville</w:t>
            </w:r>
          </w:p>
        </w:tc>
        <w:tc>
          <w:tcPr>
            <w:tcW w:w="2960" w:type="dxa"/>
            <w:vAlign w:val="bottom"/>
            <w:gridSpan w:val="2"/>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30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Texas:</w:t>
            </w: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ind w:left="20"/>
              <w:spacing w:after="0" w:line="131" w:lineRule="exact"/>
              <w:rPr>
                <w:sz w:val="20"/>
                <w:szCs w:val="20"/>
                <w:color w:val="auto"/>
              </w:rPr>
            </w:pPr>
            <w:r>
              <w:rPr>
                <w:rFonts w:ascii="Arial" w:cs="Arial" w:eastAsia="Arial" w:hAnsi="Arial"/>
                <w:sz w:val="14"/>
                <w:szCs w:val="14"/>
                <w:color w:val="auto"/>
              </w:rPr>
              <w:t>Abilene</w:t>
            </w:r>
          </w:p>
        </w:tc>
        <w:tc>
          <w:tcPr>
            <w:tcW w:w="2960" w:type="dxa"/>
            <w:vAlign w:val="bottom"/>
            <w:gridSpan w:val="2"/>
          </w:tcPr>
          <w:p>
            <w:pPr>
              <w:jc w:val="center"/>
              <w:ind w:right="700"/>
              <w:spacing w:after="0" w:line="131"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31"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31"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31"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31"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Alice</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Peterbilt,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Amarillo</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Austin</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Peterbilt, Hino, Isuzu, UD, Blue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Micro Bird, 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Dalhart</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Dallas Heavy-Duty</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Peterbilt,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Dallas Medium-Duty</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None</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Peterbilt, Hino, UD,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Blue Bird, Micro Bird, 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Dallas</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None</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Ford, Isuzu</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El Paso</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Peterbilt, Hino, Isuzu</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Fort Worth</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Peterbilt, UD,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Hereford</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No</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Houston</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Peterbilt, Hino,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Laredo</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Peterbilt,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Lubbock</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Lufkin</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Peterbilt,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Odessa</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Peterbilt</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Pharr</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Peterbilt, Hino,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San Antonio</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Peterbilt, Hino,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74"/>
              </w:rPr>
              <w:t>Yes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Sealy</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Peterbilt, Isuzu,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Texarkana</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Peterbilt, Hino, Isuzu,</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Blue Bird, Micro Bird, 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Tyler</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Peterbilt, Blue Bird, Micro Bird,</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Elkhart</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Waco</w:t>
            </w:r>
          </w:p>
        </w:tc>
        <w:tc>
          <w:tcPr>
            <w:tcW w:w="2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Peterbilt</w:t>
            </w:r>
          </w:p>
        </w:tc>
        <w:tc>
          <w:tcPr>
            <w:tcW w:w="29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Peterbilt, Hino, Isuzu,</w:t>
            </w: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74"/>
              </w:rPr>
              <w:t>Yes</w:t>
            </w: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2"/>
              </w:rPr>
              <w:t>Yes</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Blue Bird, Micro Bird, Elkhart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Rush Truck Center</w:t>
            </w:r>
          </w:p>
        </w:tc>
        <w:tc>
          <w:tcPr>
            <w:tcW w:w="27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Heavy-Duty</w:t>
            </w:r>
          </w:p>
        </w:tc>
        <w:tc>
          <w:tcPr>
            <w:tcW w:w="2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Medium-Duty, Light-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0" w:type="dxa"/>
            <w:vAlign w:val="bottom"/>
            <w:gridSpan w:val="3"/>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264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Duty and</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Body</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Location</w:t>
            </w:r>
          </w:p>
        </w:tc>
        <w:tc>
          <w:tcPr>
            <w:tcW w:w="2000" w:type="dxa"/>
            <w:vAlign w:val="bottom"/>
          </w:tcPr>
          <w:p>
            <w:pPr>
              <w:spacing w:after="0"/>
              <w:rPr>
                <w:sz w:val="12"/>
                <w:szCs w:val="12"/>
                <w:color w:val="auto"/>
              </w:rPr>
            </w:pPr>
          </w:p>
        </w:tc>
        <w:tc>
          <w:tcPr>
            <w:tcW w:w="2720" w:type="dxa"/>
            <w:vAlign w:val="bottom"/>
            <w:gridSpan w:val="2"/>
          </w:tcPr>
          <w:p>
            <w:pPr>
              <w:ind w:left="600"/>
              <w:spacing w:after="0" w:line="129" w:lineRule="exact"/>
              <w:rPr>
                <w:sz w:val="20"/>
                <w:szCs w:val="20"/>
                <w:color w:val="auto"/>
              </w:rPr>
            </w:pPr>
            <w:r>
              <w:rPr>
                <w:rFonts w:ascii="Arial" w:cs="Arial" w:eastAsia="Arial" w:hAnsi="Arial"/>
                <w:sz w:val="14"/>
                <w:szCs w:val="14"/>
                <w:b w:val="1"/>
                <w:bCs w:val="1"/>
                <w:color w:val="auto"/>
              </w:rPr>
              <w:t>Franchise(s)</w:t>
            </w:r>
          </w:p>
        </w:tc>
        <w:tc>
          <w:tcPr>
            <w:tcW w:w="264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4"/>
              </w:rPr>
              <w:t>Bus Franchise(s)</w:t>
            </w:r>
          </w:p>
        </w:tc>
        <w:tc>
          <w:tcPr>
            <w:tcW w:w="12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5"/>
              </w:rPr>
              <w:t>Parts</w:t>
            </w:r>
          </w:p>
        </w:tc>
        <w:tc>
          <w:tcPr>
            <w:tcW w:w="13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Service</w:t>
            </w:r>
          </w:p>
        </w:tc>
        <w:tc>
          <w:tcPr>
            <w:tcW w:w="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Shop</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Utah:</w:t>
            </w:r>
          </w:p>
        </w:tc>
        <w:tc>
          <w:tcPr>
            <w:tcW w:w="1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0" w:type="dxa"/>
            <w:vAlign w:val="bottom"/>
            <w:tcBorders>
              <w:top w:val="single" w:sz="8" w:color="auto"/>
            </w:tcBorders>
          </w:tcPr>
          <w:p>
            <w:pPr>
              <w:spacing w:after="0"/>
              <w:rPr>
                <w:sz w:val="11"/>
                <w:szCs w:val="11"/>
                <w:color w:val="auto"/>
              </w:rPr>
            </w:pPr>
          </w:p>
        </w:tc>
        <w:tc>
          <w:tcPr>
            <w:tcW w:w="292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Helper</w:t>
            </w:r>
          </w:p>
        </w:tc>
        <w:tc>
          <w:tcPr>
            <w:tcW w:w="2720" w:type="dxa"/>
            <w:vAlign w:val="bottom"/>
            <w:gridSpan w:val="2"/>
          </w:tcPr>
          <w:p>
            <w:pPr>
              <w:ind w:left="620"/>
              <w:spacing w:after="0" w:line="131" w:lineRule="exact"/>
              <w:rPr>
                <w:sz w:val="20"/>
                <w:szCs w:val="20"/>
                <w:color w:val="auto"/>
              </w:rPr>
            </w:pPr>
            <w:r>
              <w:rPr>
                <w:rFonts w:ascii="Arial" w:cs="Arial" w:eastAsia="Arial" w:hAnsi="Arial"/>
                <w:sz w:val="14"/>
                <w:szCs w:val="14"/>
                <w:color w:val="auto"/>
              </w:rPr>
              <w:t>International</w:t>
            </w:r>
          </w:p>
        </w:tc>
        <w:tc>
          <w:tcPr>
            <w:tcW w:w="2640" w:type="dxa"/>
            <w:vAlign w:val="bottom"/>
            <w:gridSpan w:val="2"/>
          </w:tcPr>
          <w:p>
            <w:pPr>
              <w:jc w:val="center"/>
              <w:ind w:right="900"/>
              <w:spacing w:after="0" w:line="131" w:lineRule="exact"/>
              <w:rPr>
                <w:sz w:val="20"/>
                <w:szCs w:val="20"/>
                <w:color w:val="auto"/>
              </w:rPr>
            </w:pPr>
            <w:r>
              <w:rPr>
                <w:rFonts w:ascii="Arial" w:cs="Arial" w:eastAsia="Arial" w:hAnsi="Arial"/>
                <w:sz w:val="14"/>
                <w:szCs w:val="14"/>
                <w:color w:val="auto"/>
                <w:w w:val="90"/>
              </w:rPr>
              <w:t>International</w:t>
            </w:r>
          </w:p>
        </w:tc>
        <w:tc>
          <w:tcPr>
            <w:tcW w:w="1220" w:type="dxa"/>
            <w:vAlign w:val="bottom"/>
            <w:gridSpan w:val="2"/>
          </w:tcPr>
          <w:p>
            <w:pPr>
              <w:jc w:val="center"/>
              <w:ind w:right="900"/>
              <w:spacing w:after="0" w:line="131" w:lineRule="exact"/>
              <w:rPr>
                <w:sz w:val="20"/>
                <w:szCs w:val="20"/>
                <w:color w:val="auto"/>
              </w:rPr>
            </w:pPr>
            <w:r>
              <w:rPr>
                <w:rFonts w:ascii="Arial" w:cs="Arial" w:eastAsia="Arial" w:hAnsi="Arial"/>
                <w:sz w:val="14"/>
                <w:szCs w:val="14"/>
                <w:color w:val="auto"/>
                <w:w w:val="82"/>
              </w:rPr>
              <w:t>Yes</w:t>
            </w:r>
          </w:p>
        </w:tc>
        <w:tc>
          <w:tcPr>
            <w:tcW w:w="1320" w:type="dxa"/>
            <w:vAlign w:val="bottom"/>
            <w:gridSpan w:val="2"/>
          </w:tcPr>
          <w:p>
            <w:pPr>
              <w:jc w:val="center"/>
              <w:ind w:right="900"/>
              <w:spacing w:after="0" w:line="131" w:lineRule="exact"/>
              <w:rPr>
                <w:sz w:val="20"/>
                <w:szCs w:val="20"/>
                <w:color w:val="auto"/>
              </w:rPr>
            </w:pPr>
            <w:r>
              <w:rPr>
                <w:rFonts w:ascii="Arial" w:cs="Arial" w:eastAsia="Arial" w:hAnsi="Arial"/>
                <w:sz w:val="14"/>
                <w:szCs w:val="14"/>
                <w:color w:val="auto"/>
                <w:w w:val="74"/>
              </w:rPr>
              <w:t>Yes</w:t>
            </w:r>
          </w:p>
        </w:tc>
        <w:tc>
          <w:tcPr>
            <w:tcW w:w="320" w:type="dxa"/>
            <w:vAlign w:val="bottom"/>
          </w:tcPr>
          <w:p>
            <w:pPr>
              <w:jc w:val="center"/>
              <w:spacing w:after="0" w:line="131"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Farr West</w:t>
            </w:r>
          </w:p>
        </w:tc>
        <w:tc>
          <w:tcPr>
            <w:tcW w:w="27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International</w:t>
            </w:r>
          </w:p>
        </w:tc>
        <w:tc>
          <w:tcPr>
            <w:tcW w:w="264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9"/>
              </w:rPr>
              <w:t>International, IC Bus</w:t>
            </w:r>
          </w:p>
        </w:tc>
        <w:tc>
          <w:tcPr>
            <w:tcW w:w="12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2"/>
              </w:rPr>
              <w:t>Yes</w:t>
            </w:r>
          </w:p>
        </w:tc>
        <w:tc>
          <w:tcPr>
            <w:tcW w:w="13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74"/>
              </w:rPr>
              <w:t>Yes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Salt Lake City</w:t>
            </w:r>
          </w:p>
        </w:tc>
        <w:tc>
          <w:tcPr>
            <w:tcW w:w="27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International</w:t>
            </w:r>
          </w:p>
        </w:tc>
        <w:tc>
          <w:tcPr>
            <w:tcW w:w="264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8"/>
              </w:rPr>
              <w:t>International, IC Bus, Autocar,</w:t>
            </w:r>
          </w:p>
        </w:tc>
        <w:tc>
          <w:tcPr>
            <w:tcW w:w="12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2"/>
              </w:rPr>
              <w:t>Yes</w:t>
            </w:r>
          </w:p>
        </w:tc>
        <w:tc>
          <w:tcPr>
            <w:tcW w:w="13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74"/>
              </w:rPr>
              <w:t>Yes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4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9"/>
              </w:rPr>
              <w:t>Mitsubishi Fuso, Workhorse</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Springville</w:t>
            </w:r>
          </w:p>
        </w:tc>
        <w:tc>
          <w:tcPr>
            <w:tcW w:w="27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International</w:t>
            </w:r>
          </w:p>
        </w:tc>
        <w:tc>
          <w:tcPr>
            <w:tcW w:w="264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8"/>
              </w:rPr>
              <w:t>International, Mitsubishi Fuso</w:t>
            </w:r>
          </w:p>
        </w:tc>
        <w:tc>
          <w:tcPr>
            <w:tcW w:w="12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2"/>
              </w:rPr>
              <w:t>Yes</w:t>
            </w:r>
          </w:p>
        </w:tc>
        <w:tc>
          <w:tcPr>
            <w:tcW w:w="13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74"/>
              </w:rPr>
              <w:t>Yes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920" w:type="dxa"/>
            <w:vAlign w:val="bottom"/>
            <w:gridSpan w:val="2"/>
          </w:tcPr>
          <w:p>
            <w:pPr>
              <w:ind w:left="160"/>
              <w:spacing w:after="0"/>
              <w:rPr>
                <w:sz w:val="20"/>
                <w:szCs w:val="20"/>
                <w:color w:val="auto"/>
              </w:rPr>
            </w:pPr>
            <w:r>
              <w:rPr>
                <w:rFonts w:ascii="Arial" w:cs="Arial" w:eastAsia="Arial" w:hAnsi="Arial"/>
                <w:sz w:val="14"/>
                <w:szCs w:val="14"/>
                <w:color w:val="auto"/>
              </w:rPr>
              <w:t>St. George</w:t>
            </w:r>
          </w:p>
        </w:tc>
        <w:tc>
          <w:tcPr>
            <w:tcW w:w="2720" w:type="dxa"/>
            <w:vAlign w:val="bottom"/>
            <w:gridSpan w:val="2"/>
          </w:tcPr>
          <w:p>
            <w:pPr>
              <w:ind w:left="620"/>
              <w:spacing w:after="0"/>
              <w:rPr>
                <w:sz w:val="20"/>
                <w:szCs w:val="20"/>
                <w:color w:val="auto"/>
              </w:rPr>
            </w:pPr>
            <w:r>
              <w:rPr>
                <w:rFonts w:ascii="Arial" w:cs="Arial" w:eastAsia="Arial" w:hAnsi="Arial"/>
                <w:sz w:val="14"/>
                <w:szCs w:val="14"/>
                <w:color w:val="auto"/>
              </w:rPr>
              <w:t>International</w:t>
            </w:r>
          </w:p>
        </w:tc>
        <w:tc>
          <w:tcPr>
            <w:tcW w:w="2640" w:type="dxa"/>
            <w:vAlign w:val="bottom"/>
            <w:gridSpan w:val="2"/>
          </w:tcPr>
          <w:p>
            <w:pPr>
              <w:jc w:val="center"/>
              <w:ind w:right="900"/>
              <w:spacing w:after="0"/>
              <w:rPr>
                <w:sz w:val="20"/>
                <w:szCs w:val="20"/>
                <w:color w:val="auto"/>
              </w:rPr>
            </w:pPr>
            <w:r>
              <w:rPr>
                <w:rFonts w:ascii="Arial" w:cs="Arial" w:eastAsia="Arial" w:hAnsi="Arial"/>
                <w:sz w:val="14"/>
                <w:szCs w:val="14"/>
                <w:color w:val="auto"/>
                <w:w w:val="88"/>
              </w:rPr>
              <w:t>International, Mitsubishi Fuso</w:t>
            </w:r>
          </w:p>
        </w:tc>
        <w:tc>
          <w:tcPr>
            <w:tcW w:w="1220" w:type="dxa"/>
            <w:vAlign w:val="bottom"/>
            <w:gridSpan w:val="2"/>
          </w:tcPr>
          <w:p>
            <w:pPr>
              <w:jc w:val="center"/>
              <w:ind w:right="900"/>
              <w:spacing w:after="0"/>
              <w:rPr>
                <w:sz w:val="20"/>
                <w:szCs w:val="20"/>
                <w:color w:val="auto"/>
              </w:rPr>
            </w:pPr>
            <w:r>
              <w:rPr>
                <w:rFonts w:ascii="Arial" w:cs="Arial" w:eastAsia="Arial" w:hAnsi="Arial"/>
                <w:sz w:val="14"/>
                <w:szCs w:val="14"/>
                <w:color w:val="auto"/>
                <w:w w:val="82"/>
              </w:rPr>
              <w:t>Yes</w:t>
            </w:r>
          </w:p>
        </w:tc>
        <w:tc>
          <w:tcPr>
            <w:tcW w:w="1320" w:type="dxa"/>
            <w:vAlign w:val="bottom"/>
            <w:gridSpan w:val="2"/>
          </w:tcPr>
          <w:p>
            <w:pPr>
              <w:jc w:val="center"/>
              <w:ind w:right="900"/>
              <w:spacing w:after="0"/>
              <w:rPr>
                <w:sz w:val="20"/>
                <w:szCs w:val="20"/>
                <w:color w:val="auto"/>
              </w:rPr>
            </w:pPr>
            <w:r>
              <w:rPr>
                <w:rFonts w:ascii="Arial" w:cs="Arial" w:eastAsia="Arial" w:hAnsi="Arial"/>
                <w:sz w:val="14"/>
                <w:szCs w:val="14"/>
                <w:color w:val="auto"/>
                <w:w w:val="74"/>
              </w:rPr>
              <w:t>Yes</w:t>
            </w:r>
          </w:p>
        </w:tc>
        <w:tc>
          <w:tcPr>
            <w:tcW w:w="32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i w:val="1"/>
          <w:iCs w:val="1"/>
          <w:color w:val="auto"/>
        </w:rPr>
        <w:t xml:space="preserve">Leasing and Rental Services. </w:t>
      </w:r>
      <w:r>
        <w:rPr>
          <w:rFonts w:ascii="Arial" w:cs="Arial" w:eastAsia="Arial" w:hAnsi="Arial"/>
          <w:sz w:val="18"/>
          <w:szCs w:val="18"/>
          <w:color w:val="auto"/>
        </w:rPr>
        <w:t>Through certain of our Rush Truck Centers and several stand-alone Rush Truck Leasing Centers, we provide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line of product selections for lease or rent, including Class 4, Class 5, Class 6, Class 7 and Class 8 trucks, heavy-duty cranes and refuse vehicles. Our lease and rental fleets are offered on a daily, monthly or long-term basis.</w:t>
      </w:r>
    </w:p>
    <w:p>
      <w:pPr>
        <w:spacing w:after="0" w:line="11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dealerships, we offer third-party financing to assist customers in purchasing new and used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Additionally, we sell, as agent, a complete line of property and casualty insurance, including collision and liability insurance on commercial vehicles, cargo insurance and credit life insurance.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50"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 network that provides service solutions to the commercial vehicle industry. Our</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includes the following key elements:</w:t>
      </w:r>
    </w:p>
    <w:p>
      <w:pPr>
        <w:spacing w:after="0" w:line="118" w:lineRule="exact"/>
        <w:rPr>
          <w:sz w:val="20"/>
          <w:szCs w:val="20"/>
          <w:color w:val="auto"/>
        </w:rPr>
      </w:pPr>
    </w:p>
    <w:p>
      <w:pPr>
        <w:jc w:val="both"/>
        <w:ind w:left="1480" w:hanging="446"/>
        <w:spacing w:after="0" w:line="255"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commercial vehicle dealerships as “one-stop centers” where, at one convenient location, our customers can do the following: purchase new and used commercial vehicles; finance, lease or rent commercial vehicles;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commercial vehicle sales.</w:t>
      </w:r>
    </w:p>
    <w:p>
      <w:pPr>
        <w:spacing w:after="0" w:line="129" w:lineRule="exact"/>
        <w:rPr>
          <w:rFonts w:ascii="Arial" w:cs="Arial" w:eastAsia="Arial" w:hAnsi="Arial"/>
          <w:sz w:val="18"/>
          <w:szCs w:val="18"/>
          <w:color w:val="auto"/>
        </w:rPr>
      </w:pPr>
    </w:p>
    <w:p>
      <w:pPr>
        <w:jc w:val="both"/>
        <w:ind w:left="1480" w:hanging="446"/>
        <w:spacing w:after="0" w:line="259"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26" w:lineRule="exact"/>
        <w:rPr>
          <w:rFonts w:ascii="Arial" w:cs="Arial" w:eastAsia="Arial" w:hAnsi="Arial"/>
          <w:sz w:val="18"/>
          <w:szCs w:val="18"/>
          <w:color w:val="auto"/>
        </w:rPr>
      </w:pPr>
    </w:p>
    <w:p>
      <w:pPr>
        <w:jc w:val="both"/>
        <w:ind w:left="1480" w:hanging="446"/>
        <w:spacing w:after="0" w:line="294"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Management by Dealership Units</w:t>
      </w:r>
      <w:r>
        <w:rPr>
          <w:rFonts w:ascii="Arial" w:cs="Arial" w:eastAsia="Arial" w:hAnsi="Arial"/>
          <w:sz w:val="16"/>
          <w:szCs w:val="16"/>
          <w:color w:val="auto"/>
        </w:rPr>
        <w:t>. At each of our dealerships, we operate one or more of the following departments: new commercial vehicle sales, used commercial vehicle sales, financial services, parts, service or body shop. Our general managers measure and manage the operations of each of our dealerships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02" w:lineRule="exact"/>
        <w:rPr>
          <w:rFonts w:ascii="Arial" w:cs="Arial" w:eastAsia="Arial" w:hAnsi="Arial"/>
          <w:sz w:val="16"/>
          <w:szCs w:val="16"/>
          <w:color w:val="auto"/>
        </w:rPr>
      </w:pPr>
    </w:p>
    <w:p>
      <w:pPr>
        <w:jc w:val="both"/>
        <w:ind w:left="1480" w:hanging="446"/>
        <w:spacing w:after="0" w:line="306"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Aftermarket Services.</w:t>
      </w:r>
      <w:r>
        <w:rPr>
          <w:rFonts w:ascii="Arial" w:cs="Arial" w:eastAsia="Arial" w:hAnsi="Arial"/>
          <w:sz w:val="16"/>
          <w:szCs w:val="16"/>
          <w:color w:val="auto"/>
        </w:rPr>
        <w:t xml:space="preserve"> The Company’s aftermarket capabilities now include a wide range of services and products such as a fleet of mobile service units, mobile technicians who staff customers’ facilities, a proprietary line of parts and accessories, new diagnostic and analysis capabilities, factory certified service for alternative fuel vehicles and assembly service for specialized bodies and equipment.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expansion and acquisition initiatives, we have grown to operate a large, multistate, full-service network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dealerships. As described below, we intend to continue to grow our business internally and through acquisitions by expanding into new geographic areas, expanding our product and service offerings and opening new dealerships in existing markets.</w:t>
      </w:r>
    </w:p>
    <w:p>
      <w:pPr>
        <w:spacing w:after="0" w:line="127" w:lineRule="exact"/>
        <w:rPr>
          <w:sz w:val="20"/>
          <w:szCs w:val="20"/>
          <w:color w:val="auto"/>
        </w:rPr>
      </w:pPr>
    </w:p>
    <w:p>
      <w:pPr>
        <w:jc w:val="both"/>
        <w:ind w:left="1480" w:hanging="446"/>
        <w:spacing w:after="0" w:line="294"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Expansion Into New Geographic Areas.</w:t>
      </w:r>
      <w:r>
        <w:rPr>
          <w:rFonts w:ascii="Arial" w:cs="Arial" w:eastAsia="Arial" w:hAnsi="Arial"/>
          <w:sz w:val="16"/>
          <w:szCs w:val="16"/>
          <w:color w:val="auto"/>
        </w:rPr>
        <w:t xml:space="preserve"> We plan to continue to expand our dealership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commercial vehicles and parts by allowing us to allocate our inventory among the geographic regions we serve based on market demand within these regions.</w:t>
      </w:r>
    </w:p>
    <w:p>
      <w:pPr>
        <w:spacing w:after="0" w:line="102" w:lineRule="exact"/>
        <w:rPr>
          <w:rFonts w:ascii="Arial" w:cs="Arial" w:eastAsia="Arial" w:hAnsi="Arial"/>
          <w:sz w:val="16"/>
          <w:szCs w:val="16"/>
          <w:color w:val="auto"/>
        </w:rPr>
      </w:pPr>
    </w:p>
    <w:p>
      <w:pPr>
        <w:jc w:val="both"/>
        <w:ind w:left="1480" w:hanging="446"/>
        <w:spacing w:after="0" w:line="259"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Expansion of Product and Service Offerings.</w:t>
      </w:r>
      <w:r>
        <w:rPr>
          <w:rFonts w:ascii="Arial" w:cs="Arial" w:eastAsia="Arial" w:hAnsi="Arial"/>
          <w:sz w:val="18"/>
          <w:szCs w:val="18"/>
          <w:color w:val="auto"/>
        </w:rPr>
        <w:t xml:space="preserve"> We intend to continue to expand our product lines within our dealerships by adding product categories and service capabilities that are both complementary to our existing product lines and well suited to our operating model such as truck mounted cranes, refuse vehicles and towing vehicles.</w:t>
      </w:r>
    </w:p>
    <w:p>
      <w:pPr>
        <w:spacing w:after="0" w:line="113" w:lineRule="exact"/>
        <w:rPr>
          <w:rFonts w:ascii="Arial" w:cs="Arial" w:eastAsia="Arial" w:hAnsi="Arial"/>
          <w:sz w:val="18"/>
          <w:szCs w:val="18"/>
          <w:color w:val="auto"/>
        </w:rPr>
      </w:pPr>
    </w:p>
    <w:p>
      <w:pPr>
        <w:jc w:val="both"/>
        <w:ind w:left="1500"/>
        <w:spacing w:after="0" w:line="306" w:lineRule="auto"/>
        <w:rPr>
          <w:rFonts w:ascii="Arial" w:cs="Arial" w:eastAsia="Arial" w:hAnsi="Arial"/>
          <w:sz w:val="18"/>
          <w:szCs w:val="18"/>
          <w:color w:val="auto"/>
        </w:rPr>
      </w:pPr>
      <w:r>
        <w:rPr>
          <w:rFonts w:ascii="Arial" w:cs="Arial" w:eastAsia="Arial" w:hAnsi="Arial"/>
          <w:sz w:val="16"/>
          <w:szCs w:val="16"/>
          <w:color w:val="auto"/>
        </w:rPr>
        <w:t>We believe that there are many additional product and service offerings that would complement our primary product lines. We expect any product category expansion that we pursue to satisfy our requirements that the products serve a commercial customer base and the products provide opportunities for incremental income through related aftermarket sales, service or financing.</w:t>
      </w:r>
    </w:p>
    <w:p>
      <w:pPr>
        <w:spacing w:after="0" w:line="93"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xml:space="preserve"> We continually evaluate opportunities to increase our market share by adding new Rush Truck Centers to underserved markets within our current areas of operation.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manage our dealerships as described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144"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u w:val="single" w:color="auto"/>
          <w:color w:val="auto"/>
        </w:rPr>
        <w:t>Commercial Vehicle Parts and Service</w:t>
      </w:r>
      <w:r>
        <w:rPr>
          <w:rFonts w:ascii="Arial" w:cs="Arial" w:eastAsia="Arial" w:hAnsi="Arial"/>
          <w:sz w:val="16"/>
          <w:szCs w:val="16"/>
          <w:color w:val="auto"/>
        </w:rPr>
        <w:t>. Commercial vehicle related parts and service revenues accounted for approximately $675.3 million, or 26.2%, of our total revenues for 2011, but 63.0%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makes and classes of commercial vehicles. Each Rush Truck Center is a warranty service center for the commercial vehicle manufacturers represented at that location and most are also authorized service centers for other manufacturers, including, Caterpillar, Cummins, Eaton and Allison. We have more than 1,000 service and body shop bays throughout our Rush Truck Center network. We also have approximately 180 field service trucks and technicians who make on-site repairs at our customers’ locations.</w:t>
      </w:r>
    </w:p>
    <w:p>
      <w:pPr>
        <w:spacing w:after="0" w:line="9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We perform traditional warranty and non-warranty service work on commercial vehicles. The cost of warranty work is generally reimbursed by the applicable manufacturer at retail commercial rates. Additionally, we provide a wide array of services, including assembly service for specialized truck bodies and truck mounted equipment. Our goal is to provide our customer any service that they need related to their commercial vehicles.</w:t>
      </w:r>
    </w:p>
    <w:p>
      <w:pPr>
        <w:spacing w:after="0" w:line="8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As part of our leasing and rental operations, we enter into contracts with customers to provide full-service maintenance on their trucks. We had 637 units under contract maintenance as of December 31, 2011, and 825 units under contract maintenance as of December 31,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u w:val="single" w:color="auto"/>
          <w:color w:val="auto"/>
        </w:rPr>
        <w:t>New Commercial Vehicle Sales</w:t>
      </w:r>
      <w:r>
        <w:rPr>
          <w:rFonts w:ascii="Arial" w:cs="Arial" w:eastAsia="Arial" w:hAnsi="Arial"/>
          <w:sz w:val="18"/>
          <w:szCs w:val="18"/>
          <w:color w:val="auto"/>
        </w:rPr>
        <w:t>. New heavy-duty truck sales represent the largest portion of our revenue, accounting for approximately $1,186.5 million, or 46.0%, of our total revenues in 2011. New Class 8 heavy-duty Peterbilt truck sales accounted for approximately 73.8% of our new commercial vehicle revenues for 2011.</w:t>
      </w:r>
    </w:p>
    <w:p>
      <w:pPr>
        <w:spacing w:after="0" w:line="113"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Our Rush Truck Centers that sell new and used Class 8 heavy-duty trucks also sell medium-duty and light-duty commercial vehicles. Certain Rush Truck Centers sell medium-duty commercial vehicles manufactured by Peterbilt, Hino, Isuzu, Ford, International, Mitsubishi Fuso or UD and buses manufactured by Blue Bird, Diamond Coach, IC BUS and Elkhart and light-duty commercial vehicles manufactured by Ford (see Part I, Item 1, “General – </w:t>
      </w:r>
      <w:r>
        <w:rPr>
          <w:rFonts w:ascii="Arial" w:cs="Arial" w:eastAsia="Arial" w:hAnsi="Arial"/>
          <w:sz w:val="16"/>
          <w:szCs w:val="16"/>
          <w:i w:val="1"/>
          <w:iCs w:val="1"/>
          <w:color w:val="auto"/>
        </w:rPr>
        <w:t>Rush Truck</w:t>
      </w:r>
      <w:r>
        <w:rPr>
          <w:rFonts w:ascii="Arial" w:cs="Arial" w:eastAsia="Arial" w:hAnsi="Arial"/>
          <w:sz w:val="16"/>
          <w:szCs w:val="16"/>
          <w:color w:val="auto"/>
        </w:rPr>
        <w:t xml:space="preserve"> </w:t>
      </w:r>
      <w:r>
        <w:rPr>
          <w:rFonts w:ascii="Arial" w:cs="Arial" w:eastAsia="Arial" w:hAnsi="Arial"/>
          <w:sz w:val="16"/>
          <w:szCs w:val="16"/>
          <w:i w:val="1"/>
          <w:iCs w:val="1"/>
          <w:color w:val="auto"/>
        </w:rPr>
        <w:t>Centers</w:t>
      </w:r>
      <w:r>
        <w:rPr>
          <w:rFonts w:ascii="Arial" w:cs="Arial" w:eastAsia="Arial" w:hAnsi="Arial"/>
          <w:sz w:val="16"/>
          <w:szCs w:val="16"/>
          <w:color w:val="auto"/>
        </w:rPr>
        <w:t>” for information on which brands we sell at each Rush Truck Center). New medium-duty commercial vehicle sales, excluding new bus sales, accounted</w:t>
      </w:r>
      <w:r>
        <w:rPr>
          <w:rFonts w:ascii="Arial" w:cs="Arial" w:eastAsia="Arial" w:hAnsi="Arial"/>
          <w:sz w:val="16"/>
          <w:szCs w:val="16"/>
          <w:i w:val="1"/>
          <w:iCs w:val="1"/>
          <w:color w:val="auto"/>
        </w:rPr>
        <w:t xml:space="preserve"> </w:t>
      </w:r>
      <w:r>
        <w:rPr>
          <w:rFonts w:ascii="Arial" w:cs="Arial" w:eastAsia="Arial" w:hAnsi="Arial"/>
          <w:sz w:val="16"/>
          <w:szCs w:val="16"/>
          <w:color w:val="auto"/>
        </w:rPr>
        <w:t>for approximately $279.3 million, or 10.8% of our total revenues for 2011, and 17.4% of our new commercial vehicle revenues for 2011. New light-duty commercial vehicle sales accounted for approximately $33.3 million, or 1.3% of our total revenues for 2011, and 2.1% of our new commercial vehicle revenues for 2011. New bus sales accounted for approximately $101.4 million, or 3.9% of our total revenues for 2011, and 6.3% of our new commercial vehicle revenues for 2011.</w:t>
      </w:r>
    </w:p>
    <w:p>
      <w:pPr>
        <w:spacing w:after="0" w:line="308"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A significant portion of our new commercial vehicle sales are to fleet customers (customers who purchase more than five commercial vehicles in any 12-month period). Because of the size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 in that we can absorb multi-unit trade-ins often associated with fleet sales and effectively disperse the used commercial vehicles for resale throughout our dealership network. We believe that our attention to customer service and our broad range of trucking services, including our ability to offer commercial vehicle financing and insurance to our customers, has resulted in a high level of customer loyalty.</w:t>
      </w:r>
    </w:p>
    <w:p>
      <w:pPr>
        <w:spacing w:after="0" w:line="9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u w:val="single" w:color="auto"/>
          <w:color w:val="auto"/>
        </w:rPr>
        <w:t>Used Commercial Vehicle Sales</w:t>
      </w:r>
      <w:r>
        <w:rPr>
          <w:rFonts w:ascii="Arial" w:cs="Arial" w:eastAsia="Arial" w:hAnsi="Arial"/>
          <w:sz w:val="16"/>
          <w:szCs w:val="16"/>
          <w:color w:val="auto"/>
        </w:rPr>
        <w:t>. Used commercial vehicle sales accounted for approximately $193.3 million, or 7.5%, of our total revenues for 2011. We sell used commercial vehicles at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to satisfy customer demand. The majority of our used commercial vehicle inventory consists of commercial vehicles taken as trade-ins from new customers, but we supplement our used commercial vehicle inventory by purchasing used commercial vehicles from third parties for resale.</w:t>
      </w:r>
    </w:p>
    <w:p>
      <w:pPr>
        <w:spacing w:after="0" w:line="89"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u w:val="single" w:color="auto"/>
          <w:color w:val="auto"/>
        </w:rPr>
        <w:t>Truck Leasing and Rental</w:t>
      </w:r>
      <w:r>
        <w:rPr>
          <w:rFonts w:ascii="Arial" w:cs="Arial" w:eastAsia="Arial" w:hAnsi="Arial"/>
          <w:sz w:val="16"/>
          <w:szCs w:val="16"/>
          <w:color w:val="auto"/>
        </w:rPr>
        <w:t>. Truck leasing and rental revenues accounted for approximately $83.4 million, or 3.2%, of our total revenues for 2011. At our Rush Truck Leasing locations, we engage in full-service truck leasing under the PacLease and Idealease trade names.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3,363 units in our lease and rental fleet as of December 31, 2011 compared to 2,984 units as of December 31, 2010. Generally, we sell trucks that have been retired from our lease and rental fleet through the used sales operations at our Rush Truck Centers. Historically, we have realized gains on the sale of used lease trucks in excess of the cost of the purchase option contained in our leases or the book value of trucks owned by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Insurance Products</w:t>
      </w:r>
    </w:p>
    <w:p>
      <w:pPr>
        <w:spacing w:after="0" w:line="14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sale of financial and insurance products accounted for approximately $10.9 million, or 0.4%, of our total revenue for 2011. Finance and insurance revenues have minimal direct costs and, therefore, contribute a disproportionate share of our operating profits.</w:t>
      </w:r>
    </w:p>
    <w:p>
      <w:pPr>
        <w:spacing w:after="0" w:line="10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u w:val="single" w:color="auto"/>
          <w:color w:val="auto"/>
        </w:rPr>
        <w:t>Insurance Products</w:t>
      </w:r>
      <w:r>
        <w:rPr>
          <w:rFonts w:ascii="Arial" w:cs="Arial" w:eastAsia="Arial" w:hAnsi="Arial"/>
          <w:sz w:val="18"/>
          <w:szCs w:val="18"/>
          <w:color w:val="auto"/>
        </w:rPr>
        <w:t>. We sell, as agent, a complete line of property and casualty insurance to our commercial vehicle customers and other truck owners. Our agency is licensed to sell truck liability, collision and comprehensive, workers’ compensation, cargo, credit life and occupational accident insurance coverage. We serve as sales representatives for a number of leading insurance companies including the Great American Insurance Companies, Sentry Insurance and Hartford Insurance Group. Our renewal rate in 2011 was 80%. We also have licensed insurance agents at a number of our dealerships who arrange insurance for our customers.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u w:val="single" w:color="auto"/>
          <w:color w:val="auto"/>
        </w:rPr>
        <w:t>New and Used Commercial Vehicle Financing</w:t>
      </w:r>
      <w:r>
        <w:rPr>
          <w:rFonts w:ascii="Arial" w:cs="Arial" w:eastAsia="Arial" w:hAnsi="Arial"/>
          <w:sz w:val="16"/>
          <w:szCs w:val="16"/>
          <w:color w:val="auto"/>
        </w:rPr>
        <w:t>. Our Rush Truck Centers have personnel responsible for arranging third-party financing for our product offerings. We arranged customer financing through various commercial lending sources for approximately 21% of our new and used commercial vehicle sales in 2011 and approximately 24% in 2010. Generally, commercial vehicle finance contracts are memorialized through the use of installment contracts, which are secured by the commercial vehicles financed, and require a down payment of 10% to 30% of the selling price of the financed commercial vehicle, with the remaining balance financed over a two to five-year period. The majority of finance contracts are sold to third parties without recourse to the Company. The Company provides an allowance for repossession losses and early repayment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Our established long history of operations in the commercial vehicle business has resulted in a strong customer base that is diverse in terms of geography, industry and scale of operations. Rush Truck Centers’ customers include owner operators, regional and national truck fleets, corporations and local governments. During 2011, no single customer of our Rush Truck Centers accounted for more than 10% of our total commercial vehicle sales by dollar volume. We generally promote our products and related services through direct customer contact by our sales personnel, advertisements in trade magazines and attendance at industry shows.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we implement our “Rush” brand name concept at each of our dealerships.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15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Rush Truck Center is typically managed by a general manager who oversees the operations, personnel and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location, subject to the direction of a regional manager and personnel at our corporate office.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their respective industry, which enables us to attract and retain qualified personnel.</w:t>
      </w:r>
    </w:p>
    <w:p>
      <w:pPr>
        <w:spacing w:after="0" w:line="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On an annual basis, regional managers work with general managers to prepare detailed monthly profit and loss forecasts based upon historical information and projected trends. During the year, general managers regularly review their facility’s progress with their regional manager and senior management and make appropriate adjustments as needed.</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16" w:lineRule="exact"/>
        <w:rPr>
          <w:sz w:val="20"/>
          <w:szCs w:val="20"/>
          <w:color w:val="auto"/>
        </w:rPr>
      </w:pPr>
    </w:p>
    <w:p>
      <w:pPr>
        <w:jc w:val="both"/>
        <w:ind w:firstLine="913"/>
        <w:spacing w:after="0" w:line="323" w:lineRule="auto"/>
        <w:rPr>
          <w:sz w:val="20"/>
          <w:szCs w:val="20"/>
          <w:color w:val="auto"/>
        </w:rPr>
      </w:pPr>
      <w:r>
        <w:rPr>
          <w:rFonts w:ascii="Arial" w:cs="Arial" w:eastAsia="Arial" w:hAnsi="Arial"/>
          <w:sz w:val="15"/>
          <w:szCs w:val="15"/>
          <w:color w:val="auto"/>
        </w:rPr>
        <w:t>Members of senior management and regional managers regularly travel to each Rush Truck Center to provide on-site management and support. Each Rush Truck Center is audited regularly for compliance with corporate policies and procedures. These routine 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71"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i w:val="1"/>
          <w:iCs w:val="1"/>
          <w:color w:val="auto"/>
        </w:rPr>
        <w:t xml:space="preserve">Purchasing and Suppliers. </w:t>
      </w:r>
      <w:r>
        <w:rPr>
          <w:rFonts w:ascii="Arial" w:cs="Arial" w:eastAsia="Arial" w:hAnsi="Arial"/>
          <w:sz w:val="16"/>
          <w:szCs w:val="16"/>
          <w:color w:val="auto"/>
        </w:rPr>
        <w:t>We believe that pricing is an important element of our marketing strategy. Because of our size, our Rush Truck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volume purchases at favorable prices that permit them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i w:val="1"/>
          <w:iCs w:val="1"/>
          <w:color w:val="auto"/>
        </w:rPr>
        <w:t xml:space="preserve">Management Information Systems. </w:t>
      </w:r>
      <w:r>
        <w:rPr>
          <w:rFonts w:ascii="Arial" w:cs="Arial" w:eastAsia="Arial" w:hAnsi="Arial"/>
          <w:sz w:val="18"/>
          <w:szCs w:val="18"/>
          <w:color w:val="auto"/>
        </w:rPr>
        <w:t>We utilize our management information systems to monitor the inventory level of commercial vehicles and parts</w:t>
      </w:r>
      <w:r>
        <w:rPr>
          <w:rFonts w:ascii="Arial" w:cs="Arial" w:eastAsia="Arial" w:hAnsi="Arial"/>
          <w:sz w:val="18"/>
          <w:szCs w:val="18"/>
          <w:i w:val="1"/>
          <w:iCs w:val="1"/>
          <w:color w:val="auto"/>
        </w:rPr>
        <w:t xml:space="preserve"> </w:t>
      </w:r>
      <w:r>
        <w:rPr>
          <w:rFonts w:ascii="Arial" w:cs="Arial" w:eastAsia="Arial" w:hAnsi="Arial"/>
          <w:sz w:val="18"/>
          <w:szCs w:val="18"/>
          <w:color w:val="auto"/>
        </w:rPr>
        <w:t>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Information received from industry analysts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i w:val="1"/>
          <w:iCs w:val="1"/>
          <w:color w:val="auto"/>
        </w:rPr>
        <w:t xml:space="preserve">Distribution and Inventory Management. </w:t>
      </w:r>
      <w:r>
        <w:rPr>
          <w:rFonts w:ascii="Arial" w:cs="Arial" w:eastAsia="Arial" w:hAnsi="Arial"/>
          <w:sz w:val="16"/>
          <w:szCs w:val="16"/>
          <w:color w:val="auto"/>
        </w:rPr>
        <w:t>We utilize a real-time inventory tracking system that allows for the prompt transfer of inventory among</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Rush Truck Centers. The transfer of inventory reduces delays in delivery, helps maximize inventory turns and assists in controlling problems created by overstock and understock situations. We are linked directly to our major suppliers,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Disposition</w:t>
      </w:r>
    </w:p>
    <w:p>
      <w:pPr>
        <w:spacing w:after="0" w:line="15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11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at five locations in Utah, five locations in Idaho and one location in Oregon. These locations are operating as Rush Truck Centers and offer a combination of International heavy- and medium-duty commercial vehicles, Autocar trucks, Mitsubishi Fuso medium-duty trucks, IC buses and Workhorse chassis in addition to parts, service, body shop, financing and insurance capabilities. Rush Truck Leasing operates Idealease truck rental and leasing franchises at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pacing w:after="0" w:line="9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On October 12, 2010, the Company acquired certain assets of Metro Ford Truck Sales, Inc., which consisted of a Ford and Isuzu commercial vehicle dealership in Dallas, Texas. The Company is operating the facility as a full-service Rush Truck Center offering medium-duty trucks, parts and service. The transaction, including the real estate, was valued at approximately $5.6 million, with the purchase price paid in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w:t>
      </w:r>
    </w:p>
    <w:p>
      <w:pPr>
        <w:spacing w:after="0" w:line="113"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includes the International, Hino, Isuzu, UD, IC Bus and Workhorse franchises in metro Atlanta, dealership locations in Atlanta and Doraville and a collision center in Atlanta. These locations are operating as Rush Truck Centers and offer commercial vehicles manufactured by International, Hino, Isuzu, UD, IC Bus and Workhorse Custom Chassis in addition to parts, service, body shop, financing and insurance capabilities. The transaction was valued at approximately $55.3 million. The purchase price for the assets of the business was paid in cash and the purchase price for the real estate was partially paid in cash with the remainder financed with long-term debt.</w:t>
      </w:r>
    </w:p>
    <w:p>
      <w:pPr>
        <w:spacing w:after="0" w:line="12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November 5, 2011, the Company acquired certain assets of Peck Road Ford, which consisted of a Ford and Isuzu commercial vehicle dealership in Whittier, California. The Company is operating the facility as a full-service Rush Truck Center offering Ford and Isuzu trucks, parts, service, financing and insurance. This location also offers Peterbilt parts and service. The transaction, including real estate, was valued at approximately $10.0 million. The purchase price for the assets of the business was paid in cash and the purchase price for the real estate was partially paid in cash with the remainder financed with long-term debt.</w:t>
      </w:r>
    </w:p>
    <w:p>
      <w:pPr>
        <w:spacing w:after="0" w:line="11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On December 5, 2011, the Company acquired certain assets of West Texas Peterbilt, which consisted of dealerships in Amarillo, Lubbock and Odessa, Texas that offer Peterbilt trucks, parts and service, a parts and service facility in Dalhart, Texas and a parts facility in Hereford, Texas. These dealerships operate as Rush Truck Centers. Rush Truck Leasing operates a PacLease truck rental and leasing franchise in Lubbock, Texas. The purchase price for the assets of West Texas Peterbilt, including real estate, was approximately $24.6 million. The purchase price for the assets of the business was paid in cash and the purchase price for the real estate was partially paid in cash with the remainder financed with long-term debt.</w:t>
      </w:r>
    </w:p>
    <w:p>
      <w:pPr>
        <w:spacing w:after="0" w:line="89" w:lineRule="exact"/>
        <w:rPr>
          <w:sz w:val="20"/>
          <w:szCs w:val="20"/>
          <w:color w:val="auto"/>
        </w:rPr>
      </w:pPr>
    </w:p>
    <w:p>
      <w:pPr>
        <w:ind w:right="120" w:firstLine="913"/>
        <w:spacing w:after="0" w:line="407" w:lineRule="auto"/>
        <w:rPr>
          <w:sz w:val="20"/>
          <w:szCs w:val="20"/>
          <w:color w:val="auto"/>
        </w:rPr>
      </w:pPr>
      <w:r>
        <w:rPr>
          <w:rFonts w:ascii="Arial" w:cs="Arial" w:eastAsia="Arial" w:hAnsi="Arial"/>
          <w:sz w:val="18"/>
          <w:szCs w:val="18"/>
          <w:color w:val="auto"/>
        </w:rPr>
        <w:t xml:space="preserve">See Note 15 of the Notes to Consolidated Financial Statements for a detailed discussion of the allocation of the purchase price of these acquisitions. </w:t>
      </w:r>
      <w:r>
        <w:rPr>
          <w:rFonts w:ascii="Arial" w:cs="Arial" w:eastAsia="Arial" w:hAnsi="Arial"/>
          <w:sz w:val="18"/>
          <w:szCs w:val="18"/>
          <w:b w:val="1"/>
          <w:bCs w:val="1"/>
          <w:color w:val="auto"/>
        </w:rPr>
        <w:t>Competition</w:t>
      </w:r>
    </w:p>
    <w:p>
      <w:pPr>
        <w:jc w:val="both"/>
        <w:ind w:firstLine="913"/>
        <w:spacing w:after="0" w:line="332"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72"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accessibility of dealership locations;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dealership locations;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attention to customer service (including technical service).</w:t>
      </w:r>
    </w:p>
    <w:p>
      <w:pPr>
        <w:spacing w:after="0" w:line="14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Our dealerships compete with dealerships representing other manufacturers including commercial vehicles manufactured by Mack, Freightliner, Kenworth, Volvo, and Western Star.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15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i w:val="1"/>
          <w:iCs w:val="1"/>
          <w:color w:val="auto"/>
        </w:rPr>
        <w:t xml:space="preserve">Peterbilt. </w:t>
      </w:r>
      <w:r>
        <w:rPr>
          <w:rFonts w:ascii="Arial" w:cs="Arial" w:eastAsia="Arial" w:hAnsi="Arial"/>
          <w:sz w:val="16"/>
          <w:szCs w:val="16"/>
          <w:color w:val="auto"/>
        </w:rPr>
        <w:t>We have entered into nonexclusive dealership agreements with Peterbilt which authorize us to act as a dealer of Peterbilt heavy- and</w:t>
      </w:r>
      <w:r>
        <w:rPr>
          <w:rFonts w:ascii="Arial" w:cs="Arial" w:eastAsia="Arial" w:hAnsi="Arial"/>
          <w:sz w:val="16"/>
          <w:szCs w:val="16"/>
          <w:i w:val="1"/>
          <w:iCs w:val="1"/>
          <w:color w:val="auto"/>
        </w:rPr>
        <w:t xml:space="preserve"> </w:t>
      </w:r>
      <w:r>
        <w:rPr>
          <w:rFonts w:ascii="Arial" w:cs="Arial" w:eastAsia="Arial" w:hAnsi="Arial"/>
          <w:sz w:val="16"/>
          <w:szCs w:val="16"/>
          <w:color w:val="auto"/>
        </w:rPr>
        <w:t>medium-duty trucks. Our Peterbilt areas of responsibility currently encompass areas in the states of Alabama, Arizona, California, Colorado, Florida, New Mexico, North Carolina, Oklahoma, Tennessee and Texas. These dealership agreements currently have terms expiring between June 2012 and December 2014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 Sales of new Peterbilt trucks accounted for approximately 46.2% of our total revenues for 2011.</w:t>
      </w:r>
    </w:p>
    <w:p>
      <w:pPr>
        <w:spacing w:after="0" w:line="97"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i w:val="1"/>
          <w:iCs w:val="1"/>
          <w:color w:val="auto"/>
        </w:rPr>
        <w:t xml:space="preserve">Other Commercial Vehicle Suppliers. </w:t>
      </w:r>
      <w:r>
        <w:rPr>
          <w:rFonts w:ascii="Arial" w:cs="Arial" w:eastAsia="Arial" w:hAnsi="Arial"/>
          <w:sz w:val="16"/>
          <w:szCs w:val="16"/>
          <w:color w:val="auto"/>
        </w:rPr>
        <w:t>In addition to our dealership agreements with Peterbilt, various Rush Truck Centers have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dealership agreements with other commercial vehicle manufacturers including Autocar, Blue Bird, Ford, Hino, IC, International, Isuzu, Micro Bird, Mitsubishi and UD, which currently have terms expiring between March 2012 and March 2016. Any termination or non-renewal of these dealership agreements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 These dealership agreements impose operating requirements upon us and require consent from the affected supplier for sale or transfer of such dealership agreement. Sales of non-Peterbilt commercial vehicles accounted for approximately 15.8% of our total revenues for 2011.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15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i w:val="1"/>
          <w:iCs w:val="1"/>
          <w:color w:val="auto"/>
        </w:rPr>
        <w:t xml:space="preserve">Commercial vehicles. </w:t>
      </w:r>
      <w:r>
        <w:rPr>
          <w:rFonts w:ascii="Arial" w:cs="Arial" w:eastAsia="Arial" w:hAnsi="Arial"/>
          <w:sz w:val="16"/>
          <w:szCs w:val="16"/>
          <w:color w:val="auto"/>
        </w:rPr>
        <w:t>During 2011, we financed substantially all of our new commercial vehicle inventory and the loan value of our used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vehicle inventory under a credit agreement with General Electric Capital Corporation (“GE Capital”). Interest under the credit agreement was at a rate of LIBOR plus 2.95% and was payable monthly. As of December 31, 2011, we had approximately $496.3 million outstanding under the credit agreement.</w:t>
      </w:r>
    </w:p>
    <w:p>
      <w:pPr>
        <w:spacing w:after="0" w:line="8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Several commercial vehicle manufacturers offer floor plan programs with varying interest free finance periods. When offered, the Company will finance commercial vehicles under such programs. If the commercial vehicle financed under these interest free finance programs is not sold within the interest free finance period, the Company transfers the financed commercial vehicle to the GE Capital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15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The Company provides a warranty on the Company’s branded parts and related service. The Company also provides an extended warranty beyond the manufacturer’s warranty on new school buses sold in the State of Texas, as required by state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generally sell used commercial vehicles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5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Peterbilt, Hino, Isuzu, Ford, International, Blue Bird, IC Bus, Autocar, Fuso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names “Rush Enterprises,” “Rush Truck Center,” “Associated Truck Insurance Services,” “Chrome Country” and “Rig Tough.”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On December 31, 2011, the Company had 3,865 employees. The Company has no contracts or collective bargaining agreements with labor unions and has never experienced work stoppages. The Company considers its relations with its employees to be good.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50"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On December 31, 2011, the Company’s backlog of commercial vehicle orders was approximately $678.7 million as compared to a backlog of commercial vehicle orders of approximately $277.1 million on December 31, 2010. The Company includes only confirmed orders in its backlog. The delivery time for a custom-ordered commercial vehicle varies depending on the commercial vehicle specifications and demand for the particular model ordered, however, the Company expects to fill all of its backlog orders during 2012. The Company sells the majority of its new commercial vehicles by customer special order, with the remainder sold out of inventory. Orders from a number of the Company’s major fleet customers are included in the Company’s backlog as of December 31, 2011.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15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93"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91"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8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16"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This report is qualified in its entirety by these risk factors.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substantially dependent upon PACCAR for the supply of Peterbilt trucks and parts, the sale of which generates the majority of our revenues.</w:t>
      </w:r>
    </w:p>
    <w:p>
      <w:pPr>
        <w:spacing w:after="0" w:line="16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We currently operate as a dealer of Peterbilt trucks and parts pursuant to dealership agreements with Peterbilt, a division of PACCAR. During 2011, a significant portion of our revenues resulted from sales of trucks purchased from Peterbilt and parts purchased from PACCAR. Due to our dependence on PACCAR and Peterbilt, we believe that the long-term success of our Rush Truck Centers depends, in large part, on the following:</w:t>
      </w:r>
    </w:p>
    <w:p>
      <w:pPr>
        <w:spacing w:after="0" w:line="9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our relationship with PACCAR;</w:t>
      </w:r>
    </w:p>
    <w:p>
      <w:pPr>
        <w:spacing w:after="0" w:line="15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Peterbilt trucks and parts by PACCAR in quantities sufficient to meet our requirements;</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PACCAR’s continuation of its Peterbilt division;</w:t>
      </w:r>
    </w:p>
    <w:p>
      <w:pPr>
        <w:spacing w:after="0" w:line="15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goodwill associated with the Peterbilt trademark, which can be adversely affected by decisions made by PACCAR and the owners of other Peterbilt dealerships; and</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PACCAR and Peterbilt’s ability to offer vehicles that meet federal and state emissions requirements.</w:t>
      </w:r>
    </w:p>
    <w:p>
      <w:pPr>
        <w:spacing w:after="0" w:line="14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We have no control over the management or operation of PACCAR or Peterbilt dealerships that we do not own and a significant decline in any of these factors could have a material adverse affect on our operations, revenues and profitability.</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positions.</w:t>
      </w:r>
    </w:p>
    <w:p>
      <w:pPr>
        <w:spacing w:after="0" w:line="105" w:lineRule="exact"/>
        <w:rPr>
          <w:sz w:val="20"/>
          <w:szCs w:val="20"/>
          <w:color w:val="auto"/>
        </w:rPr>
      </w:pPr>
    </w:p>
    <w:p>
      <w:pPr>
        <w:jc w:val="both"/>
        <w:ind w:firstLine="913"/>
        <w:spacing w:after="0" w:line="285"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executives of the Company decreases below 30% (such persons currently control 33.9% of the aggregate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Some of our medium-duty truck dealership agreements are also terminable if the aggregate voting power of W. Marvin Rush and his family members falls below certain percentages, typically 25%. If our dealership agreements with any manufacturer are terminated, we will lose the right to purchase such manufacturer’s products, which would have a material adverse effect on our operations, revenues and profitability.</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05"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in the states in which we operate dealerships, our manufacturers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could have a material adverse effect on our operations, revenues and profitability.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14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significant percentage of our revenues come from customers in the oil and gas exploration and production industry, a historically cyclical industry.</w:t>
      </w:r>
    </w:p>
    <w:p>
      <w:pPr>
        <w:spacing w:after="0" w:line="16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Several of our large customers provide oil and gas production services. The oil and gas exploration and production industry is a historically cyclical industry characterized by significant changes in the levels of exploration and development activities. Oil and gas prices, and market expectations of potential changes in those prices, significantly affect the levels of those activities. Any reduction in the overall level of exploration and development activities, whether resulting from changes in oil and gas prices or otherwise, could materially and adversely affect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144"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98%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a prolonged weak economic recovery, adverse changes in the regulatory environment, any matters that impact manufacturers’ ability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14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Our primary floor plan financing agreements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is subject to a number of economic risks.</w:t>
      </w:r>
    </w:p>
    <w:p>
      <w:pPr>
        <w:spacing w:after="0" w:line="144"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New and used commercial vehicle retail sales tend to experience periods of decline characterized by oversupply and weak demand. The commercial vehicle retail industries may experience sustained periods of decline in commercial vehicle sales in the future. Any decline or change of this type could materially affect our business, financial condition and results of operations.</w:t>
      </w:r>
    </w:p>
    <w:p>
      <w:pPr>
        <w:spacing w:after="0" w:line="113"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Adverse regional economic and competitive conditions in the geographic markets in which we operate could materially affect our business, financial condition and results of operations. Our new commercial vehicle sales volume therefore may differ from industry sales fluctuations.</w:t>
      </w:r>
    </w:p>
    <w:p>
      <w:pPr>
        <w:spacing w:after="0" w:line="5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finance and insurance products, and parts and repair services.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0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relationships with suppliers for sales incentives, discounts and similar programs which are material to our operations.</w:t>
      </w:r>
    </w:p>
    <w:p>
      <w:pPr>
        <w:spacing w:after="0" w:line="14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05"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The success of our dealerships is dependent on the manufacturers represented at such dealerships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the store customer. We generally have significant receivables from manufacturers for warranty and service work performed for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12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89"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the Company’s medium-duty GMC truck franchises, which forced the Company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0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Our dealership agreements generally do not contractually provide us with exclusive dealerships in any territory.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116"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Our Peterbilt dealership agreements have current terms expiring between June 2012 and December 2014. Our International dealership agreements have current terms expiring May 2013 and May 2015. Our dealership agreements with Autocar, Mitsubishi, Hino, UD, Ford, Isuzu, Diamond, Elkhart, Blue Bird, IC Bus and Workhorse for the sale of medium-duty commercial vehicles have current terms expiring between May 2013 and March 2016. Upon expiration of each agreement, we must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As of December 31, 2011, our backlog of new commercial vehicle orders was approximately $678.7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8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dealerships are subject to federal, state and local environmental regulations that may result in claims and liabilities, which could be material.</w:t>
      </w:r>
    </w:p>
    <w:p>
      <w:pPr>
        <w:spacing w:after="0" w:line="16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9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14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Our dealerships are concentrated in states and regions in the United States in which actual or threatened natural disasters and severe weather events (such as hurricanes, earthquakes, fires, floods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may be exposed to uninsured or underinsured losses that could have a material adverse effect on our business, financial condition, results of operations or cash flows.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could result in increased costs and reduced demand for our products and services.</w:t>
      </w:r>
    </w:p>
    <w:p>
      <w:pPr>
        <w:spacing w:after="0" w:line="105"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The EPA and the DOT’s National Highway Traffic Safety Administration (“NHTSA”) recently announced proposed rules to reduce greenhouse gas emissions and improve fuel efficiency of medium and heavy-duty vehicles. The EPA and NHTSA are attempting to create a “heavy-duty national program,” designed to reduce oil consumption and address global climate change by each proposing complementary standards to reduce fuel use and greenhouse gas emissions from on-highway transportation sources. The emissions and fuel consumption standards in the proposed rules would phase in with increasing stringency in each model year from 2014 to 2017. The proposed rules are likely to increase the production costs of the manufacturers we represent. Our manufacturers are likely to pass such costs on to us, which could increase the cost of the new vehicles we sell and, accordingly, reduce demand for such products. Increased costs and reduced demand could materially adversely affect our ability to sell new vehicles, which would materially adversely affect our business,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investments in auction rate securities may be further impaired.</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Auction rate securities (“ARS”) are long-term debt instruments with interest rates that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93"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As a result of the conditions in the global credit markets, we have been unable to liquidate our holdings of certain ARS because the auctions for the ARS we hold have failed. As of December 31, 2011, the Company held ARS with underlying tax-exempt municipal bonds that mature in 2030 that have a fair value of $6.6 million and a cost basis of $7.6 million. This decrease in fair value is considered temporary and the impairment charge is recorded as other comprehensive income, a component of shareholder equity.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further adjust the carrying value of the securities and record additional impairment charges. If we determine that the fair value of these ARS is further impaired, we will record a temporary impairment within other comprehensive income, a component of stockholders’ equity. If it is determined that the fair value of these securities is other than temporarily impaired, we would recognize the credit loss portion of the other than temporary impairment in earnings, which could materially adversely impact our results of operations and financial condition. Any noncredit loss would be recognized in other comprehensive income. For further discussion of the risks related to our auction rate securities, see Note 9 – Financial Instruments and Fair Value of the Notes to Consolidated Financial Statements and Item 7A – Quantitative and Qualitative Disclosures about Market Risk.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a single shareholder and his affiliates.</w:t>
      </w:r>
    </w:p>
    <w:p>
      <w:pPr>
        <w:spacing w:after="0" w:line="144"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W. Marvin Rush and W. M. “Rusty” Rush own approximately 0.23% of our issued and outstanding shares of Class A common stock and 38.1% of our issued and outstanding Class B common stock. W. Marvin Rush and W. M. “Rusty” Rush collectively control more than 33.9% of the aggregate voting power of our outstanding shares and voting power which is superior to that of any other person or group. The interests of W. Marvin Rush and W.M. “Rusty” Rush may not be consistent with your interests as a shareholder. As a result of such ownership, W. Marvin Rush and W. M. “Rusty” Rush have the power to effectively control the Company, including the election of directors, the determination of matters requiring shareholder approval and other matters pertaining to corporate governance.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dealership agreements could discourage another company from acquiring us and impede our ability to issue additional stock to raise capital or as consideration for future acquisitions.</w:t>
      </w:r>
    </w:p>
    <w:p>
      <w:pPr>
        <w:spacing w:after="0" w:line="10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A number of our dealership agreements impose ownership requirements on W. Marvin Rush, W.M. “Rusty” Rush and other officers of the Company and restrictions on the sale or transfer of the underlying franchises. These ownership requirements and restrictions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control of at least 30% of the aggregate voting power of our outstanding shares and voting power equal or superior to that of any other person or group.</w:t>
      </w:r>
    </w:p>
    <w:p>
      <w:pPr>
        <w:spacing w:after="0" w:line="11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W.M. “Rusty” Rush and the requirement in our dealership agreements that certain officers of the Company and Rush family members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w:t>
      </w:r>
    </w:p>
    <w:p>
      <w:pPr>
        <w:spacing w:after="0" w:line="9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Class A common stock has limited voting power.</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13"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market price of our Class B common stock has historically been lower than the market price of our Class A common stock. The volume of trading in our Class B common stock varies greatly and may often be light. As of December 31, 2011, the three-month average daily trading volume of our Class B common stock was approximately 14,000 shares, with several days having a trading volume below 1,000 shares. W. Marvin Rush, our Chairman, owns approximately 38.1% of our Class B common stock. If any large shareholder, including W. Marvin Rush, were to begin selling shares in the market rather than holding such shares over a longer term,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Company’s corporate headquarters are located in New Braunfels, Texas. As of December 2011, the Company also owns or leases numerous facilities used in our operations in the following states: Alabama, Arizona, California, Colorado, Florida, Georgia, Idaho, New Mexico, North Carolina, Oklahoma, Oregon, Tennessee, Texas and Utah. A Rush Truck Center may be comprised of one or more locations, generally in close proximity, in the same metropolitan area. These facilities consist primarily of office space, display lots, service facilities and parking lots.</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truck leasing operations lease additional space in Alabama, Arizona, California and Florida.</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insurance agency leases space in California, Florida, Oklahoma and Texas.</w:t>
      </w:r>
    </w:p>
    <w:p>
      <w:pPr>
        <w:spacing w:after="0" w:line="144"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The Company leases a hangar in New Braunfels, Texas for the corporate aircraft. The Company also owns and operates a guest ranch of approximately 9,500 acres near Cotulla, Texas. The Company uses the ranch for client development purposes and sells hunting trips on the ranch.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common stock trades on The NASDAQ Global Select Market</w:t>
      </w:r>
      <w:r>
        <w:rPr>
          <w:rFonts w:ascii="Arial" w:cs="Arial" w:eastAsia="Arial" w:hAnsi="Arial"/>
          <w:sz w:val="11"/>
          <w:szCs w:val="11"/>
          <w:color w:val="auto"/>
        </w:rPr>
        <w:t>SM</w:t>
      </w:r>
      <w:r>
        <w:rPr>
          <w:rFonts w:ascii="Arial" w:cs="Arial" w:eastAsia="Arial" w:hAnsi="Arial"/>
          <w:sz w:val="18"/>
          <w:szCs w:val="18"/>
          <w:color w:val="auto"/>
        </w:rPr>
        <w:t xml:space="preserve"> under the symbols RUSHA and RUSHB.</w:t>
      </w:r>
    </w:p>
    <w:p>
      <w:pPr>
        <w:spacing w:after="0" w:line="14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11"/>
          <w:szCs w:val="11"/>
          <w:color w:val="auto"/>
        </w:rPr>
        <w:t>SM</w:t>
      </w:r>
      <w:r>
        <w:rPr>
          <w:rFonts w:ascii="Arial" w:cs="Arial" w:eastAsia="Arial" w:hAnsi="Arial"/>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7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2"/>
              </w:rPr>
              <w:t>Class A Common Stock</w:t>
            </w:r>
          </w:p>
        </w:tc>
        <w:tc>
          <w:tcPr>
            <w:tcW w:w="2580" w:type="dxa"/>
            <w:vAlign w:val="bottom"/>
            <w:tcBorders>
              <w:top w:val="single" w:sz="8" w:color="CCEEFF"/>
              <w:bottom w:val="single" w:sz="8" w:color="CCEEFF"/>
            </w:tcBorders>
            <w:shd w:val="clear" w:color="auto" w:fill="CCEEFF"/>
          </w:tcPr>
          <w:p>
            <w:pPr>
              <w:spacing w:after="0"/>
              <w:rPr>
                <w:sz w:val="15"/>
                <w:szCs w:val="15"/>
                <w:color w:val="auto"/>
              </w:rPr>
            </w:pPr>
          </w:p>
        </w:tc>
        <w:tc>
          <w:tcPr>
            <w:tcW w:w="26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17.82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As of March 2, 2012, there were approximately 39 record holders of the Class A common stock and approximately 46 record holders of the Class B common stock.</w:t>
      </w:r>
    </w:p>
    <w:p>
      <w:pPr>
        <w:spacing w:after="0" w:line="105"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 did not pay dividends during the fiscal year ended December 31, 2011, or the fiscal year ended December 31, 2010. 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not sold any securities in the last three years that were not registered under the Securities Act.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did not repurchase any shares of its Class A Common Stock or Class B Common Stock during the fourth quarter of 2011.</w:t>
      </w:r>
    </w:p>
    <w:p>
      <w:pPr>
        <w:spacing w:after="0" w:line="16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5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the Company’s other financial information included elsewhere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left="534"/>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9"/>
          </w:tcPr>
          <w:p>
            <w:pPr>
              <w:jc w:val="center"/>
              <w:ind w:right="400"/>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and used commercial vehicle sales</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1,801,964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926,584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738,705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1,041,189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1,393,253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Parts and service sales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675,277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395,133</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457,669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and rental</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Finance and insurance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7,468</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11,801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2,580,611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1,497,927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1,200,453</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1,571,193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1,933,649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2,157,334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1,213,037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984,812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1,291,001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1,600,270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423,277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284,890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215,641</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280,192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192,296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218,775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15,890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15,273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97,338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7,617</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46,272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39,042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55,213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5,095</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25,178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55,213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31,282</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5,884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28,865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share—Basic:</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0.66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0.75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37,861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37,066</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38,089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38,587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gridSpan w:val="2"/>
          </w:tcPr>
          <w:p>
            <w:pPr>
              <w:jc w:val="right"/>
              <w:ind w:right="83"/>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DATA</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Unit vehicle sales —</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vehicles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Used vehicles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8"/>
                <w:szCs w:val="18"/>
                <w:color w:val="auto"/>
              </w:rPr>
            </w:pPr>
          </w:p>
        </w:tc>
      </w:tr>
      <w:tr>
        <w:trPr>
          <w:trHeight w:val="27"/>
        </w:trPr>
        <w:tc>
          <w:tcPr>
            <w:tcW w:w="5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 vehicles sales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8"/>
                <w:szCs w:val="18"/>
                <w:color w:val="auto"/>
              </w:rPr>
            </w:pPr>
          </w:p>
        </w:tc>
      </w:tr>
      <w:tr>
        <w:trPr>
          <w:trHeight w:val="228"/>
        </w:trPr>
        <w:tc>
          <w:tcPr>
            <w:tcW w:w="5740" w:type="dxa"/>
            <w:vAlign w:val="bottom"/>
          </w:tcPr>
          <w:p>
            <w:pPr>
              <w:spacing w:after="0"/>
              <w:rPr>
                <w:sz w:val="20"/>
                <w:szCs w:val="20"/>
                <w:color w:val="auto"/>
              </w:rPr>
            </w:pPr>
            <w:r>
              <w:rPr>
                <w:rFonts w:ascii="Arial" w:cs="Arial" w:eastAsia="Arial" w:hAnsi="Arial"/>
                <w:sz w:val="18"/>
                <w:szCs w:val="18"/>
                <w:color w:val="auto"/>
                <w:w w:val="98"/>
              </w:rPr>
              <w:t>Truck lease and rental units (including units under contract maintenance)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3,033</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r>
      <w:tr>
        <w:trPr>
          <w:trHeight w:val="312"/>
        </w:trPr>
        <w:tc>
          <w:tcPr>
            <w:tcW w:w="5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189,214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143,778</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164,165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177,117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197,805</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252,219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343,032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345,568</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22,719</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24,479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25,881</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1,717,701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1,167,933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977,297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1,056,790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1,031,591</w:t>
            </w:r>
          </w:p>
        </w:tc>
        <w:tc>
          <w:tcPr>
            <w:tcW w:w="100" w:type="dxa"/>
            <w:vAlign w:val="bottom"/>
            <w:shd w:val="clear" w:color="auto" w:fill="CCEEFF"/>
          </w:tcPr>
          <w:p>
            <w:pPr>
              <w:spacing w:after="0"/>
              <w:rPr>
                <w:sz w:val="18"/>
                <w:szCs w:val="18"/>
                <w:color w:val="auto"/>
              </w:rPr>
            </w:pPr>
          </w:p>
        </w:tc>
      </w:tr>
      <w:tr>
        <w:trPr>
          <w:trHeight w:val="390"/>
        </w:trPr>
        <w:tc>
          <w:tcPr>
            <w:tcW w:w="574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520,693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237,810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189,256</w:t>
            </w:r>
          </w:p>
        </w:tc>
        <w:tc>
          <w:tcPr>
            <w:tcW w:w="1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282,702</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273,653</w:t>
            </w:r>
          </w:p>
        </w:tc>
        <w:tc>
          <w:tcPr>
            <w:tcW w:w="100" w:type="dxa"/>
            <w:vAlign w:val="bottom"/>
          </w:tcPr>
          <w:p>
            <w:pPr>
              <w:spacing w:after="0"/>
              <w:rPr>
                <w:sz w:val="24"/>
                <w:szCs w:val="24"/>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209,502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209,677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198,945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lease obligations, including current portion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34,444</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14,820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426,225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416,041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399,577</w:t>
            </w: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right="4180"/>
        <w:spacing w:after="0" w:line="410"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General</w:t>
      </w:r>
    </w:p>
    <w:p>
      <w:pPr>
        <w:spacing w:after="0" w:line="1"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 believes these record results validate our efforts to build an organization with a diversified earnings base that is less dependent on the highly cyclical Class 8 truck sales market. For 15 years, the Company has worked to position itself as a service solutions provider to the commercial vehicle industry. These efforts include focusing on expanding its capabilities in less cyclical aftermarket operations, broadening the depth of its commercial vehicle product offerings and expanding its network of Rush Truck Centers.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Company’s aftermarket capabilities now include a wide range of services and products such as a fleet of mobile service units, mobile technicians who staff customers’ facilities, a proprietary line of parts and accessories, new diagnostic and analysis capabilities, factory certified service for alternative fuel vehicles and assembly service for specialized bodies and equipment. As a result of the Company’s efforts to expand aftermarket capabilities, aftermarket operations currently account for more than 60% of the Company’s total gross profits.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Once primarily focused on Class 8 truck sales, the Company has now expanded its commercial vehicle product line to include medium-duty and light-duty trucks, buses and vocational specialty vehicles such as refuse trucks, tow trucks and truck-mounted cranes. The Company has developed relationships with a more diverse customer base across a wide range of market segments, resulting in our ability to offer a complete range of solutions from sales of new vehicles to aftermarket support for vehicles in operation.</w:t>
      </w:r>
    </w:p>
    <w:p>
      <w:pPr>
        <w:spacing w:after="0" w:line="11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has a track record of growth through acquisitions and additions of dealerships within its current areas of responsibility. It now operates a contiguous network of 70 Rush Truck Centers across the United States. The Company believes that this geographic diversity will more effectively allow the Company to withstand regional economic downturns and expand service capabilities that better match the footprint of its customer base.</w:t>
      </w:r>
    </w:p>
    <w:p>
      <w:pPr>
        <w:spacing w:after="0" w:line="8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encourages its customers to “Expect More” because it is confident that it has built a network of Rush Truck Centers that can provide its customers with any service they need related to their commercial vehicles and help create efficiencies in their businesses. The Company’s long-term goal has been to provide its customers with more services so that it can minimize its dependence on the cyclical Class 8 truck sales market for operating profits.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 expects U.S. Class 8 retail sales will remain on pace to reach approximately 200,000 to 215,000 units in 2012, just slightly above historical replacement levels, an approximate 15% to 24% increase over 2011. U. S. retail sales for Class 4 through 7 are expected to reach 163,000 units in 2012, a 13% increase over 2011. The Company has been able to increase its share of Class 8 U.S. retail sales by nearly 30% since 2009 through acquisitions and increased sales at its existing dealerships. Likewise, the Company’s Class 4 through 7 medium-duty market share has expanded by nearly 45% during this same time period.</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A.C.T. Research Co., LLC (“A.C.T. Research”), a truck industry data and forecasting service provider, currently predicts 2012 U.S. Class 8 truck sales to reach 214,000 units, up from 174,000 units sold in 2011. A.C.T. Research currently predicts U.S. Class 4-7 retail sales in 2012 to be 163,000 units, up from 144,233 units in 2011.</w:t>
      </w:r>
    </w:p>
    <w:p>
      <w:pPr>
        <w:spacing w:after="0" w:line="11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 believes that it is in the beginning of a multi-year improving truck market as current sales levels of both Class 8 and medium-duty trucks have been below historical replacement levels for the last five years. In 2011, the Company’s Class 8 retail sales increased by 91% over 2010, far outpacing the U.S. Class 8 truck market, which increased by 58%. The Company’s Class 8 truck sales accounted for 5.2% of the U.S. Class 8 retail truck sales market in 2011. The increase in the Class 8 truck sales was primarily the result of continued strong demand by oilfield services customers and replacement purchases by large fleet customers.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Similarly, Rush’s U.S. Class 4 through 7 medium-duty commercial vehicle sales were up 94% over 2010, significantly outpacing the U.S. Class 4 through 7 market, which increased by 23%. Rush’s medium-duty retail sales accounted for 3.8% of U.S. Class 4 through 7 retail sales in 2011. The majority of our medium-duty growth was achieved through Navistar Division dealerships and Ford and Isuzu dealerships in Texas, Florida, Oklahoma and California that were acquired during 2010 and 2011.</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 continues to pursue its acquisition strategy. In the fourth quarter, the Company purchased certain assets of West Texas Peterbilt, which included five locations in West Texas, and Peck Road Ford in Whittier, California. The Company now operates five Ford franchises and sixteen Isuzu franchises in its network of Rush Truck Centers. The acquisition of West Texas Peterbilt expanded the Company’s representation of Peterbilt in Texas to include the entire state.</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Improvements to the Company’s existing network of Rush Truck Centers continue. The Company relocated its dealerships in Ft. Worth, Texas and Orlando, Florida at the end of 2011. In 2012, the Company plans to relocate its Phoenix, Arizona, open a new Rush Bus Center in Houston to better serve its bus customers in the Houston market and construct a new dealership facility in Corpus Christi, Texas.</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In 2011, the Company also expanded operations to take advantage of strong demand for ancillary services not traditionally performed by truck dealerships. The Company leased a 237,000 square foot facility in Houston to support demand from several long-term oilfield services customers for oilfield vehicle preparation and service, and also established a new 50,000 square foot modification center in the Dallas area.</w:t>
      </w:r>
    </w:p>
    <w:p>
      <w:pPr>
        <w:spacing w:after="0" w:line="8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continues to evaluate opportunities to expand its Navistar Division. The 17 locations in the Navistar Division have now become a solid contributor to the Company’s overall profitability and represent a significant opportunity to enlarge the network of Rush Truck Centers. The Company remains committed to work with Navistar to expand its Navistar Division.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15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Management uses several performance metrics to evaluate the performance of its commercial vehicle dealerships, and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commercial vehicle dealerships’ absorption rate was approximately 80%. The Company has made a concerted effort to increase its absorption rate since 1999. The Company’s commercial vehicle dealerships achieved a 113.9% absorption rate for the year in 2011 and 105.5% absorption rate for the year in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05"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93"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91"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8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 has historically performed an annual impairment review of goodwill during the fourth quarter of each year, however, an interim evaluation of goodwill was required during the second quarter of 2009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17 for further discussion of the wind-down of the Company’s medium-duty GMC truck franchise agreements.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Goodwill was tested for impairment during the fourth quarter of 2011 and no impairment write down was required. The fair value of each of our reporting units exceeded the carrying value of its net assets. As a result, we were not required to conduct the second step of the impairment test. The Company does not believe any of its reporting units are at risk of failing step one of the impairment test.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144"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 A 10% change in the Company’s estimate would have changed its reserve for these losses at December 31, 2011 by $0.8 million.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9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8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44"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23" w:lineRule="auto"/>
        <w:rPr>
          <w:sz w:val="20"/>
          <w:szCs w:val="20"/>
          <w:color w:val="auto"/>
        </w:rPr>
      </w:pPr>
      <w:r>
        <w:rPr>
          <w:rFonts w:ascii="Arial" w:cs="Arial" w:eastAsia="Arial" w:hAnsi="Arial"/>
          <w:sz w:val="15"/>
          <w:szCs w:val="15"/>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5"/>
          <w:szCs w:val="15"/>
          <w:b w:val="1"/>
          <w:bCs w:val="1"/>
          <w:color w:val="auto"/>
        </w:rPr>
        <w:t>.</w:t>
      </w:r>
      <w:r>
        <w:rPr>
          <w:rFonts w:ascii="Arial" w:cs="Arial" w:eastAsia="Arial" w:hAnsi="Arial"/>
          <w:sz w:val="15"/>
          <w:szCs w:val="15"/>
          <w:color w:val="auto"/>
        </w:rPr>
        <w:t xml:space="preserve"> If the interest rate swaps become ineffective, portions of these interest rate swaps would be reported as a component of interest expense in the accompanying Consolidated Statements of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5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In June 2011, the FASB issued an accounting standard update that requires the presentation of components of other comprehensive income with the components of net income in either (1) a continuous statement of comprehensive income that contains two sections, net income and other comprehensive income, or (2) two separate but consecutive statements. This accounting standard update eliminated the option to present components of other comprehensive income as part of the statement of shareholders’ equity, and is effective for interim and annual periods beginning after December 15, 2011. In December 2011, this standard was amended to delay the proposed identification of reclassification adjustments in the consolidated statements of income. The adoption of this accounting standard update will not have an impact on our consolidated financial position, results of operations, or cash flows, as it only requires a change in the format of our current presentation of comprehensive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discussion and analysis includes the Company’s historical results of operations for 2011, 2010 and 2009. The following table sets forth for the years indicated certain financial data as a percentage of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43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69.8%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4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Finance and insurance</w:t>
            </w:r>
          </w:p>
        </w:tc>
        <w:tc>
          <w:tcPr>
            <w:tcW w:w="4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3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3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140" w:type="dxa"/>
            <w:vAlign w:val="bottom"/>
            <w:vMerge w:val="restart"/>
          </w:tcPr>
          <w:p>
            <w:pPr>
              <w:jc w:val="right"/>
              <w:ind w:right="2032"/>
              <w:spacing w:after="0"/>
              <w:rPr>
                <w:sz w:val="20"/>
                <w:szCs w:val="20"/>
                <w:color w:val="auto"/>
              </w:rPr>
            </w:pPr>
            <w:r>
              <w:rPr>
                <w:rFonts w:ascii="Arial" w:cs="Arial" w:eastAsia="Arial" w:hAnsi="Arial"/>
                <w:sz w:val="18"/>
                <w:szCs w:val="18"/>
                <w:color w:val="auto"/>
              </w:rPr>
              <w:t>27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commercial vehicles and the absorption rate for the years indicated (revenue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 Change</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ind w:right="156"/>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76"/>
              </w:rPr>
              <w:t>vs</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Vehicle unit sales: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9,052</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3,972</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793.9%</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new vehicle unit sales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90"/>
        </w:trPr>
        <w:tc>
          <w:tcPr>
            <w:tcW w:w="3900" w:type="dxa"/>
            <w:vAlign w:val="bottom"/>
            <w:gridSpan w:val="2"/>
          </w:tcPr>
          <w:p>
            <w:pPr>
              <w:spacing w:after="0"/>
              <w:rPr>
                <w:sz w:val="20"/>
                <w:szCs w:val="20"/>
                <w:color w:val="auto"/>
              </w:rPr>
            </w:pPr>
            <w:r>
              <w:rPr>
                <w:rFonts w:ascii="Arial" w:cs="Arial" w:eastAsia="Arial" w:hAnsi="Arial"/>
                <w:sz w:val="18"/>
                <w:szCs w:val="18"/>
                <w:color w:val="auto"/>
              </w:rPr>
              <w:t>Used vehicles sales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4,649</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2,875</w:t>
            </w:r>
          </w:p>
        </w:tc>
        <w:tc>
          <w:tcPr>
            <w:tcW w:w="3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8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1,186.5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595.4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467.1</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692.9%</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new vehicle revenue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390"/>
        </w:trPr>
        <w:tc>
          <w:tcPr>
            <w:tcW w:w="3900" w:type="dxa"/>
            <w:vAlign w:val="bottom"/>
            <w:gridSpan w:val="2"/>
          </w:tcPr>
          <w:p>
            <w:pPr>
              <w:spacing w:after="0"/>
              <w:rPr>
                <w:sz w:val="20"/>
                <w:szCs w:val="20"/>
                <w:color w:val="auto"/>
              </w:rPr>
            </w:pPr>
            <w:r>
              <w:rPr>
                <w:rFonts w:ascii="Arial" w:cs="Arial" w:eastAsia="Arial" w:hAnsi="Arial"/>
                <w:sz w:val="18"/>
                <w:szCs w:val="18"/>
                <w:color w:val="auto"/>
              </w:rPr>
              <w:t>Used vehicle revenue</w:t>
            </w:r>
          </w:p>
        </w:tc>
        <w:tc>
          <w:tcPr>
            <w:tcW w:w="18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193.3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106.5</w:t>
            </w:r>
          </w:p>
        </w:tc>
        <w:tc>
          <w:tcPr>
            <w:tcW w:w="3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vehicle revenue:(1)</w:t>
            </w:r>
          </w:p>
        </w:tc>
        <w:tc>
          <w:tcPr>
            <w:tcW w:w="1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9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Dealership absorption rate: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sales of glider kits, truck bodies, trailers and other new equipment.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We currently operate in the commercial vehicle market. There has historically been a high correlation between new product sales in the commercial vehicle market and the rate of change in U.S. industrial production and the U.S. gross domestic product.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 serves the U.S. retail heavy-duty truck market, which is affected by a number of factors relating to general economic conditions, including fuel prices, government regulation, interest rate fluctuations, economic recessions, other methods of transportation and customer business cycles. In addition,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 The Company’s share of the U.S. Class 8 truck sales market increased to 5.2% in 2011, up from 4.3% in 2010.</w:t>
      </w:r>
    </w:p>
    <w:p>
      <w:pPr>
        <w:spacing w:after="0" w:line="93"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Typically, Class 8 trucks are assembled by manufacturers utilizing certain components that may be manufactured by other companies, including engines, transmissions, axles, wheels and other components. As commercial vehicles and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and seek to establish full-service leases or rental contracts, which provide for turnkey service including parts, maintenance and, potentially, fuel, fuel tax reporting and other services. Differentiation between commercial vehicle dealers has become less dependent on pure price competition and is increasingly based on a dealer’s ability to offer a wide variety of services to their clients.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A.C.T. Research currently estimates approximately 214,000 new Class 8 trucks will be sold in the United States in 2012, compared to approximately 174,000 new Class 8 trucks sold in 2011. A.C.T. Research currently forecasts sales of Class 8 trucks in the U.S. to be approximately 245,000 in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Many of our Rush Truck Centers sell medium-duty commercial vehicles manufactured by Peterbilt, International, Hino, UD,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venture out of their service areas overnight. The Company also sells light-duty vehicles (Class 3 and under) at certain dealerships.</w:t>
      </w:r>
    </w:p>
    <w:p>
      <w:pPr>
        <w:spacing w:after="0" w:line="86"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A.C.T. Research currently forecasts sales of Class 4 through 7 commercial vehicles in the U.S. to be approximately 163,000 in 2012 compared to 144,000 in 2011. A.C.T. Research currently forecasts sales of Class 4 through 7 commercial vehicles in the U.S. to be approximately 188,000 in 2013.</w:t>
      </w:r>
    </w:p>
    <w:p>
      <w:pPr>
        <w:spacing w:after="0" w:line="52" w:lineRule="exact"/>
        <w:rPr>
          <w:sz w:val="20"/>
          <w:szCs w:val="20"/>
          <w:color w:val="auto"/>
        </w:rPr>
      </w:pPr>
    </w:p>
    <w:p>
      <w:pPr>
        <w:ind w:right="5660"/>
        <w:spacing w:after="0" w:line="410" w:lineRule="auto"/>
        <w:rPr>
          <w:sz w:val="20"/>
          <w:szCs w:val="20"/>
          <w:color w:val="auto"/>
        </w:rPr>
      </w:pPr>
      <w:r>
        <w:rPr>
          <w:rFonts w:ascii="Arial" w:cs="Arial" w:eastAsia="Arial" w:hAnsi="Arial"/>
          <w:sz w:val="18"/>
          <w:szCs w:val="18"/>
          <w:b w:val="1"/>
          <w:bCs w:val="1"/>
          <w:color w:val="auto"/>
        </w:rPr>
        <w:t xml:space="preserve">Year Ended December 31, 2011 Compared to Year Ended December 31, 2010 </w:t>
      </w:r>
      <w:r>
        <w:rPr>
          <w:rFonts w:ascii="Arial" w:cs="Arial" w:eastAsia="Arial" w:hAnsi="Arial"/>
          <w:sz w:val="18"/>
          <w:szCs w:val="18"/>
          <w:i w:val="1"/>
          <w:iCs w:val="1"/>
          <w:color w:val="auto"/>
        </w:rPr>
        <w:t>Revenues</w:t>
      </w:r>
    </w:p>
    <w:p>
      <w:pPr>
        <w:spacing w:after="0" w:line="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Revenues increased $1,082.7 million, or 72.3%, in 2011, compared to 2010. Sales of new and used commercial vehicles increased $875.4 million, or 94.5%, in 2011, compared to 2010. Demand for commercial vehicles has increased as general economic conditions in the United States have improved and credit is being made available on reasonable terms to a wider range of buyers. Our parts, service and body shop revenues increased $186.0 million, or 38.0%, in 2011, compared to 2010, primarily due to continued aging of commercial vehicles in operation, strong activity by our energy sector customers and acquisitions that occurred during 2010 and 2011. As commercial vehicle utilization remains high, the Company expects parts, service and body shop sales to continue to remain strong through 2012 and remains focused on expanding aftermarket product and service offerings.</w:t>
      </w:r>
    </w:p>
    <w:p>
      <w:pPr>
        <w:spacing w:after="0" w:line="93"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 sold 9,052 heavy-duty trucks in 2011, a 90.7% increase compared to 4,746 heavy-duty trucks in 2010. According to A.C.T. Research, the U.S. Class 8 truck market increased 58.0% in 2011, compared to 2010. The Company’s share of the U.S. Class 8 truck sales market was approximately 5.2% in 2011. The Company expects its market share to range between 4.8% and 5.2% of U.S. Class 8 truck sales in 2012. This market share percentage would result in the sale of approximately 10,000 to 10,800 of Class 8 trucks in 2012 based on A.C.T. Research’s estimate that U.S. retail sales will increase to 214,000 units. Company’s ability to sell this many trucks may be limited by manufacturer and component suppliers’ ability to maintain or increase production over current levels to meet customer demand.</w:t>
      </w:r>
    </w:p>
    <w:p>
      <w:pPr>
        <w:spacing w:after="0" w:line="11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 sold 5,469 medium-duty commercial vehicles, including 1,074 buses, in 2011, a 93.9% increase compared to 2,820 medium-duty commercial vehicles, including 457 buses, in 2010. A.C.T. Research estimates that unit sales of Class 4 through 7 commercial vehicles in the U.S. increased approximately 23.0% in 2011, compared to 2010. In 2011, the Company achieved a 3.8% share of the Class 4 through 7 commercial vehicle sales market in the U.S. As a result of acquisitions that occurred during 2011, the Company expects its market share to range between 4.2% and 4.6% of U.S. Class 4 through 7 commercial vehicle sales in 2012. This market share percentage would result in the sale of approximately 6,800 to 7,500 of Class 4 through 7 commercial vehicles in 2012 based on A.C.T. Research’s current U.S. retail sales estimates of 163,000 units.</w:t>
      </w:r>
    </w:p>
    <w:p>
      <w:pPr>
        <w:spacing w:after="0" w:line="93"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Company sold 1,019 light-duty vehicles in 2011, a 793.9% increase compared to 114 light-duty vehicles in 2010. The Company expects to sell 1,200 light-duty vehicles in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sold 4,649 used commercial vehicles in 2011, a 34.3% increase compared to 3,461 used commercial vehicles in 2010. The Company expects to sell approximately 5,200 to 6,000 used commercial vehicles in 2012. The Company expects used commercial vehicle sales to be largely dependent upon our ability to acquire quality used commercial vehicles and maintain an adequate used commercial vehicle inventory throughout 2012.</w:t>
      </w:r>
    </w:p>
    <w:p>
      <w:pPr>
        <w:spacing w:after="0" w:line="8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Truck lease and rental revenues increased $16.0 million, or 23.7%, in 2011, compared to 2010. The increase in lease and rental revenue is consistent with management’s expectations, which are based upon the increased number of units put into service in the lease and rental fleet during 2010 and 2011 and increasing rental fleet utilization. The Company expects lease and rental revenue to increase 20% to 25% during 2012, compared to 2011 based on the increase of units in the lease and rental fleet.</w:t>
      </w:r>
    </w:p>
    <w:p>
      <w:pPr>
        <w:spacing w:after="0" w:line="116"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Finance and insurance revenues increased $2.9 million, or 37.2%, in 2011, compared to 2010. The increase in finance and insurance revenue is primarily a result of the increase in new and used commercial vehicle sales. The Company expects finance and insurance revenue to fluctuate proportionately with the Company’s new and used commercial vehicle sales in 2012. Finance and insurance revenues have limited direct costs and, therefore, contribute a disproportionate share of the Company’s operating profits.</w:t>
      </w:r>
    </w:p>
    <w:p>
      <w:pPr>
        <w:spacing w:after="0" w:line="11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Other income increased $2.3 million, or 34.7% in 2011, compared to 2010. Other income consists primarily of the gain on sale realized on trucks from the lease and rental fleet, document fees related to commercial vehicle sales and mineral royalties.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Gross profit increased $138.4 million, or 48.6%, in 2011, compared to 2010. Gross profit as a percentage of sales decreased to 16.4% in 2011, from 19.0% in 2010. This decrease in gross profit as a percentage of sales is primarily a result of a change in our product sales mix. Commercial vehicle sales, a lower margin revenue item, increased as a percentage of total revenue to 69.8% in 2011, from 61.9% in 2010. Parts and service revenue, a higher margin revenue item, decreased as a percentage of total revenue to 26.2% in 2011, from 32.7% in 2010.</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Gross margins from the Company’s parts, service and body shop operations increased to 39.5% in 2011, from 38.5% in 2010. Gross profit for the parts, service and body shop departments increased to $266.7 million in 2011, from $188.5 million in 2010. The Company expects gross margins on parts, service and body shop operations to range 39.0% to 41.0% in 2012.</w:t>
      </w:r>
    </w:p>
    <w:p>
      <w:pPr>
        <w:spacing w:after="0" w:line="11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Gross margins on Class 8 truck sales decreased to 7.1% in 2011, from 7.4% in 2010. In 2012, the Company expects overall gross margins from Class 8 truck sales of approximately 6.5% to 7.5%. The Company recorded expense of $1.6 million to increase its new heavy-duty truck valuation allowance in 2011 and $1.9 million in 2010.</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Gross margins on medium-duty commercial vehicle sales decreased to 4.8% in 2011, from 5.6% in 2010. Gross margins on medium-duty commercial vehicles are difficult to forecast accurately because gross margins vary significantly depending upon the mix of fleet and non-fleet purchasers and types of medium-duty commercial vehicles sold. For 2012, the Company expects overall gross margins from medium-duty commercial vehicle sales of approximately 4.5% to5.5%, but this will largely depend upon general economic conditions and the mix of purchasers and types of vehicles sold. The Company recorded expense of $1.9 million to increase its new medium-duty commercial vehicle valuation allowance in 2011 and $0.6 million in 2010.</w:t>
      </w:r>
    </w:p>
    <w:p>
      <w:pPr>
        <w:spacing w:after="0" w:line="89"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Gross margins on used commercial vehicle sales decreased to 9.4% in 2011, from 12.2% in 2010. In 2012, the Company expects margins on used commercial vehicles to remain between 8.0% and 10.0%, but this will largely depend upon general economic conditions and the availability of quality used vehicles. The Company recorded expense of $2.3 million to increase its used commercial vehicle valuation allowance in 2011 and $1.5 million in 2010.</w:t>
      </w:r>
    </w:p>
    <w:p>
      <w:pPr>
        <w:spacing w:after="0" w:line="8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Gross margins from truck lease and rental sales increased to 16.5% in 2011, from approximately 14.9% in 2010. The increase in lease and rental gross profit is primarily attributable to increased utilization of vehicles in the Company’s rental fleet and increased variable rental revenue that is based on the miles that vehicles being leased are driven. The Company expects gross margins from lease and rental sales of approximately 16.0% to 18.0% during 2012.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Finance and insurance revenues and other income, as described above, have limited direct costs and, therefore, contribute a disproportionate share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4" w:lineRule="exact"/>
        <w:rPr>
          <w:sz w:val="20"/>
          <w:szCs w:val="20"/>
          <w:color w:val="auto"/>
        </w:rPr>
      </w:pPr>
    </w:p>
    <w:p>
      <w:pPr>
        <w:jc w:val="both"/>
        <w:ind w:firstLine="913"/>
        <w:spacing w:after="0" w:line="287" w:lineRule="auto"/>
        <w:rPr>
          <w:sz w:val="20"/>
          <w:szCs w:val="20"/>
          <w:color w:val="auto"/>
        </w:rPr>
      </w:pPr>
      <w:r>
        <w:rPr>
          <w:rFonts w:ascii="Arial" w:cs="Arial" w:eastAsia="Arial" w:hAnsi="Arial"/>
          <w:sz w:val="16"/>
          <w:szCs w:val="16"/>
          <w:color w:val="auto"/>
        </w:rPr>
        <w:t>Selling, General and Administrative (“SG&amp;A”) expenses increased $78.8 million, or 34.6%, in 2011, compared to 2010. SG&amp;A expenses as a percentage of total revenue decreased to 11.9% in 2011, from 15.2% in 2010. SG&amp;A expenses as a percentage of total revenue have historically ranged from 10.0% to 15.0%. In general, when new and used commercial vehicle revenue decreases as a percentage of revenue, SG&amp;A expenses as a percentage of total revenue will be at, or exceed, the higher end of this range. Historically low commercial vehicle revenue during 2009 and early 2010, caused SG&amp;A expenses as a percentage of revenue to rise above this range. For 2012, the Company expects SG&amp;A expenses as a percentage of total revenue to range from 11.0% to 13.0%. For 2012, the Company expects the selling portion of SG&amp;A expenses to be approximately 25% to 30% of new and used commercial vehicle gross profit. In 2012, the Company expects the general and administrative portion of SG&amp;A expenses to increase by approximately 13.0% to 17.0% primarily due to an expected increase in personnel costs related to increased parts and service business, the full year effect of acquisitions made in the first quarter of 2011, and the reinstatement of certain employee benefits. The Company will incur ongoing additional costs of approximately $0.3 million to $0.4 million per month related to implementation of SAP software which includes monthly maintenance fees and training expenses. The SAP software was placed into service in August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44"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Depreciation and amortization expense increased $4.4 million, or 27.8%, in 2011 compared to 2010. The increase in depreciation and amortization expense in 2011 was partially due to the acceleration of depreciation of the leasehold improvements related to the relocation of the Company’s dealership in Orlando, Florida. The Company incurred additional amortization expense of approximately $1.2 million during the third and fourth quarter of 2011 related to the SAP software that was placed into service in August 2011. The Company expects that it will incur amortization expense of approximately $0.2 million per month related to the SAP software development going forward.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Net interest expense increased $1.8 million, or 33.5%, in 2011, compared to 2010. The increase in net interest expense is primarily due to increased truck inventory levels and the Company entering into a new floor plan agreement with GE Capital at the end of 2010, which increased interest rates related to floor plan notes payable during 2011. In January 2012, the Company’s floor plan agreement with GE Capital was amended to decrease interest rates related to floor plan notes payable. Net interest expense in 2012 will depend on inventory levels and cash available for prepayment of floor plan financing. Interest expense will increase by approximately $0.1 million per month because the Company discontinued the capitalization of interest on the costs related to the SAP software implementation when the software was placed in service in August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Income from continuing operations before income taxes increased $53.9 million in 2011, compared to 2010, as a result of the factors described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Income taxes increased $23.2 million in 2011, compared to 2010. The Company provided for taxes at a 38.8% effective rate in 2011 compared to an effective rate of 39.0% in 2010, prior to the application of alternative fuel tax credits. The Company expects its effective tax rate to be approximately 37% to 39% of pretax income in 2012. In 2010, the Company received $2.5 million in tax credits for sales of alternative fuel vehicles to tax-exempt entities. The federal tax law that extended tax credits for alternative fuel vehicles expired on December 31,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4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Income from discontinued operations, net of income taxes decreased $6.7 million in 2011 compared to 2010. Income from discontinued operations during 2010 included operating results and a gain of $10.1 million on the disposition for the Company’s construction equipment business, which was sold in September 2010.</w:t>
      </w:r>
    </w:p>
    <w:p>
      <w:pPr>
        <w:spacing w:after="0" w:line="107" w:lineRule="exact"/>
        <w:rPr>
          <w:sz w:val="20"/>
          <w:szCs w:val="20"/>
          <w:color w:val="auto"/>
        </w:rPr>
      </w:pPr>
    </w:p>
    <w:p>
      <w:pPr>
        <w:ind w:right="5660"/>
        <w:spacing w:after="0" w:line="410" w:lineRule="auto"/>
        <w:rPr>
          <w:sz w:val="20"/>
          <w:szCs w:val="20"/>
          <w:color w:val="auto"/>
        </w:rPr>
      </w:pPr>
      <w:r>
        <w:rPr>
          <w:rFonts w:ascii="Arial" w:cs="Arial" w:eastAsia="Arial" w:hAnsi="Arial"/>
          <w:sz w:val="18"/>
          <w:szCs w:val="18"/>
          <w:b w:val="1"/>
          <w:bCs w:val="1"/>
          <w:color w:val="auto"/>
        </w:rPr>
        <w:t xml:space="preserve">Year Ended December 31, 2010 Compared to Year Ended December 31, 2009 </w:t>
      </w:r>
      <w:r>
        <w:rPr>
          <w:rFonts w:ascii="Arial" w:cs="Arial" w:eastAsia="Arial" w:hAnsi="Arial"/>
          <w:sz w:val="18"/>
          <w:szCs w:val="18"/>
          <w:i w:val="1"/>
          <w:iCs w:val="1"/>
          <w:color w:val="auto"/>
        </w:rPr>
        <w:t>Revenues</w:t>
      </w:r>
    </w:p>
    <w:p>
      <w:pPr>
        <w:spacing w:after="0" w:line="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Revenues increased $297.5 million, or 24.8%, in 2010, compared to 2009. Sales of new and used commercial vehicles increased $187.9 million, or 25.4%, in 2010, compared to 2009. Our parts, service and body shop revenues increased in 2010 compared to 2009, primarily due to increased maintenance and repair as commercial vehicle utilization continues to increase.</w:t>
      </w:r>
    </w:p>
    <w:p>
      <w:pPr>
        <w:spacing w:after="0" w:line="11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sold 4,746 heavy-duty trucks in 2010, a 19.5% increase compared to 3,972 heavy-duty trucks in 2009. According to A.C.T. Research, the U.S. Class 8 truck market increased 13.5% in 2010, compared to 2009. The Company’s share of the U.S. Class 8 truck sales market was approximately 4.3% in 2010.</w:t>
      </w:r>
    </w:p>
    <w:p>
      <w:pPr>
        <w:spacing w:after="0" w:line="113"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Company sold 2,820 medium-duty commercial vehicles, including 457 buses, in 2010, an 11.0% increase compared to 2,643 medium-duty commercial vehicles, including 368 buses, in 2009.</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sold 3,461 used commercial vehicles in 2010, a 20.4% increase compared to 2,875 used commercial vehicles in 2009.</w:t>
      </w:r>
    </w:p>
    <w:p>
      <w:pPr>
        <w:spacing w:after="0" w:line="16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Parts and service sales increased $94.1 million, or 23.8%, in 2010, compared to 2009. Aftermarket parts, service and body shop sales remained strong throughout 2010 as freight movement increased and aging commercial vehicles were put back into service. The Company’s acquisition of Lake City International contributed $25.1 million of the increase.</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Truck lease and rental revenues increased $13.7 million, or 25.5%, in 2010, compared to 2009. The Company’s acquisition of Lake City International contributed $5.9 million of the increase. The remainder of the increase in lease and rental revenue is consistent with management’s expectations, which are based upon the increased number of units put into service in the lease and rental fleet during 2009 and 2010 and increasing rental fleet utilization.</w:t>
      </w:r>
    </w:p>
    <w:p>
      <w:pPr>
        <w:spacing w:after="0" w:line="8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Finance and insurance revenues increased $0.5 million, or 6.1%, in 2010, compared to 2009. The increase in finance and insurance revenue is a direct result of the increase in new and used commercial vehicle sales. Finance and insurance revenues have limited direct costs and, therefore, contribute a disproportionate share of the Company’s operating profits.</w:t>
      </w:r>
    </w:p>
    <w:p>
      <w:pPr>
        <w:spacing w:after="0" w:line="11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Other income increased $1.3 million, or 23.9% in 2010, compared to 2009. Other income consists primarily of the gain on sale realized on trucks from the lease and rental fleet, document fees related to commercial vehicle sales, mineral royalties, an adjustment of a liability related to retail finance contracts sold with recourse.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4"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Gross profit increased $69.2 million, or 32.1%, in 2010, compared to 2009. Gross profit as a percentage of sales increased to 19.0% in 2010, from 18.0% in 2009. This increase is primarily a result of a change in our product sales mix.</w:t>
      </w:r>
    </w:p>
    <w:p>
      <w:pPr>
        <w:spacing w:after="0" w:line="10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Gross margins on Class 8 truck sales increased to 7.4% in 2010, from 5.8% in 2009. Gross margins on Class 8 truck sales in 2010 were impacted by a change in our product sales mix that included an increased demand for vocational trucks, which typically are higher margin sales, and a lower percentage of large fleet sales, which are typically lower margin sales. The Company recorded expense of $1.9 million to increase its new heavy-duty truck valuation allowance in 2010 and $5.8 million in 2009.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Gross margins on medium-duty commercial vehicle sales increased to 5.6% in 2010, from 5.5% in 2009. The Company recorded expense of $0.6 million to increase its new medium-duty commercial vehicle valuation allowance in 2010 and $2.5 million in 2009.</w:t>
      </w:r>
    </w:p>
    <w:p>
      <w:pPr>
        <w:spacing w:after="0" w:line="10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Gross margins on used commercial vehicle sales increased to 12.2% in 2010, from 6.9% in 2009. This increase is primarily a result of increased demand for quality used commercial vehicles and a decrease in the supply of quality used commercial vehicles. The Company recorded expense of $1.5 million to increase its used commercial vehicle valuation allowance in 2010 and $5.0 million in 2009.</w:t>
      </w:r>
    </w:p>
    <w:p>
      <w:pPr>
        <w:spacing w:after="0" w:line="113"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Gross margins from the Company’s parts, service and body shop operations decreased to 38.5% in 2010, from 38.8% in 2009. Gross profit for the parts, service and body shop departments increased to $188.5 million in 2010, from $153.2 million in 2009.</w:t>
      </w:r>
    </w:p>
    <w:p>
      <w:pPr>
        <w:spacing w:after="0" w:line="105"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Gross margins from truck lease and rental sales increased to 14.9% in 2010, from approximately 11.5% in 2009. The increase in lease and rental revenue is primarily attributable to increased utilization of vehicles in the Company’s rental fleet and increased variable rental revenue that is based on the miles that vehicles being leased are driven.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Finance and insurance revenues and other income, as described above, have limited direct costs and, therefore, contribute a disproportionate share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4"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Selling, General and Administrative (“SG&amp;A”) expenses increased $35.2 million, or 18.3%, in 2010, compared to 2009. SG&amp;A expenses as a percentage of sales decreased to 15.2% in 2010, from 16.0% in 2009. Prior to 2009, SG&amp;A expenses as a percentage of total revenue historically ranged from 10.0% to 15.0%. In general, when new and used commercial vehicle revenue decreases as a percentage of revenue, SG&amp;A expenses as a percentage of total revenue will be at, or exceed, the higher end of this range. Extremely low commercial vehicle revenue during 2009 and early 2010, caused SG&amp;A expenses as a percentage of sales to fall outside this range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interest expense decreased $0.3 million, or 5.8%, in 2010, compared to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Income from continuing operations before income taxes increased $34.4 million in 2010, compared to 2009, as a result of the factors described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Income taxes increased $14.9 million in 2010, compared to 2009. Prior to the application of alternative fuel tax credits, the Company’s tax rate during 2010 was 39%. In 2010, the Company received $2.5 million in tax credits for sales of alternative fuel vehicles to tax-exempt entities, compared to $5.3 million in 2009. The federal tax law that extended tax credits for alternative fuel vehicles expired on December 31,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44"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Income from discontinued operations, net of income taxes increased $5.9 million in 2010 compared to 2009. Income from discontinued operations includes operating results and a gain of $10.1 million on the disposition for the Company’s construction equipment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5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Inflationary factors such as increases in the cost of products and overhead costs may adversely affect the Company’s operating results. Although the Company does not believe that inflation has had a material impact on its financial position or results of operations to date, a high rate of inflation in the future may have an adverse effect on its ability to maintain current levels of gross margin and selling, general and administrative expenses as a percentage of revenues if the selling prices of our products do not increase with these increased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or purchase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December 31, 2011, the Company had working capital of approximately $189.2 million, including $207.8 million in cash available to fund our operations. The Company believes that these funds are sufficient to meet our operating requirements for at least the next twelve months.</w:t>
      </w:r>
    </w:p>
    <w:p>
      <w:pPr>
        <w:spacing w:after="0" w:line="9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December 31, 2011,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8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December 31, 2011, however, $7.7 million was pledged to secure various letters of credit related to self-insurance products, leaving $2.3 million available for future borrowings as of December 31, 2011.</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At December 31, 2011, the Company was in compliance with all debt covenants related to debt secured by real estate and its floor plan credit agreement. The Company does not anticipate any breach of the covenants in the foreseeable future.</w:t>
      </w:r>
    </w:p>
    <w:p>
      <w:pPr>
        <w:spacing w:after="0" w:line="11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Titan Technology Partners implemented the SAP enterprise software and a new SAP dealership management system for the Company. The total cost of the SAP software and implementation placed in service in August 2011 was $42.5 million.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over the next three years.</w:t>
      </w:r>
    </w:p>
    <w:p>
      <w:pPr>
        <w:spacing w:after="0" w:line="8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expects to purchase or lease trucks worth approximately $95.0 million for its leasing operations in 2012, depending on customer demand, all of which will be financed. The Company also expects to make capital expenditures for recurring items such as computers, shop tools and equipment and vehicles of approximately $10.0 million to $12.0 million during 2012.</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expects to finance 70% to 80% of the appraised value of any newly constructed or purchased facilities, which will increase the Company’s cash and cash equivalents by that amount.</w:t>
      </w:r>
    </w:p>
    <w:p>
      <w:pPr>
        <w:spacing w:after="0" w:line="8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has no other material commitments for capital expenditures as of December 31, 2011,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Cash and cash equivalents increased by $38.8 million during the year ended December 31, 2011, and increased by $19.9 million during the year ended December 31, 2010. The major components of these changes are discussed below. Cash flows from discontinued operations are included in the components of the statement of cash flows as described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4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2011, operating activities resulted in net cash used in operations of $81.4 million. Cash used in operating activities was primarily impacted by the increased levels of inventory and the increase in accounts receivable, offset by increases in accounts payable and accrued expenses. The majority of commercial vehicle inventory is financed through the Company’s floor plan credit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2010, operating activities resulted in net cash provided by operations of $66.4 million.</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Cash flows from operating activities as adjusted for all draws and (payments) on floor plan notes (“Adjusted Cash Flows from Operating Activities”) was $188.3 million for the year ended December 31, 2011, and $110.2 million for the year ended December 31, 2010. Generally, all vehicle dealers finance the purchase of vehicles with floor plan borrowings, and our agreements with our floor plan providers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 (GAAP)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66,433</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Draws on floor plan notes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282,883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43,724</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draws on floor plan notes payable related to inventory acquired in business acquisitions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924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2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188,264</w:t>
            </w:r>
          </w:p>
        </w:tc>
        <w:tc>
          <w:tcPr>
            <w:tcW w:w="220" w:type="dxa"/>
            <w:vAlign w:val="bottom"/>
          </w:tcPr>
          <w:p>
            <w:pPr>
              <w:spacing w:after="0"/>
              <w:rPr>
                <w:sz w:val="24"/>
                <w:szCs w:val="24"/>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110,157</w:t>
            </w:r>
          </w:p>
        </w:tc>
        <w:tc>
          <w:tcPr>
            <w:tcW w:w="100" w:type="dxa"/>
            <w:vAlign w:val="bottom"/>
          </w:tcPr>
          <w:p>
            <w:pPr>
              <w:spacing w:after="0"/>
              <w:rPr>
                <w:sz w:val="24"/>
                <w:szCs w:val="24"/>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44"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During 2011, cash used in investing activities was $231.8 million. Cash flows used in investing activities consist primarily of cash used for capital expenditures and business acquisitions. Capital expenditures of $148.5 million consisted of purchases of property and equipment and improvements to our existing dealership facilities. Property and equipment purchases during 2011 consisted of $97.3 million for additional units for the rental and leasing operations, which was directly offset by borrowings of long-term debt. The Company expects to purchase or lease trucks worth approximately $95.0 million for its leasing operations in 2012, depending on customer demand, all of which will be financed. Cash used in business acquisitions was $94.7 million during the year ended December 31, 2011. See Note 15 of the Notes to Consolidated Financial Statements for a detailed discussion of these acquisitions. During 2012, the Company expects to make capital expenditures for recurring items such as computers, shop equipment and vehicles of approximately $10.0 to $12.0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During 2010, cash used in investing activities was $96.7 million. Cash flows used in investing activities consist primarily of cash used for capital expenditures and business acquisitions offset by proceeds from the sale of Rush Equipment Centers. Capital expenditures of $84.3 million consisted of purchases of property and equipment, improvements to our existing dealerships and the purchase of a dealership facility in Phoenix, Arizona. Property and equipment purchases during 2010 consisted of $47.5 million for additional units for the rental and leasing operations, which was directly offset by borrowings of long-term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Cash flows used in financing activities include borrowings and repayments of long-term debt and net payments of floor plan notes payable. Cash provided by financing activities was $352.0 million during 2011. The Company had borrowings of long-term debt of $144.5 million and repayments of long-term debt and capital lease obligations of $82.3 million during 2011. The Company had net borrowings of floor plan notes payable of $282.9 million during 2011. The borrowings of long-term debt were primarily related to units for the rental and leasing operations and purchase and refinancing of real estate.</w:t>
      </w:r>
    </w:p>
    <w:p>
      <w:pPr>
        <w:spacing w:after="0" w:line="8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Cash provided by financing activities was $50.2 million during 2010. The Company had borrowings of long-term debt of $66.6 million and repayments of long-term debt and capital lease obligations of $63.2 million during 2010. The Company had net borrowings of floor plan notes payable of $43.7 million during 2010. The borrowings of long-term debt were primarily related to units for the rental and leasing operations and refinancing of existing real estate.</w:t>
      </w:r>
    </w:p>
    <w:p>
      <w:pPr>
        <w:spacing w:after="0" w:line="8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During 2011, we financed substantially all of the purchases of commercial vehicle inventory under our $450.0 million credit agreement with GE Capital. Under our $450.0 million credit agreement, all principal amounts outstanding bore interest at a rate per annum equal to the sum of the LIBOR rate plus 2.95%, which was payable monthly. The credit agreement allowed for prepayment of the inventory loans, up to 65% of the aggregate inventory loans outstanding, with monthly adjustments to the interest due. The Company made monthly interest payments to GE Capital on the amount financed, but was not required to commence loan principal repayments on any vehicle until such vehicle had been financed for 12 months or was sold. On December 31, 2011, the Company had approximately $496.3 million outstanding under its credit agreement with GE Capital.</w:t>
      </w:r>
    </w:p>
    <w:p>
      <w:pPr>
        <w:spacing w:after="0" w:line="91"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December 31, 2011, the Company had approximately $24.4 million outstanding under the floor plan program with Navistar Financial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150" w:lineRule="exact"/>
        <w:rPr>
          <w:sz w:val="20"/>
          <w:szCs w:val="20"/>
          <w:color w:val="auto"/>
        </w:rPr>
      </w:pPr>
    </w:p>
    <w:p>
      <w:pPr>
        <w:jc w:val="both"/>
        <w:ind w:firstLine="913"/>
        <w:spacing w:after="0" w:line="314" w:lineRule="auto"/>
        <w:rPr>
          <w:sz w:val="20"/>
          <w:szCs w:val="20"/>
          <w:color w:val="auto"/>
        </w:rPr>
      </w:pPr>
      <w:r>
        <w:rPr>
          <w:rFonts w:ascii="Arial" w:cs="Arial" w:eastAsia="Arial" w:hAnsi="Arial"/>
          <w:sz w:val="15"/>
          <w:szCs w:val="15"/>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Company has certain contractual obligations that will impact its short and long-term liquidity. At December 31, 2011, such obligations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518"/>
              <w:spacing w:after="0"/>
              <w:rPr>
                <w:sz w:val="20"/>
                <w:szCs w:val="20"/>
                <w:color w:val="auto"/>
              </w:rPr>
            </w:pPr>
            <w:r>
              <w:rPr>
                <w:rFonts w:ascii="Arial" w:cs="Arial" w:eastAsia="Arial" w:hAnsi="Arial"/>
                <w:sz w:val="14"/>
                <w:szCs w:val="14"/>
                <w:b w:val="1"/>
                <w:bCs w:val="1"/>
                <w:color w:val="auto"/>
                <w:w w:val="86"/>
              </w:rPr>
              <w:t>Payments Due by Period</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8"/>
              </w:rPr>
              <w:t>Less than 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97"/>
              <w:spacing w:after="0" w:line="129"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More than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7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3"/>
                <w:szCs w:val="13"/>
                <w:color w:val="auto"/>
              </w:rPr>
            </w:pPr>
          </w:p>
        </w:tc>
        <w:tc>
          <w:tcPr>
            <w:tcW w:w="9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3"/>
                <w:szCs w:val="13"/>
                <w:color w:val="auto"/>
              </w:rPr>
            </w:pPr>
          </w:p>
        </w:tc>
        <w:tc>
          <w:tcPr>
            <w:tcW w:w="94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63,465</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113,635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Capital lease obligations(2)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19,183</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12,694</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Floor plan debt obligation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520,693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520,693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obligations (4)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17,660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Purchase obligations(5)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4,492</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634,692</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166,815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157,573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w:t>
      </w:r>
    </w:p>
    <w:p>
      <w:pPr>
        <w:spacing w:after="0" w:line="15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2011 and added 0.25 percent per year to estimate its interest expense on variable rate debt.</w:t>
      </w:r>
    </w:p>
    <w:p>
      <w:pPr>
        <w:spacing w:after="0" w:line="12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2011 related to the Company’s contract with Titan Technology Partners.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05"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2011, the Company had floor plan borrowings and variable interest rate real estate debt of approximately $650.8 million. Assuming an increase or decrease in LIBOR of 100 basis points, annual interest expense could correspondingly increase or decrease by approximately $6.5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December 31, 2011, the Company has interest rate swaps with a total notional amount of $45.0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9 – Financial Instruments and Fair Value of the Notes to Consolidated Financial Statements.</w:t>
      </w:r>
    </w:p>
    <w:p>
      <w:pPr>
        <w:spacing w:after="0" w:line="11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$207.8 million on December 31, 2011.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$2.1 million.</w:t>
      </w:r>
    </w:p>
    <w:p>
      <w:pPr>
        <w:spacing w:after="0" w:line="11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8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As of December 31, 2011,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9 – Financial Instruments and Fair Value of the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0" w:type="dxa"/>
            <w:vAlign w:val="bottom"/>
          </w:tcPr>
          <w:p>
            <w:pPr>
              <w:spacing w:after="0"/>
              <w:rPr>
                <w:sz w:val="19"/>
                <w:szCs w:val="19"/>
                <w:color w:val="auto"/>
              </w:rPr>
            </w:pPr>
          </w:p>
        </w:tc>
      </w:tr>
      <w:tr>
        <w:trPr>
          <w:trHeight w:val="326"/>
        </w:trPr>
        <w:tc>
          <w:tcPr>
            <w:tcW w:w="93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45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Consolidated Balance Sheets as of December 31, 2011 and 2010</w:t>
              </w:r>
            </w:hyperlink>
          </w:p>
        </w:tc>
        <w:tc>
          <w:tcPr>
            <w:tcW w:w="47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2"/>
        </w:trPr>
        <w:tc>
          <w:tcPr>
            <w:tcW w:w="65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Statements of Income for the Years Ended December 31, 2011, 2010 and 2009</w:t>
              </w:r>
            </w:hyperlink>
          </w:p>
        </w:tc>
        <w:tc>
          <w:tcPr>
            <w:tcW w:w="282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2"/>
        </w:trPr>
        <w:tc>
          <w:tcPr>
            <w:tcW w:w="75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Shareholders’ Equity for the Years Ended December 31, 2011, 2010 and 2009</w:t>
              </w:r>
            </w:hyperlink>
          </w:p>
        </w:tc>
        <w:tc>
          <w:tcPr>
            <w:tcW w:w="18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2"/>
        </w:trPr>
        <w:tc>
          <w:tcPr>
            <w:tcW w:w="6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Statements of Cash Flows for the Years Ended December 31, 2011, 2010 and 2009</w:t>
              </w:r>
            </w:hyperlink>
          </w:p>
        </w:tc>
        <w:tc>
          <w:tcPr>
            <w:tcW w:w="252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72"/>
        </w:trPr>
        <w:tc>
          <w:tcPr>
            <w:tcW w:w="9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3"/>
        </w:trPr>
        <w:tc>
          <w:tcPr>
            <w:tcW w:w="3080" w:type="dxa"/>
            <w:vAlign w:val="bottom"/>
            <w:tcBorders>
              <w:top w:val="single" w:sz="8" w:color="0000EE"/>
            </w:tcBorders>
          </w:tcPr>
          <w:p>
            <w:pPr>
              <w:spacing w:after="0"/>
              <w:rPr>
                <w:sz w:val="24"/>
                <w:szCs w:val="24"/>
                <w:color w:val="auto"/>
              </w:rPr>
            </w:pPr>
          </w:p>
        </w:tc>
        <w:tc>
          <w:tcPr>
            <w:tcW w:w="3420" w:type="dxa"/>
            <w:vAlign w:val="bottom"/>
            <w:gridSpan w:val="3"/>
          </w:tcPr>
          <w:p>
            <w:pPr>
              <w:jc w:val="right"/>
              <w:ind w:right="70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Rush Enterprises, Inc.</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2011 and 2010, and the related consolidated statements of income, shareholders’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2011 and 2010, and the consolidated results of their operations and their cash flows for each of the three years in the period ended December 31, 2011, in conformity with U.S. generally accepted accounting principles.</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Rush Enterprises, Inc.’s internal control over financial reporting as of December 31, 2011, based on criteria established in Internal Control-Integrated Framework issued by the Committee of Sponsoring Organizations of the Treadway Commission and our report dated March 15, 2012 expressed an unqualified opinion thereon.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4"/>
              </w:rPr>
              <w:t>Assets</w:t>
            </w:r>
          </w:p>
        </w:tc>
        <w:tc>
          <w:tcPr>
            <w:tcW w:w="87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98,160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980,005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558,807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499,667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48,789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1,717,701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1,167,933</w:t>
            </w:r>
          </w:p>
        </w:tc>
        <w:tc>
          <w:tcPr>
            <w:tcW w:w="0" w:type="dxa"/>
            <w:vAlign w:val="bottom"/>
          </w:tcPr>
          <w:p>
            <w:pPr>
              <w:spacing w:after="0"/>
              <w:rPr>
                <w:sz w:val="1"/>
                <w:szCs w:val="1"/>
                <w:color w:val="auto"/>
              </w:rPr>
            </w:pPr>
          </w:p>
        </w:tc>
      </w:tr>
      <w:tr>
        <w:trPr>
          <w:trHeight w:val="20"/>
        </w:trPr>
        <w:tc>
          <w:tcPr>
            <w:tcW w:w="92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Floor plan notes payable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520,693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134,278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69,036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264,822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391"/>
        </w:trPr>
        <w:tc>
          <w:tcPr>
            <w:tcW w:w="924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Preferred stock, par value $.01 per share; 1,000,000 shares authorized; 0 shares outstanding in 2011 and 2010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w w:val="88"/>
              </w:rPr>
              <w:t>Common stock, par value $.01 per share; 60,000,000 class A shares and 20,000,000 class B shares authorized; 27,406,424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60" w:type="dxa"/>
            <w:vAlign w:val="bottom"/>
            <w:gridSpan w:val="2"/>
          </w:tcPr>
          <w:p>
            <w:pPr>
              <w:ind w:left="180"/>
              <w:spacing w:after="0"/>
              <w:rPr>
                <w:sz w:val="20"/>
                <w:szCs w:val="20"/>
                <w:color w:val="auto"/>
              </w:rPr>
            </w:pPr>
            <w:r>
              <w:rPr>
                <w:rFonts w:ascii="Arial" w:cs="Arial" w:eastAsia="Arial" w:hAnsi="Arial"/>
                <w:sz w:val="18"/>
                <w:szCs w:val="18"/>
                <w:color w:val="auto"/>
                <w:w w:val="88"/>
              </w:rPr>
              <w:t>class A shares and 10,776,697 class B shares outstanding in 2011; and 26,798,707 class A shares and 10,700,044 class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760" w:type="dxa"/>
            <w:vAlign w:val="bottom"/>
            <w:gridSpan w:val="2"/>
          </w:tcPr>
          <w:p>
            <w:pPr>
              <w:ind w:left="180"/>
              <w:spacing w:after="0"/>
              <w:rPr>
                <w:sz w:val="20"/>
                <w:szCs w:val="20"/>
                <w:color w:val="auto"/>
              </w:rPr>
            </w:pPr>
            <w:r>
              <w:rPr>
                <w:rFonts w:ascii="Arial" w:cs="Arial" w:eastAsia="Arial" w:hAnsi="Arial"/>
                <w:sz w:val="18"/>
                <w:szCs w:val="18"/>
                <w:color w:val="auto"/>
              </w:rPr>
              <w:t>B shares outstanding in 2010</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Treasury stock, at cost: 1,639,843 class B shares</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7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2"/>
            <w:vMerge w:val="continue"/>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1,717,701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1,167,933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760" w:type="dxa"/>
            <w:vAlign w:val="bottom"/>
            <w:gridSpan w:val="2"/>
            <w:vMerge w:val="restart"/>
          </w:tcPr>
          <w:p>
            <w:pPr>
              <w:jc w:val="center"/>
              <w:ind w:left="161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4"/>
          </w:tcPr>
          <w:p>
            <w:pPr>
              <w:jc w:val="right"/>
              <w:ind w:right="34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left="514"/>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New and used commercial vehicle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1,801,964</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926,584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Parts and service sales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Lease and rental</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Finance and insurance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2,580,611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1,497,927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1,200,453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and used commercial vehicle sales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1,679,170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Parts and service sales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408,544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300,783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and rental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Total cost of products sold</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2,157,334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1,213,037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984,812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306,273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227,467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(7,181)</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interest expense, net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36,304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55,213</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31,282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share—Basic:</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9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$0.01</w:t>
            </w:r>
          </w:p>
        </w:tc>
        <w:tc>
          <w:tcPr>
            <w:tcW w:w="1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Treasury</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Retained</w:t>
            </w: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Class A</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Class 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Stock</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Earnings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79"/>
              </w:rPr>
              <w:t>Loss</w:t>
            </w: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26,256</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10,685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183,818</w:t>
            </w: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 (17,948)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$ 249,785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$416,041</w:t>
            </w:r>
          </w:p>
        </w:tc>
        <w:tc>
          <w:tcPr>
            <w:tcW w:w="0" w:type="dxa"/>
            <w:vAlign w:val="bottom"/>
          </w:tcPr>
          <w:p>
            <w:pPr>
              <w:spacing w:after="0"/>
              <w:rPr>
                <w:sz w:val="1"/>
                <w:szCs w:val="1"/>
                <w:color w:val="auto"/>
              </w:rPr>
            </w:pPr>
          </w:p>
        </w:tc>
      </w:tr>
      <w:tr>
        <w:trPr>
          <w:trHeight w:val="324"/>
        </w:trPr>
        <w:tc>
          <w:tcPr>
            <w:tcW w:w="5800" w:type="dxa"/>
            <w:vAlign w:val="bottom"/>
            <w:gridSpan w:val="2"/>
          </w:tcPr>
          <w:p>
            <w:pPr>
              <w:spacing w:after="0"/>
              <w:rPr>
                <w:sz w:val="20"/>
                <w:szCs w:val="20"/>
                <w:color w:val="auto"/>
              </w:rPr>
            </w:pPr>
            <w:r>
              <w:rPr>
                <w:rFonts w:ascii="Arial" w:cs="Arial" w:eastAsia="Arial" w:hAnsi="Arial"/>
                <w:sz w:val="14"/>
                <w:szCs w:val="14"/>
                <w:color w:val="auto"/>
              </w:rPr>
              <w:t>Stock options exercised (including tax effect of ($191))</w:t>
            </w: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Stock-based compensation related to stock options, restricted shares and employee stock purchase plan</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Vesting of restricted share awards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26,438</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10,689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188,116</w:t>
            </w: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(17,948)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255,669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426,225</w:t>
            </w:r>
          </w:p>
        </w:tc>
        <w:tc>
          <w:tcPr>
            <w:tcW w:w="0" w:type="dxa"/>
            <w:vAlign w:val="bottom"/>
          </w:tcPr>
          <w:p>
            <w:pPr>
              <w:spacing w:after="0"/>
              <w:rPr>
                <w:sz w:val="1"/>
                <w:szCs w:val="1"/>
                <w:color w:val="auto"/>
              </w:rPr>
            </w:pPr>
          </w:p>
        </w:tc>
      </w:tr>
      <w:tr>
        <w:trPr>
          <w:trHeight w:val="324"/>
        </w:trPr>
        <w:tc>
          <w:tcPr>
            <w:tcW w:w="5800" w:type="dxa"/>
            <w:vAlign w:val="bottom"/>
            <w:gridSpan w:val="2"/>
          </w:tcPr>
          <w:p>
            <w:pPr>
              <w:spacing w:after="0"/>
              <w:rPr>
                <w:sz w:val="20"/>
                <w:szCs w:val="20"/>
                <w:color w:val="auto"/>
              </w:rPr>
            </w:pPr>
            <w:r>
              <w:rPr>
                <w:rFonts w:ascii="Arial" w:cs="Arial" w:eastAsia="Arial" w:hAnsi="Arial"/>
                <w:sz w:val="14"/>
                <w:szCs w:val="14"/>
                <w:color w:val="auto"/>
              </w:rPr>
              <w:t>Stock options exercised (including tax benefit of $885)</w:t>
            </w:r>
          </w:p>
        </w:tc>
        <w:tc>
          <w:tcPr>
            <w:tcW w:w="440" w:type="dxa"/>
            <w:vAlign w:val="bottom"/>
          </w:tcPr>
          <w:p>
            <w:pPr>
              <w:jc w:val="right"/>
              <w:spacing w:after="0"/>
              <w:rPr>
                <w:sz w:val="20"/>
                <w:szCs w:val="20"/>
                <w:color w:val="auto"/>
              </w:rPr>
            </w:pPr>
            <w:r>
              <w:rPr>
                <w:rFonts w:ascii="Arial" w:cs="Arial" w:eastAsia="Arial" w:hAnsi="Arial"/>
                <w:sz w:val="14"/>
                <w:szCs w:val="14"/>
                <w:color w:val="auto"/>
              </w:rPr>
              <w:t>212</w:t>
            </w:r>
          </w:p>
        </w:tc>
        <w:tc>
          <w:tcPr>
            <w:tcW w:w="1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Stock-based compensation related to stock options, restricted shares and employee stock purchase plan</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Vesting of restricted share awards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Fair value adjustment of interest rate swaps, net of tax</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31,282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2010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26,799</w:t>
            </w:r>
          </w:p>
        </w:tc>
        <w:tc>
          <w:tcPr>
            <w:tcW w:w="1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10,700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391</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195,747</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(17,948)</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286,951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464,919</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 (including tax benefit of $1,628)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w w:val="88"/>
              </w:rPr>
              <w:t>Stock-based compensation related to stock options, restricted shares and employee stock purchase plan</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5,683</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share awards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837</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adjustment of interest rate swaps, net of tax</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(1,140)</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Unrealized loss on available-for-sale securities, net of tax</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55,213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2011</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27,406</w:t>
            </w:r>
          </w:p>
        </w:tc>
        <w:tc>
          <w:tcPr>
            <w:tcW w:w="1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10,777</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398</w:t>
            </w:r>
          </w:p>
        </w:tc>
        <w:tc>
          <w:tcPr>
            <w:tcW w:w="240" w:type="dxa"/>
            <w:vAlign w:val="bottom"/>
            <w:gridSpan w:val="2"/>
          </w:tcPr>
          <w:p>
            <w:pPr>
              <w:ind w:left="16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208,569</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 (17,948)</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0"/>
              </w:rPr>
              <w:t>$ 342,164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(1,949)</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531,234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left="433"/>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55,213</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31,282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operating activities, net of acquisitions-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property and equipment,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Gain on disposition of equipment centers</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7"/>
              </w:rPr>
              <w:t>Stock-based compensation expense related to employee stock options and employee stock purchases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Provision (benefit) for deferred 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provision from stock-based compensation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(49,986)</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inventories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(268,178)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Change in prepaid expenses and other,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trade accounts payable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Change in accrued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29,246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150,295</w:t>
            </w: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acquisitions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disposition of equipment centers</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(231,826)</w:t>
            </w: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(96,707)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(49,758)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Draws (payments) on floor plan notes payable,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282,883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43,724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(68,299)</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(55,575)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w w:val="94"/>
              </w:rPr>
              <w:t>Proceeds from issuance of shares relating to employee stock options and employee stock purchases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(provision) from stock-based compensation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(97,853)</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38,799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207,775</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168,976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860"/>
              <w:spacing w:after="0"/>
              <w:rPr>
                <w:sz w:val="20"/>
                <w:szCs w:val="20"/>
                <w:color w:val="auto"/>
              </w:rPr>
            </w:pPr>
            <w:r>
              <w:rPr>
                <w:rFonts w:ascii="Arial" w:cs="Arial" w:eastAsia="Arial" w:hAnsi="Arial"/>
                <w:sz w:val="18"/>
                <w:szCs w:val="18"/>
                <w:color w:val="auto"/>
              </w:rPr>
              <w:t>Income taxes, net of refunds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vMerge w:val="continue"/>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2,032</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7,544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Note receivable related to disposition of equipment centers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4,453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acquired under capital leases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Rush Enterprises, Inc. (the “Company”) was incorporated in 1965 under the laws of the State of Texas. The Company operates a network of Rush Truck Centers. Rush Truck Centers primarily sell commercial vehicles manufactured by Peterbilt, International, Hino, UD, Ford, Isuzu, Mitsubishi Fuso, IC Bus or Blue Bird. Through its network of Rush Truck Centers, the Company provides one-stop service for the needs of its customers, including retail sales of new and used commercial vehicles, aftermarket parts sales, service and repair facilities, financing, leasing and rental, and insurance products. The Company’s Rush Truck Centers are located in Alabama, Arizona, California, Colorado, Florida, Georgia, Idaho, New Mexico, North Carolina, Oklahoma, Oregon, Tennessee, Texas and Utah. See Note 20 of the Notes to Consolidated Financial Statements for segment information.</w:t>
      </w:r>
    </w:p>
    <w:p>
      <w:pPr>
        <w:spacing w:after="0" w:line="9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Amounts in the accompanying Consolidated Statements of Income for the year ended December 31, 2009, have been reclassified to reflect the results of the equipment center business sold during 2010, as if the Company had classified the equipment center business as discontinued operations.</w:t>
      </w:r>
    </w:p>
    <w:p>
      <w:pPr>
        <w:spacing w:after="0" w:line="58" w:lineRule="exact"/>
        <w:rPr>
          <w:sz w:val="20"/>
          <w:szCs w:val="20"/>
          <w:color w:val="auto"/>
        </w:rPr>
      </w:pPr>
    </w:p>
    <w:p>
      <w:pPr>
        <w:ind w:right="8060" w:firstLine="8"/>
        <w:spacing w:after="0" w:line="407"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jc w:val="both"/>
        <w:spacing w:after="0" w:line="268"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 inventory and by the first-in, first-out method for tires, parts and accessories. An allowance is provided when it is anticipated that cost will exceed net realizable value plus a reasonable profit margin.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$.06 million related to major capital projects during 2011. The cost, accumulated depreciation and amortization and estimated useful lives are summarized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Estimated Life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8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143,989</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31 – 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21,164</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31,287</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5</w:t>
            </w:r>
          </w:p>
        </w:tc>
        <w:tc>
          <w:tcPr>
            <w:tcW w:w="540" w:type="dxa"/>
            <w:vAlign w:val="bottom"/>
          </w:tcPr>
          <w:p>
            <w:pPr>
              <w:ind w:left="20"/>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3</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31,611</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2</w:t>
            </w:r>
          </w:p>
        </w:tc>
        <w:tc>
          <w:tcPr>
            <w:tcW w:w="540" w:type="dxa"/>
            <w:vAlign w:val="bottom"/>
          </w:tcPr>
          <w:p>
            <w:pPr>
              <w:ind w:left="20"/>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258,847</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 –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37,513</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(181,847)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(168,336)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499,667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445,919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2011, the Company had $44.4 million in lease and rental vehicles under various capital leases included in property and equipment, net of accumulated amortization of $15.8 million. The Company recorded depreciation expense of $48.3 million and amortization expense of $8.6 million for the year ended December 31, 2011, and depreciation expense of $39.6 million and amortization expense of $6.3 million for the year ended December 31, 2010. Depreciation and amortization of vehicles related to lease and rental operations is included in lease and rental cost of products sold.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the excess of the purchase price over the fair value of identifiable net assets acquired in business combinations accounted for under the purchase method. The Company does not amortize goodwill or other indefinite-lived intangible assets,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market value of the Company’s manufacturer franchise rights,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impairment write down was required in the fourth quarter of 2011. However, the Company cannot predict the occurrence of certain events that might adversely affect the reported value of goodwill or manufacturer franchise rights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change in the carrying amount of goodwill for the Company for the period ended December 31, 2011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Acquisition of Asbury Automotive Atlanta, L.L.C. (See Note 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Heintzelman’s Truck Center (See Note 15)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Acquisition of Peck Road Ford (See Note 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West Texas Peterbilt (See Note 15)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2011, the Company determined that the SAP enterprise software and SAP dealership management system were ready for their intended use, placed them in service and began amortization of the capitalized costs of the software. The total capitalized costs of $41.9 million, including capitalized interest, are recorded on the Consolidated Balance Sheet in Other Assets, net of accumulated amortization of $1.2 million. Amortization expense of $1.2 million is included in depreciation and amortization expense. The Company capitalized interest of $0.7 million related to the SAP enterprise software and SAP dealership management system during 2011. The SAP software will be amortized over a period of 15 years resulting in amortization expense of $2.8 million per year.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over the next three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Other Assets on the Consolidated Balance Sheet include manufacturer franchise rights of $2.8 million at December 31,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income tax returns, like those of most companies, are periodically audited by U.S. federal, state and local tax authorities. These audits include questions regarding the Company’s tax filing positions, including the timing and amount of deductions. At any one time, multiple tax years are subject to audit by the various tax authorities. In evaluating the tax benefits associated with the Company’s various tax filing positions, it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 of Income. Unfavorable settlement of any particular issue would require use of the Company’s cash and a charge to income tax expense. Favorable resolution would be recognized as a reduction to income tax expense at the time of resolution.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Income on the sale of a vehicle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2011, 2010 and 2009,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Company’s new and used commercial vehicle operations and its parts operations, cost of sales consists primarily of the Company’s actual purchase price, less manufacturer’s incentives, for new and used commercial vehicles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and restricted stock awards as well as employee stock purchases under the Employee Stock Purchase Plan based on estimated fair values.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Statements of Income.</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Stock-based compensation expense recognized is based on the fair value of the portion of share-based payment awards that is ultimately expected to vest during the period. Compensation expense for all share-based payment awards is recognized using the straight-line single-option method. 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w:t>
      </w:r>
    </w:p>
    <w:p>
      <w:pPr>
        <w:spacing w:after="0" w:line="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without limitation,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ASC topic 718-10 using an option-pricing model, that value may not be indicative of the fair value observed in a market transaction between a willing buyer and a willing seller.</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volatility</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6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51.5%</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2.00%</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620" w:type="dxa"/>
            <w:vAlign w:val="bottom"/>
          </w:tcPr>
          <w:p>
            <w:pPr>
              <w:jc w:val="right"/>
              <w:ind w:right="44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8.68</w:t>
            </w:r>
          </w:p>
        </w:tc>
        <w:tc>
          <w:tcPr>
            <w:tcW w:w="3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bl>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Advertising and marketing expense was $3.7 million for 2011, $2.9 million for 2010 and $2.1 million for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expense is included in selling, general and administrative expense.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$41.9 million at December 31, 2011, net of accumulated amortization of $1.2 million, and $36.7 million at December 31,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and Hedging Activities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2011,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2011, the FASB issued an accounting standard update that requires the presentation of components of other comprehensive income with the components of net income in either (1) a continuous statement of comprehensive income that contains two sections, net income and other comprehensive income, or (2) two separate but consecutive statements. This accounting standard update eliminated the option to present components of other comprehensive income as part of the statement of shareholders’ equity, and is effective for interim and annual periods beginning after December 15, 2011. In December 2011, this standard was amended to delay the proposed identification of reclassification adjustments in the consolidated statements of income. The adoption of this accounting standard update will not have an impact on our consolidated financial position, results of operations, or cash flows, as it only requires a change in the format of our current presentation of comprehensive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40" w:firstLine="8"/>
        <w:spacing w:after="0" w:line="458"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SUPPLIER AND CUSTOMER CONCENTRATION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Suppliers and Dealership Agreements</w:t>
      </w:r>
    </w:p>
    <w:p>
      <w:pPr>
        <w:jc w:val="both"/>
        <w:spacing w:after="0" w:line="306" w:lineRule="auto"/>
        <w:rPr>
          <w:sz w:val="20"/>
          <w:szCs w:val="20"/>
          <w:color w:val="auto"/>
        </w:rPr>
      </w:pPr>
      <w:r>
        <w:rPr>
          <w:rFonts w:ascii="Arial" w:cs="Arial" w:eastAsia="Arial" w:hAnsi="Arial"/>
          <w:sz w:val="16"/>
          <w:szCs w:val="16"/>
          <w:color w:val="auto"/>
        </w:rPr>
        <w:t>The Company has entered into dealership agreements with various manufacturers of vehicles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Distributor</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8"/>
              </w:rPr>
              <w:t>Expiration Dates</w:t>
            </w:r>
          </w:p>
        </w:tc>
      </w:tr>
      <w:tr>
        <w:trPr>
          <w:trHeight w:val="210"/>
        </w:trPr>
        <w:tc>
          <w:tcPr>
            <w:tcW w:w="5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June 2012 through December 2014</w:t>
            </w:r>
          </w:p>
        </w:tc>
      </w:tr>
      <w:tr>
        <w:trPr>
          <w:trHeight w:val="216"/>
        </w:trPr>
        <w:tc>
          <w:tcPr>
            <w:tcW w:w="5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International</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May 2013 through May 2015</w:t>
            </w:r>
          </w:p>
        </w:tc>
      </w:tr>
      <w:tr>
        <w:trPr>
          <w:trHeight w:val="216"/>
        </w:trPr>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Autocar</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2012</w:t>
            </w:r>
          </w:p>
        </w:tc>
      </w:tr>
      <w:tr>
        <w:trPr>
          <w:trHeight w:val="216"/>
        </w:trPr>
        <w:tc>
          <w:tcPr>
            <w:tcW w:w="5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Mitsubishi Fuso</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May 2015</w:t>
            </w:r>
          </w:p>
        </w:tc>
      </w:tr>
      <w:tr>
        <w:trPr>
          <w:trHeight w:val="216"/>
        </w:trPr>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Isuzu</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16"/>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Hino</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16"/>
        </w:trPr>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UD</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16"/>
        </w:trPr>
        <w:tc>
          <w:tcPr>
            <w:tcW w:w="5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Ford</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16"/>
        </w:trPr>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Blue Bird</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2013</w:t>
            </w:r>
          </w:p>
        </w:tc>
      </w:tr>
      <w:tr>
        <w:trPr>
          <w:trHeight w:val="216"/>
        </w:trPr>
        <w:tc>
          <w:tcPr>
            <w:tcW w:w="59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Micro Bird</w:t>
            </w: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August 2013</w:t>
            </w:r>
          </w:p>
        </w:tc>
      </w:tr>
      <w:tr>
        <w:trPr>
          <w:trHeight w:val="216"/>
        </w:trPr>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IC Bus</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r>
      <w:tr>
        <w:trPr>
          <w:trHeight w:val="222"/>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Elkhart</w:t>
            </w: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August 2012</w:t>
            </w:r>
          </w:p>
        </w:tc>
      </w:tr>
    </w:tbl>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purchases its new Peterbilt vehicles and most of its parts from PACCAR, the maker of Peterbilt trucks and parts, at prevailing prices charged to all franchised dealers. Sales of new Peterbilt trucks accounted for approximately 74.1% of the Company’s new vehicle sales for the year ended December 31, 2011, and 77.1% of the Company’s new vehicle sales for the year ended December 31,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The Company’s floor plan financing agreements provide that the occurrence of certain events will be considered events of default. There were no known events of default as of December 31, 2011.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Company also acquires lease and rental vehicles with the assistance of financing agreements with PACCAR Leasing Company. The financing agreements are secured by a lien on the lease and rental vehicle. The terms of the financing agreements are similar to the corresponding lease agreements with the customers.</w:t>
      </w:r>
    </w:p>
    <w:p>
      <w:pPr>
        <w:spacing w:after="0" w:line="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At December 31, 2011, the Company was in compliance with all debt covenants. The Company does not anticipate any breach of the covenants in the foreseeable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2011, the Company did not have any deposits in excess of federal insurance protection.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commercial vehicle markets and related aftermarkets.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1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4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58,741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Trade receivables other than vehicles</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Other accounts receivable</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 for bad debt and warranty receivable</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98,160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0"/>
        </w:trPr>
        <w:tc>
          <w:tcPr>
            <w:tcW w:w="5280" w:type="dxa"/>
            <w:vAlign w:val="bottom"/>
            <w:gridSpan w:val="4"/>
            <w:vMerge w:val="restart"/>
          </w:tcPr>
          <w:p>
            <w:pPr>
              <w:spacing w:after="0"/>
              <w:rPr>
                <w:sz w:val="20"/>
                <w:szCs w:val="20"/>
                <w:color w:val="auto"/>
              </w:rPr>
            </w:pPr>
            <w:r>
              <w:rPr>
                <w:rFonts w:ascii="Arial" w:cs="Arial" w:eastAsia="Arial" w:hAnsi="Arial"/>
                <w:sz w:val="18"/>
                <w:szCs w:val="18"/>
                <w:color w:val="auto"/>
              </w:rPr>
              <w:t>5. INVENTORIES:</w:t>
            </w: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280" w:type="dxa"/>
            <w:vAlign w:val="bottom"/>
            <w:gridSpan w:val="4"/>
            <w:vMerge w:val="continue"/>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280" w:type="dxa"/>
            <w:vAlign w:val="bottom"/>
            <w:gridSpan w:val="4"/>
          </w:tcPr>
          <w:p>
            <w:pPr>
              <w:spacing w:after="0"/>
              <w:rPr>
                <w:sz w:val="20"/>
                <w:szCs w:val="20"/>
                <w:color w:val="auto"/>
              </w:rPr>
            </w:pPr>
            <w:r>
              <w:rPr>
                <w:rFonts w:ascii="Arial" w:cs="Arial" w:eastAsia="Arial" w:hAnsi="Arial"/>
                <w:sz w:val="18"/>
                <w:szCs w:val="18"/>
                <w:color w:val="auto"/>
                <w:w w:val="95"/>
              </w:rPr>
              <w:t>The Company’s inventories consisted of the following (in thousands):</w:t>
            </w: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4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488,397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Used commercial vehicles</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649,626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321,933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960" w:type="dxa"/>
            <w:vAlign w:val="bottom"/>
            <w:vMerge w:val="restart"/>
          </w:tcPr>
          <w:p>
            <w:pPr>
              <w:jc w:val="right"/>
              <w:ind w:right="3352"/>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VALUATION ACCOUNTS: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Charged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4"/>
              </w:rPr>
              <w:t>Beginning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to Costs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Net Write-</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of 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Expenses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Acquisitions</w:t>
            </w:r>
          </w:p>
        </w:tc>
        <w:tc>
          <w:tcPr>
            <w:tcW w:w="1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Offs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of Year</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800" w:type="dxa"/>
            <w:vAlign w:val="bottom"/>
            <w:gridSpan w:val="2"/>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construction equipment inventory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800" w:type="dxa"/>
            <w:vAlign w:val="bottom"/>
            <w:gridSpan w:val="2"/>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Reserve for construction equipment inventory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w:t>
      </w:r>
    </w:p>
    <w:p>
      <w:pPr>
        <w:spacing w:after="0" w:line="8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Company sells a majority of its customer accounts receivable on a non-recourse basis to a third party that is responsible for qualifying the customer for credit at the point of sale. If the third party approves the customer for credit, then the third party assumes all credit risk related to the transaction. The Company provides an allowance for doubtful receivables after considering historical loss experience and other factors that might affect the collection of accounts receivable.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is reviewed and, if necessary, adjustments to the value of specific units are made on a quarterly basis.</w:t>
      </w:r>
    </w:p>
    <w:p>
      <w:pPr>
        <w:spacing w:after="0" w:line="105" w:lineRule="exact"/>
        <w:rPr>
          <w:sz w:val="20"/>
          <w:szCs w:val="20"/>
          <w:color w:val="auto"/>
        </w:rPr>
      </w:pPr>
    </w:p>
    <w:p>
      <w:pPr>
        <w:ind w:right="6780" w:firstLine="8"/>
        <w:spacing w:after="0" w:line="407"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jc w:val="both"/>
        <w:spacing w:after="0" w:line="259" w:lineRule="auto"/>
        <w:rPr>
          <w:sz w:val="20"/>
          <w:szCs w:val="20"/>
          <w:color w:val="auto"/>
        </w:rPr>
      </w:pPr>
      <w:r>
        <w:rPr>
          <w:rFonts w:ascii="Arial" w:cs="Arial" w:eastAsia="Arial" w:hAnsi="Arial"/>
          <w:sz w:val="18"/>
          <w:szCs w:val="18"/>
          <w:color w:val="auto"/>
        </w:rPr>
        <w:t>Floor plan notes are financing agreements to facilitate the Company’s purchase of new and used commercial vehicles. These notes are collateralized by the inventory purchased and accounts receivable arising from the sale thereof. The Company’s credit agreement with GE Capital has the interest rate benchmarked to LIBOR, as defined in the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under the credit agreement with GE Capital was LIBOR plus 2.95%. The interest rate applicable to the GE Capital credit agreement was approximately 3.48% at December 31, 2011. The Company’s weighted average interest rate for floor plan notes payable was 1.00% for the year ended December 31, 2011, and 1.09% for the year ended December 31, 2010, which is net of interest income earned from GE Capital. The GE Capital credit agreement allowed for prepayment of the inventory loans, up to 65% of the aggregate inventory loans outstanding, with monthly adjustments to the interest due, which reduced the Company’s weighted average interest rate.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finances substantially all of the purchase price of its new commercial vehicle inventory, and the loan value of its used commercial vehicle inventory under the credit agreement with GE Capital, under which GE Capital pays the manufacturer directly with respect to new commercial vehicles. Amounts borrowed under the agreement are due when the related commercial vehicle inventory (collateral) is sold and the sales proceeds are collected by the Company. This agreement may be modified, suspended or terminated by the lender as described in Note 3. On December 31, 2011, the Company had approximately $496.3 million outstanding under its credit agreement with GE Capital.</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2012, the Company entered into an amended and restated $600.0 million credit agreement with GE Capital. The interest rate under the amended credit agreement is LIBOR plus 2.23% on inventory loans up to $500.0 million and LIBOR plus 2.95% on inventory loans between $500.0 million and $600.0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December 31, 2011, the Company had approximately $24.4 million outstanding under its floor plan program with Navistar Financial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Assets pledged as collateral as of December 31, 2011 and 2010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Inventories, new and used vehicles at cost based on specific identification, net of allowance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Vehicle sale related accounts receivable</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58,741</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595,568</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240" w:type="dxa"/>
            <w:vAlign w:val="bottom"/>
            <w:gridSpan w:val="3"/>
          </w:tcPr>
          <w:p>
            <w:pPr>
              <w:spacing w:after="0"/>
              <w:rPr>
                <w:sz w:val="20"/>
                <w:szCs w:val="20"/>
                <w:color w:val="auto"/>
              </w:rPr>
            </w:pPr>
            <w:r>
              <w:rPr>
                <w:rFonts w:ascii="Arial" w:cs="Arial" w:eastAsia="Arial" w:hAnsi="Arial"/>
                <w:sz w:val="18"/>
                <w:szCs w:val="18"/>
                <w:color w:val="auto"/>
              </w:rPr>
              <w:t>Floor plan notes payable related to vehicles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520,693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237,810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w w:val="91"/>
              </w:rPr>
              <w:t>Lines of Credit</w:t>
            </w:r>
          </w:p>
        </w:tc>
        <w:tc>
          <w:tcPr>
            <w:tcW w:w="816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80" w:type="dxa"/>
            <w:vAlign w:val="bottom"/>
            <w:tcBorders>
              <w:bottom w:val="single" w:sz="8" w:color="auto"/>
            </w:tcBorders>
            <w:gridSpan w:val="2"/>
            <w:vMerge w:val="continue"/>
          </w:tcPr>
          <w:p>
            <w:pPr>
              <w:spacing w:after="0"/>
              <w:rPr>
                <w:sz w:val="24"/>
                <w:szCs w:val="24"/>
                <w:color w:val="auto"/>
              </w:rPr>
            </w:pPr>
          </w:p>
        </w:tc>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December 31, 2011; however, $7.7 million was pledged to secure various letters of credit related to self-insurance products, leaving $2.3 million available for future borrowings as of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LONG-TERM DEBT</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130,092</w:t>
            </w: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Fixed interest rate term notes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198,195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328,287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4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(63,465)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264,822</w:t>
            </w: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2011, debt maturities were as follows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rates on the Company’s variable interest rate notes are based on LIBOR. The interest rates on the notes range from approximately 1.78% to 3.28% on December 31, 2011. Payments on the notes range from $1,910 to $80,000 per month, plus interest. Maturities of these notes range from December 2012 to December 2016.</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Company’s fixed interest rate notes are with financial institutions and had interest rates that ranged from approximately 3.24% to 8.50% on December 31, 2011. Payments on the notes range from $186 to $44,021 per month, plus interest. Maturities of these notes range from January 2012, to November 2021.</w:t>
      </w:r>
    </w:p>
    <w:p>
      <w:pPr>
        <w:spacing w:after="0" w:line="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0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long-term real estate debt agreements and floor plan arrangement require the Company to satisfy various financial ratios such as the debt to worth ratio, leverage ratio, the fixed charge coverage ratio and certain requirements for tangible net worth and GAAP net worth. At December 31, 2011, the Company was in compliance with all debt covenants related to debt secured by real estate. The Company does not anticipate any breach of the covenants in the foreseeable future.</w:t>
      </w:r>
    </w:p>
    <w:p>
      <w:pPr>
        <w:spacing w:after="0" w:line="116"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December 31, 2011. The carrying value of current assets and current liabilities approximates the fair value due to the short maturity of these items.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8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As of December 31, 2011, the Company held auction rate securities with underlying tax-exempt municipal bonds that mature in 2030 that have a fair value of $6.6 million and a cost basis of $7.6 million. These bonds have credit wrap insurance and a credit rating of Aa3 by a major credit rating agency.</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2011, the Company determined that the auction-rate securities should be transferred out of Level 2 and into Level 3 of the fair value hierarchy, as quoted prices were unavailable since these auction rate securities have failed auction and have not traded since April 2011.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valued the auction rate securities at December 31, 2011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recorded a pre-tax impairment charge of $1.0 million on these investments. The Company believes that the impairment is temporary and has recognized the impairment in accumulated other comprehensive loss.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disclosures about the auction rate securities measured at fair value on a recurring basis in the Company’s financial statements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December 31, 2011</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Cost Basis</w:t>
            </w:r>
          </w:p>
        </w:tc>
        <w:tc>
          <w:tcPr>
            <w:tcW w:w="1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7"/>
          </w:tcPr>
          <w:p>
            <w:pPr>
              <w:jc w:val="center"/>
              <w:ind w:left="528"/>
              <w:spacing w:after="0" w:line="142" w:lineRule="exact"/>
              <w:rPr>
                <w:sz w:val="20"/>
                <w:szCs w:val="20"/>
                <w:color w:val="auto"/>
              </w:rPr>
            </w:pPr>
            <w:r>
              <w:rPr>
                <w:rFonts w:ascii="Arial" w:cs="Arial" w:eastAsia="Arial" w:hAnsi="Arial"/>
                <w:sz w:val="14"/>
                <w:szCs w:val="14"/>
                <w:b w:val="1"/>
                <w:bCs w:val="1"/>
                <w:color w:val="auto"/>
                <w:w w:val="88"/>
              </w:rPr>
              <w:t>Fair Value Estimated Using</w:t>
            </w: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08"/>
              <w:spacing w:after="0" w:line="129" w:lineRule="exact"/>
              <w:rPr>
                <w:sz w:val="20"/>
                <w:szCs w:val="20"/>
                <w:color w:val="auto"/>
              </w:rPr>
            </w:pPr>
            <w:r>
              <w:rPr>
                <w:rFonts w:ascii="Arial" w:cs="Arial" w:eastAsia="Arial" w:hAnsi="Arial"/>
                <w:sz w:val="14"/>
                <w:szCs w:val="14"/>
                <w:b w:val="1"/>
                <w:bCs w:val="1"/>
                <w:color w:val="auto"/>
                <w:w w:val="88"/>
              </w:rPr>
              <w:t>Level 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At December 31, 2010</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Cost Basis</w:t>
            </w:r>
          </w:p>
        </w:tc>
        <w:tc>
          <w:tcPr>
            <w:tcW w:w="1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7"/>
          </w:tcPr>
          <w:p>
            <w:pPr>
              <w:ind w:left="640"/>
              <w:spacing w:after="0" w:line="142" w:lineRule="exact"/>
              <w:rPr>
                <w:sz w:val="20"/>
                <w:szCs w:val="20"/>
                <w:color w:val="auto"/>
              </w:rPr>
            </w:pPr>
            <w:r>
              <w:rPr>
                <w:rFonts w:ascii="Arial" w:cs="Arial" w:eastAsia="Arial" w:hAnsi="Arial"/>
                <w:sz w:val="14"/>
                <w:szCs w:val="14"/>
                <w:b w:val="1"/>
                <w:bCs w:val="1"/>
                <w:color w:val="auto"/>
                <w:w w:val="91"/>
              </w:rPr>
              <w:t>Fair Value Estimated Using</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08"/>
              <w:spacing w:after="0" w:line="129" w:lineRule="exact"/>
              <w:rPr>
                <w:sz w:val="20"/>
                <w:szCs w:val="20"/>
                <w:color w:val="auto"/>
              </w:rPr>
            </w:pPr>
            <w:r>
              <w:rPr>
                <w:rFonts w:ascii="Arial" w:cs="Arial" w:eastAsia="Arial" w:hAnsi="Arial"/>
                <w:sz w:val="14"/>
                <w:szCs w:val="14"/>
                <w:b w:val="1"/>
                <w:bCs w:val="1"/>
                <w:color w:val="auto"/>
                <w:w w:val="88"/>
              </w:rPr>
              <w:t>Level 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126"/>
              <w:spacing w:after="0" w:line="129"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center"/>
              <w:ind w:left="20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2011,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year ended December 31, 2011 and 2010.</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$2.2 million as of December 31, 2011. The carrying value of these swaps is included in Other Long-Term Liabilities on the accompanying Consolidated Balance Sheet as of December 31, 2011.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 Company was party to derivative financial instruments, as described in the following table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Fixed</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Agreement</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Interest</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gridSpan w:val="3"/>
            <w:vMerge w:val="continue"/>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Rate</w:t>
            </w:r>
          </w:p>
        </w:tc>
        <w:tc>
          <w:tcPr>
            <w:tcW w:w="13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Rate</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Expiration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3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1, 2015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4,536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5.075%</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3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1, 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1,517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5.39%</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December 31, 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6,109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5.39%</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December 31, 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29, 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30, 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8,352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30, 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2,894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 month LIBOR</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30, 2015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75"/>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 instruments are on the accompanying Consolidated Balance Sheet as of December 31, 2011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Derivatives Designated as</w:t>
            </w:r>
          </w:p>
        </w:tc>
        <w:tc>
          <w:tcPr>
            <w:tcW w:w="27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Asset Derivatives</w:t>
            </w:r>
          </w:p>
        </w:tc>
        <w:tc>
          <w:tcPr>
            <w:tcW w:w="2520" w:type="dxa"/>
            <w:vAlign w:val="bottom"/>
            <w:gridSpan w:val="5"/>
          </w:tcPr>
          <w:p>
            <w:pPr>
              <w:ind w:left="620"/>
              <w:spacing w:after="0"/>
              <w:rPr>
                <w:sz w:val="20"/>
                <w:szCs w:val="20"/>
                <w:color w:val="auto"/>
              </w:rPr>
            </w:pPr>
            <w:r>
              <w:rPr>
                <w:rFonts w:ascii="Arial" w:cs="Arial" w:eastAsia="Arial" w:hAnsi="Arial"/>
                <w:sz w:val="14"/>
                <w:szCs w:val="14"/>
                <w:b w:val="1"/>
                <w:bCs w:val="1"/>
                <w:color w:val="auto"/>
              </w:rPr>
              <w:t>Liability Derivatives</w:t>
            </w:r>
          </w:p>
        </w:tc>
      </w:tr>
      <w:tr>
        <w:trPr>
          <w:trHeight w:val="149"/>
        </w:trPr>
        <w:tc>
          <w:tcPr>
            <w:tcW w:w="13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Hedging Instruments</w:t>
            </w:r>
          </w:p>
        </w:tc>
        <w:tc>
          <w:tcPr>
            <w:tcW w:w="4900" w:type="dxa"/>
            <w:vAlign w:val="bottom"/>
          </w:tcPr>
          <w:p>
            <w:pPr>
              <w:spacing w:after="0"/>
              <w:rPr>
                <w:sz w:val="12"/>
                <w:szCs w:val="12"/>
                <w:color w:val="auto"/>
              </w:rPr>
            </w:pPr>
          </w:p>
        </w:tc>
        <w:tc>
          <w:tcPr>
            <w:tcW w:w="1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8"/>
              </w:rPr>
              <w:t>Balance Sheet Location</w:t>
            </w:r>
          </w:p>
        </w:tc>
        <w:tc>
          <w:tcPr>
            <w:tcW w:w="90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3"/>
              </w:rPr>
              <w:t>Balance Sheet Location</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2"/>
                <w:szCs w:val="12"/>
                <w:color w:val="auto"/>
              </w:rPr>
            </w:pPr>
          </w:p>
        </w:tc>
      </w:tr>
      <w:tr>
        <w:trPr>
          <w:trHeight w:val="195"/>
        </w:trPr>
        <w:tc>
          <w:tcPr>
            <w:tcW w:w="62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Interest Rate Swaps</w:t>
            </w: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Other Long-</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130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9"/>
                <w:szCs w:val="19"/>
                <w:color w:val="auto"/>
              </w:rPr>
            </w:pPr>
          </w:p>
        </w:tc>
      </w:tr>
    </w:tbl>
    <w:p>
      <w:pPr>
        <w:spacing w:after="0" w:line="127" w:lineRule="exact"/>
        <w:rPr>
          <w:sz w:val="20"/>
          <w:szCs w:val="20"/>
          <w:color w:val="auto"/>
        </w:rPr>
      </w:pPr>
    </w:p>
    <w:p>
      <w:pPr>
        <w:ind w:right="9340" w:firstLine="8"/>
        <w:spacing w:after="0" w:line="458" w:lineRule="auto"/>
        <w:tabs>
          <w:tab w:leader="none" w:pos="26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LEASING ACTIVITIES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Vehicle Leases as Lessee</w:t>
      </w:r>
    </w:p>
    <w:p>
      <w:pPr>
        <w:jc w:val="both"/>
        <w:spacing w:after="0" w:line="314" w:lineRule="auto"/>
        <w:rPr>
          <w:sz w:val="20"/>
          <w:szCs w:val="20"/>
          <w:color w:val="auto"/>
        </w:rPr>
      </w:pPr>
      <w:r>
        <w:rPr>
          <w:rFonts w:ascii="Arial" w:cs="Arial" w:eastAsia="Arial" w:hAnsi="Arial"/>
          <w:sz w:val="15"/>
          <w:szCs w:val="15"/>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2011, the Company guaranteed vehicle residual values of $5.7 million under operating lease arrangements and $18.5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$2.8 million for the year ended December 31, 2011, $3.8 million for the year ended December 31, 2010, and $3.8 million for the year ended December 31, 2009.</w:t>
      </w:r>
    </w:p>
    <w:p>
      <w:pPr>
        <w:spacing w:after="0" w:line="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discussed below, these vehicles are then subleased by the Company to customers under various agreements. Future minimum sublease rentals to be received by the Company under non-cancelable subleases, as described below, are $48.2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and non-cancelable vehicle leases as of December 31, 2011,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Leases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jc w:val="right"/>
              <w:ind w:right="3792"/>
              <w:spacing w:after="0" w:line="202" w:lineRule="exact"/>
              <w:rPr>
                <w:sz w:val="20"/>
                <w:szCs w:val="20"/>
                <w:color w:val="auto"/>
              </w:rPr>
            </w:pPr>
            <w:r>
              <w:rPr>
                <w:rFonts w:ascii="Arial" w:cs="Arial" w:eastAsia="Arial" w:hAnsi="Arial"/>
                <w:sz w:val="18"/>
                <w:szCs w:val="18"/>
                <w:color w:val="auto"/>
              </w:rPr>
              <w:t>2012</w:t>
            </w:r>
          </w:p>
        </w:tc>
        <w:tc>
          <w:tcPr>
            <w:tcW w:w="4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jc w:val="right"/>
              <w:ind w:right="3792"/>
              <w:spacing w:after="0"/>
              <w:rPr>
                <w:sz w:val="20"/>
                <w:szCs w:val="20"/>
                <w:color w:val="auto"/>
              </w:rPr>
            </w:pPr>
            <w:r>
              <w:rPr>
                <w:rFonts w:ascii="Arial" w:cs="Arial" w:eastAsia="Arial" w:hAnsi="Arial"/>
                <w:sz w:val="18"/>
                <w:szCs w:val="18"/>
                <w:color w:val="auto"/>
              </w:rPr>
              <w:t>2013</w:t>
            </w: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jc w:val="right"/>
              <w:ind w:right="3792"/>
              <w:spacing w:after="0"/>
              <w:rPr>
                <w:sz w:val="20"/>
                <w:szCs w:val="20"/>
                <w:color w:val="auto"/>
              </w:rPr>
            </w:pPr>
            <w:r>
              <w:rPr>
                <w:rFonts w:ascii="Arial" w:cs="Arial" w:eastAsia="Arial" w:hAnsi="Arial"/>
                <w:sz w:val="18"/>
                <w:szCs w:val="18"/>
                <w:color w:val="auto"/>
              </w:rPr>
              <w:t>2014</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jc w:val="right"/>
              <w:ind w:right="3792"/>
              <w:spacing w:after="0"/>
              <w:rPr>
                <w:sz w:val="20"/>
                <w:szCs w:val="20"/>
                <w:color w:val="auto"/>
              </w:rPr>
            </w:pPr>
            <w:r>
              <w:rPr>
                <w:rFonts w:ascii="Arial" w:cs="Arial" w:eastAsia="Arial" w:hAnsi="Arial"/>
                <w:sz w:val="18"/>
                <w:szCs w:val="18"/>
                <w:color w:val="auto"/>
              </w:rPr>
              <w:t>2015</w:t>
            </w: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jc w:val="right"/>
              <w:ind w:right="3792"/>
              <w:spacing w:after="0"/>
              <w:rPr>
                <w:sz w:val="20"/>
                <w:szCs w:val="20"/>
                <w:color w:val="auto"/>
              </w:rPr>
            </w:pPr>
            <w:r>
              <w:rPr>
                <w:rFonts w:ascii="Arial" w:cs="Arial" w:eastAsia="Arial" w:hAnsi="Arial"/>
                <w:sz w:val="18"/>
                <w:szCs w:val="18"/>
                <w:color w:val="auto"/>
              </w:rPr>
              <w:t>2016</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4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vMerge w:val="continue"/>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capital lease payments</w:t>
            </w:r>
          </w:p>
        </w:tc>
        <w:tc>
          <w:tcPr>
            <w:tcW w:w="4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current portion</w:t>
            </w: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(10,056)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45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560" w:type="dxa"/>
            <w:vAlign w:val="bottom"/>
            <w:vMerge w:val="restart"/>
          </w:tcPr>
          <w:p>
            <w:pPr>
              <w:jc w:val="right"/>
              <w:ind w:right="3352"/>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Vehicle Leases as Lessor</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both owned and leased trucks to customers primarily over periods of one to ten years under operating lease arrangements. These leases require a minimum rental payment and a contingent rental payment based on mileage. Rental income during the year ended December 31, 2011, consisted of minimum rental payments of approximately $68.3 million and contingent rental payments of $10.6 million. Rental income during the year ended December 31, 2010, consisted of minimum rental payments of approximately $53.4 million and contingent rental payments of $7.5 million. Rental income during the year ended December 31, 2009, consisted of minimum rental payments of approximately $47.2 million and contingent rental payments of $6.3 million. Minimum rental payments to be received for non-cancelable leases and subleases in effect at December 31, 2011,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0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the Company had $229.3 million of lease vehicles included in property and equipment, net of accumulated depreciation of $97.4 million. As of December 31, 2010, the Company had $177.5 million of lease vehicles included in property and equipment, net of accumulated depreciation of $81.3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Leases—Land and Buildings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various assets under operating leases with expiration dates ranging from February 2012, through November 2027. Monthly rental payments range from approximately $325 per month to $45,000 per month. Rental expense was $5.7 million for the year ended December 31, 2011, $4.6 million for the year ended December 31, 2010, and $4.2 million for the year ended December 31, 2009. Future minimum lease payments under non-cancelable leases at December 31, 2011,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0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SHARE BASED COMPENSATION AND EMPLOYEE BENEFIT PLANS</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Arial" w:cs="Arial" w:eastAsia="Arial" w:hAnsi="Arial"/>
          <w:sz w:val="10"/>
          <w:szCs w:val="10"/>
          <w:color w:val="auto"/>
        </w:rPr>
        <w:t>SM</w:t>
      </w:r>
      <w:r>
        <w:rPr>
          <w:rFonts w:ascii="Arial" w:cs="Arial" w:eastAsia="Arial" w:hAnsi="Arial"/>
          <w:sz w:val="16"/>
          <w:szCs w:val="16"/>
          <w:color w:val="auto"/>
        </w:rPr>
        <w:t>. Employees may purchase shares having a fair market value of up to $25,000 (measured as of the first day of each semi-annual offering period) for each calendar year. Under the Employee Stock Purchase Plan, there are approximately 465,000 shares remaining of the 900,000 shares of the Company’s Class A common stock that have been reserved for issuance. The Company issued 62,405 shares under the Employee Stock Purchase Plan during the year ended December 31, 2011 and 65,757 shares during the year ended December 31, 2010. Of the 3,865 employees eligible to participate, 443 were participants in the plan as of December 31, 2011.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 The Director Plan was also amended on May 18, 2010 to reduce the number of shares reserved for issuance under the plan by 1,000,000 shares of Class A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Beginning in 2008, each non-employee director received a grant of the Company’s Class A common stock equivalent to a compensation value of $125,000, in 2009 the compensation value was reduced to $100,000, and in 2011 the compensation value was increased back to $125,000. In 2010, two non-employee directors received a grant of 6,527 shares of the Company’s Class A common stock and three non-employee directors received a grant of 4,242 shares of the Company’s Class A common stock and $35,000 cash, for total compensation equivalent to $100,000. In 2011, three non-employee directors received a grant of 6,309 shares of the Company’s Class A common stock and one non-employee directors received a grant of 3,785 shares of the Company’s Class A common stock and $50,000 cash, for total compensation equivalent to $125,000. Under the Director Plan, there are approximately 287,000 shares remaining for issuance of the 500,000 shares of the Company’s Class A common stock that have been reserved for issuance. The Company granted 22,712 shares of Class A common stock under the Director Plan during the year ended December 31, 2011 and 25,780 shares of Class A common stock under the Director Plan during the year ended December 31, 2010.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18, 2010 to increase the number of shares available for issuance under the plan to 4,550,000 shares of Class A common stock.</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4,550,000 shares of Class A common stock and 450,000 shares of Class B common stock reserved for issuance upon exercise of any awards granted under the Company’s 2007 Incentive Plan. As of December 31, 2011, approximately 1,875,000 shares of Class A common stock and 450,000 shares of Class B common stock are available for issuance upon exercise of any awards granted under the Company’s 2007 Incentive Plan. During the year ended December 31, 2011, the Company granted 647,145 options to purchase Class A common stock and 103,985 restricted Class A common stock units under the 2007 Incentive Plan. During the year ended December 31, 2010, the Company granted 627,045 options to purchase Class A common stock and 99,465 restricted Class A common stock awards under the 2007 Incentive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Stock-based compensation expense related to stock options, restricted stock awards, restricted stock units and employee stock purchases was $5.7 million for the year ended December 31, 2011, $4.5 million for the year ended December 31, 2010, and $3.7 million for the year ended December 31, 2009.</w:t>
      </w:r>
    </w:p>
    <w:p>
      <w:pPr>
        <w:spacing w:after="0" w:line="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received from options exercised and shares purchased under all share-based payment arrangements was $5.5 million for the year ended December 31, 2011, $2.3 million for the year ended December 31, 2010, and $0.8 million for the year ended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 ended December 31, 2011,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2"/>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Contractual</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55"/>
        </w:trPr>
        <w:tc>
          <w:tcPr>
            <w:tcW w:w="7020" w:type="dxa"/>
            <w:vAlign w:val="bottom"/>
            <w:gridSpan w:val="3"/>
            <w:vMerge w:val="continue"/>
          </w:tcPr>
          <w:p>
            <w:pPr>
              <w:spacing w:after="0"/>
              <w:rPr>
                <w:sz w:val="13"/>
                <w:szCs w:val="13"/>
                <w:color w:val="auto"/>
              </w:rPr>
            </w:pPr>
          </w:p>
        </w:tc>
        <w:tc>
          <w:tcPr>
            <w:tcW w:w="110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80" w:type="dxa"/>
            <w:vAlign w:val="bottom"/>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3"/>
                <w:szCs w:val="13"/>
                <w:color w:val="auto"/>
              </w:rPr>
            </w:pPr>
          </w:p>
        </w:tc>
        <w:tc>
          <w:tcPr>
            <w:tcW w:w="11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Life (in Years)</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5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3,709,877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647,145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(508,549)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3,848,473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$ 31,809,360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020" w:type="dxa"/>
            <w:vAlign w:val="bottom"/>
            <w:gridSpan w:val="3"/>
          </w:tcPr>
          <w:p>
            <w:pPr>
              <w:spacing w:after="0"/>
              <w:rPr>
                <w:sz w:val="20"/>
                <w:szCs w:val="20"/>
                <w:color w:val="auto"/>
              </w:rPr>
            </w:pPr>
            <w:r>
              <w:rPr>
                <w:rFonts w:ascii="Arial" w:cs="Arial" w:eastAsia="Arial" w:hAnsi="Arial"/>
                <w:sz w:val="18"/>
                <w:szCs w:val="18"/>
                <w:color w:val="auto"/>
              </w:rPr>
              <w:t>Vested and exercisable at December 31, 2011</w:t>
            </w:r>
          </w:p>
        </w:tc>
        <w:tc>
          <w:tcPr>
            <w:tcW w:w="880" w:type="dxa"/>
            <w:vAlign w:val="bottom"/>
          </w:tcPr>
          <w:p>
            <w:pPr>
              <w:jc w:val="right"/>
              <w:spacing w:after="0"/>
              <w:rPr>
                <w:sz w:val="20"/>
                <w:szCs w:val="20"/>
                <w:color w:val="auto"/>
              </w:rPr>
            </w:pPr>
            <w:r>
              <w:rPr>
                <w:rFonts w:ascii="Arial" w:cs="Arial" w:eastAsia="Arial" w:hAnsi="Arial"/>
                <w:sz w:val="18"/>
                <w:szCs w:val="18"/>
                <w:color w:val="auto"/>
              </w:rPr>
              <w:t>1,525,594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11.17</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3.89</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$ 14,617,587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weighted-average of the closing price as of December 31, 2011, of the Company’s Class A common stock and Class B common stock of $20.75. The total intrinsic value of options exercised was $5.2 million during the year ended December 31, 2011, $2.3 million during the year ended December 31, 2010, and $0.2 million during the year ended December 31, 2009.</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number of shares underlying Company’s non-vested options as of December 31, 2011, and changes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2"/>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55"/>
        </w:trPr>
        <w:tc>
          <w:tcPr>
            <w:tcW w:w="9280" w:type="dxa"/>
            <w:vAlign w:val="bottom"/>
            <w:gridSpan w:val="3"/>
            <w:vMerge w:val="continue"/>
          </w:tcPr>
          <w:p>
            <w:pPr>
              <w:spacing w:after="0"/>
              <w:rPr>
                <w:sz w:val="13"/>
                <w:szCs w:val="13"/>
                <w:color w:val="auto"/>
              </w:rPr>
            </w:pPr>
          </w:p>
        </w:tc>
        <w:tc>
          <w:tcPr>
            <w:tcW w:w="112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441"/>
              <w:spacing w:after="0"/>
              <w:rPr>
                <w:sz w:val="20"/>
                <w:szCs w:val="20"/>
                <w:color w:val="auto"/>
              </w:rPr>
            </w:pPr>
            <w:r>
              <w:rPr>
                <w:rFonts w:ascii="Arial" w:cs="Arial" w:eastAsia="Arial" w:hAnsi="Arial"/>
                <w:sz w:val="18"/>
                <w:szCs w:val="18"/>
                <w:color w:val="auto"/>
                <w:w w:val="85"/>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647,145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441"/>
              <w:spacing w:after="0"/>
              <w:rPr>
                <w:sz w:val="20"/>
                <w:szCs w:val="20"/>
                <w:color w:val="auto"/>
              </w:rPr>
            </w:pPr>
            <w:r>
              <w:rPr>
                <w:rFonts w:ascii="Arial" w:cs="Arial" w:eastAsia="Arial" w:hAnsi="Arial"/>
                <w:sz w:val="18"/>
                <w:szCs w:val="18"/>
                <w:color w:val="auto"/>
                <w:w w:val="85"/>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(458,965)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441"/>
              <w:spacing w:after="0"/>
              <w:rPr>
                <w:sz w:val="20"/>
                <w:szCs w:val="20"/>
                <w:color w:val="auto"/>
              </w:rPr>
            </w:pPr>
            <w:r>
              <w:rPr>
                <w:rFonts w:ascii="Arial" w:cs="Arial" w:eastAsia="Arial" w:hAnsi="Arial"/>
                <w:sz w:val="18"/>
                <w:szCs w:val="18"/>
                <w:color w:val="auto"/>
                <w:w w:val="85"/>
              </w:rPr>
              <w:t>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center"/>
              <w:ind w:left="30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1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441"/>
              <w:spacing w:after="0"/>
              <w:rPr>
                <w:sz w:val="20"/>
                <w:szCs w:val="20"/>
                <w:color w:val="auto"/>
              </w:rPr>
            </w:pPr>
            <w:r>
              <w:rPr>
                <w:rFonts w:ascii="Arial" w:cs="Arial" w:eastAsia="Arial" w:hAnsi="Arial"/>
                <w:sz w:val="18"/>
                <w:szCs w:val="18"/>
                <w:color w:val="auto"/>
                <w:w w:val="85"/>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total fair value of vested options was $2.5 million during the year ended December 31, 2011, $2.4 million during the year ended December 31, 2010, and $1.8 million during the year ended December 31, 2009. The weighted-average grant date fair value of options granted was $8.68 during the year ended December 31, 2011, $5.80 during the year ended December 31, 2010, and $3.25 during the year ended December 31,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granted restricted stock units to its employees under the 2007 Incentive Plan and unrestricted stock awards to its non-employee directors under the Director Plan during the year ended December 31, 2011.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and units to the Company’s employees is amortized to expense on a straight-line basis over the restricted stock’s vesting period. The shares granted to non-employee directors are expensed on the grant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presents a summary of the Company’s non-vested restricted stock awards and non-vested restricted stock units outstanding at December 31, 2011: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Stock Awards and Units</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55"/>
        </w:trPr>
        <w:tc>
          <w:tcPr>
            <w:tcW w:w="9280" w:type="dxa"/>
            <w:vAlign w:val="bottom"/>
            <w:gridSpan w:val="3"/>
            <w:vMerge w:val="continue"/>
          </w:tcPr>
          <w:p>
            <w:pPr>
              <w:spacing w:after="0"/>
              <w:rPr>
                <w:sz w:val="13"/>
                <w:szCs w:val="13"/>
                <w:color w:val="auto"/>
              </w:rPr>
            </w:pPr>
          </w:p>
        </w:tc>
        <w:tc>
          <w:tcPr>
            <w:tcW w:w="112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20" w:type="dxa"/>
            <w:vAlign w:val="bottom"/>
            <w:tcBorders>
              <w:top w:val="single" w:sz="8" w:color="auto"/>
            </w:tcBorders>
          </w:tcPr>
          <w:p>
            <w:pPr>
              <w:spacing w:after="0"/>
              <w:rPr>
                <w:sz w:val="14"/>
                <w:szCs w:val="14"/>
                <w:color w:val="auto"/>
              </w:rPr>
            </w:pPr>
          </w:p>
        </w:tc>
        <w:tc>
          <w:tcPr>
            <w:tcW w:w="70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361"/>
              <w:spacing w:after="0"/>
              <w:rPr>
                <w:sz w:val="20"/>
                <w:szCs w:val="20"/>
                <w:color w:val="auto"/>
              </w:rPr>
            </w:pPr>
            <w:r>
              <w:rPr>
                <w:rFonts w:ascii="Arial" w:cs="Arial" w:eastAsia="Arial" w:hAnsi="Arial"/>
                <w:sz w:val="18"/>
                <w:szCs w:val="18"/>
                <w:color w:val="auto"/>
                <w:w w:val="84"/>
              </w:rPr>
              <w:t>11.19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126,697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361"/>
              <w:spacing w:after="0"/>
              <w:rPr>
                <w:sz w:val="20"/>
                <w:szCs w:val="20"/>
                <w:color w:val="auto"/>
              </w:rPr>
            </w:pPr>
            <w:r>
              <w:rPr>
                <w:rFonts w:ascii="Arial" w:cs="Arial" w:eastAsia="Arial" w:hAnsi="Arial"/>
                <w:sz w:val="18"/>
                <w:szCs w:val="18"/>
                <w:color w:val="auto"/>
                <w:w w:val="84"/>
              </w:rPr>
              <w:t>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61"/>
              <w:spacing w:after="0"/>
              <w:rPr>
                <w:sz w:val="20"/>
                <w:szCs w:val="20"/>
                <w:color w:val="auto"/>
              </w:rPr>
            </w:pPr>
            <w:r>
              <w:rPr>
                <w:rFonts w:ascii="Arial" w:cs="Arial" w:eastAsia="Arial" w:hAnsi="Arial"/>
                <w:sz w:val="18"/>
                <w:szCs w:val="18"/>
                <w:color w:val="auto"/>
                <w:w w:val="84"/>
              </w:rPr>
              <w:t>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center"/>
              <w:ind w:left="30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ind w:left="361"/>
              <w:spacing w:after="0"/>
              <w:rPr>
                <w:sz w:val="20"/>
                <w:szCs w:val="20"/>
                <w:color w:val="auto"/>
              </w:rPr>
            </w:pPr>
            <w:r>
              <w:rPr>
                <w:rFonts w:ascii="Arial" w:cs="Arial" w:eastAsia="Arial" w:hAnsi="Arial"/>
                <w:sz w:val="18"/>
                <w:szCs w:val="18"/>
                <w:color w:val="auto"/>
                <w:w w:val="84"/>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fair value of the shares issued upon the vesting of stock awards during the year ended December 31, 2011 was $1.5 million. The weighted-average grant date fair value of stock awards and units granted was $18.93 during the year ended December 31, 2011, $13.08 during the year ended December 31, 2010, and $8.81 during the year ended December 31, 2009.</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December 31, 2011, there was $7.5 million of total unrecognized compensation cost related to unvested share-based compensation arrangements granted under the Incentive Plan and the 2007 Incentive Plan. That cost is expected to be recognized over a weighted-average period of 3.1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In March 2009, the Company discontinued its matching contributions to the Rush 401k plan. On April 1, 2010 the Company reinstated its matching contributions. For the first 10% of an employee’s contribution, the Company contributed an amount equal to 5% of the employees’ contributions for those employees with less than five years of service and an amount equal to 10% of the employees’ contributions for those employees with more than five years of service. Effective January 1, 2011, for the first 10% of an employee’s contribution, the Company contributed an amount equal to 15% of the employees’ contributions for those employees with less than five years of service and an amount equal to 30% of the employees’ contributions for those employees with more than five years of service. The Company incurred expenses related to the Rush 401k Plan of approximately $2.2 million during the year ended December 31, 2011, $0.4 million during the year ended December 31, 2010, and $0.6 million during the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6, 2010 the Board of Directors of the Company adopted the Rush Enterprises, Inc. Deferred Compensation Plan (the “Deferred Compensation Plan”) wherein selected employees and directors may elect to defer a portion of their annual compensation. The Deferred Compensation Plan also provides the Company with the discretion to make matching contributions to participants’ accounts. The Company has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As of December 31, 2011, the Company recorded deferred compensation liability related to the Deferred Compensation Plan of $0.1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 employment benefits.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Numerator for basic and diluted earnings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55,213,000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24,567,000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 for basic earnings per share, weighted average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37,860,551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37,307,453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37,065,654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options and restricted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1,153,846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910,727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w w:val="90"/>
              </w:rPr>
              <w:t>Denominator for diluted earnings per share, adjusted weighted average shares and assumed conversions</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39,014,397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38,218,180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37,596,507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2011, 2010 and 2009 that were not included in the computation of diluted earnings per share because the effect would have been anti-dilutive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28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2010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4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533,100</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2"/>
              </w:rPr>
              <w:t>504,830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800" w:type="dxa"/>
            <w:vAlign w:val="bottom"/>
            <w:gridSpan w:val="2"/>
          </w:tcPr>
          <w:p>
            <w:pPr>
              <w:spacing w:after="0"/>
              <w:rPr>
                <w:sz w:val="20"/>
                <w:szCs w:val="20"/>
                <w:color w:val="auto"/>
              </w:rPr>
            </w:pPr>
            <w:r>
              <w:rPr>
                <w:rFonts w:ascii="Arial" w:cs="Arial" w:eastAsia="Arial" w:hAnsi="Arial"/>
                <w:sz w:val="18"/>
                <w:szCs w:val="18"/>
                <w:color w:val="auto"/>
              </w:rPr>
              <w:t>Total anti-dilutive securities</w:t>
            </w:r>
          </w:p>
        </w:tc>
        <w:tc>
          <w:tcPr>
            <w:tcW w:w="4400" w:type="dxa"/>
            <w:vAlign w:val="bottom"/>
          </w:tcPr>
          <w:p>
            <w:pPr>
              <w:spacing w:after="0"/>
              <w:rPr>
                <w:sz w:val="24"/>
                <w:szCs w:val="24"/>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533,100</w:t>
            </w:r>
          </w:p>
        </w:tc>
        <w:tc>
          <w:tcPr>
            <w:tcW w:w="880" w:type="dxa"/>
            <w:vAlign w:val="bottom"/>
          </w:tcPr>
          <w:p>
            <w:pPr>
              <w:ind w:left="320"/>
              <w:spacing w:after="0"/>
              <w:rPr>
                <w:sz w:val="20"/>
                <w:szCs w:val="20"/>
                <w:color w:val="auto"/>
              </w:rPr>
            </w:pPr>
            <w:r>
              <w:rPr>
                <w:rFonts w:ascii="Arial" w:cs="Arial" w:eastAsia="Arial" w:hAnsi="Arial"/>
                <w:sz w:val="18"/>
                <w:szCs w:val="18"/>
                <w:color w:val="auto"/>
                <w:w w:val="82"/>
              </w:rPr>
              <w:t>504,830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1,557,356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0" w:type="dxa"/>
            <w:vAlign w:val="bottom"/>
            <w:vMerge w:val="restart"/>
          </w:tcPr>
          <w:p>
            <w:pPr>
              <w:jc w:val="right"/>
              <w:ind w:right="2322"/>
              <w:spacing w:after="0"/>
              <w:rPr>
                <w:sz w:val="20"/>
                <w:szCs w:val="20"/>
                <w:color w:val="auto"/>
              </w:rPr>
            </w:pPr>
            <w:r>
              <w:rPr>
                <w:rFonts w:ascii="Arial" w:cs="Arial" w:eastAsia="Arial" w:hAnsi="Arial"/>
                <w:sz w:val="18"/>
                <w:szCs w:val="18"/>
                <w:color w:val="auto"/>
              </w:rPr>
              <w:t>63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60" w:firstLine="8"/>
        <w:spacing w:after="0" w:line="458" w:lineRule="auto"/>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rPr>
          <w:rFonts w:ascii="Arial" w:cs="Arial" w:eastAsia="Arial" w:hAnsi="Arial"/>
          <w:sz w:val="16"/>
          <w:szCs w:val="16"/>
          <w:color w:val="auto"/>
        </w:rPr>
      </w:pPr>
      <w:r>
        <w:rPr>
          <w:rFonts w:ascii="Arial" w:cs="Arial" w:eastAsia="Arial" w:hAnsi="Arial"/>
          <w:sz w:val="18"/>
          <w:szCs w:val="18"/>
          <w:color w:val="auto"/>
        </w:rPr>
        <w:t>The tax provisions (benefits) are summarized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 (benefit)-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28,680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taxes based on the federal statutory rates and the provisions (benefits) for income taxes are summarized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3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31,562</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3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Alternative fuel tax credits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Federal tax settlement</w:t>
            </w:r>
          </w:p>
        </w:tc>
        <w:tc>
          <w:tcPr>
            <w:tcW w:w="3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net</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34,964</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8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300" w:type="dxa"/>
            <w:vAlign w:val="bottom"/>
            <w:gridSpan w:val="13"/>
          </w:tcPr>
          <w:p>
            <w:pPr>
              <w:spacing w:after="0"/>
              <w:rPr>
                <w:sz w:val="20"/>
                <w:szCs w:val="20"/>
                <w:color w:val="auto"/>
              </w:rPr>
            </w:pPr>
            <w:r>
              <w:rPr>
                <w:rFonts w:ascii="Arial" w:cs="Arial" w:eastAsia="Arial" w:hAnsi="Arial"/>
                <w:sz w:val="18"/>
                <w:szCs w:val="18"/>
                <w:color w:val="auto"/>
                <w:w w:val="95"/>
              </w:rPr>
              <w:t>Following is a summary of the Company’s income tax provision for the years ended December 31, 2011, 2010 and 2009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continuing operations</w:t>
            </w:r>
          </w:p>
        </w:tc>
        <w:tc>
          <w:tcPr>
            <w:tcW w:w="35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provision from discontinued operations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5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80" w:type="dxa"/>
            <w:vAlign w:val="bottom"/>
            <w:vMerge w:val="restart"/>
          </w:tcPr>
          <w:p>
            <w:pPr>
              <w:jc w:val="right"/>
              <w:ind w:right="2172"/>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deferred tax assets and liabilities included in the balance sheet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Alternative fuel tax credits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State net operating loss carry forward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State tax credit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Current deferred tax asset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12,286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Difference between book and tax basis-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(111,584)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LIFO inventory valuation</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tax liability</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(93,123)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The Company’s various state net operating loss carry forwards expire from 2011 through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 included accruals for unrecognized income tax benefits totaling $1.3 million as a component of accrued liabilities as of December 31, 2011, and $1.5 million as of December 31, 2010. The unrecognized tax benefits of $1.3 million at December 31, 2011, and $1.5 million as of December 31, 2010, if recognized, would impact the Company’s effective tax rate. An unfavorable settlement would require a charge to income tax expense and a favorable resolution would be recognized as a reduction to income tax expense. As of December 31, 2011, the Company accrued interest of $51,000 related to unrecognized tax benefits in the current provision for income taxes. No amounts were accrued for penalties.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2011, the tax years ended December 31, 2008 through 2011 remained subject to audit by federal tax authorities and the tax years ended December 31, 2007 through 2011, remained subject to audit by state tax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change in the unrecognized tax benefits from January 1, 2009, to December 31, 2011, is as follows (in thousands):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Gross increases – tax positions in prior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tax positions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Decreases related to settlements with taxing authorities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due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at December 31,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tax positions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due to lapse of statute of limitations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tax positions in a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due to lapse of statute of limitations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hanging="540"/>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1,939</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346</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94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1,761</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1,466</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ind w:left="540" w:hanging="540"/>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91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591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9660" w:space="720"/>
            <w:col w:w="1040"/>
          </w:cols>
          <w:pgMar w:left="240" w:top="459" w:right="239" w:bottom="1440" w:gutter="0" w:footer="0" w:header="0"/>
        </w:sectPr>
      </w:pPr>
    </w:p>
    <w:p>
      <w:pPr>
        <w:jc w:val="both"/>
        <w:spacing w:after="0" w:line="298"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86"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These dealerships now operate as Rush Truck Centers. Rush Truck Leasing operates a PacLease truck rental and leasing franchise in Lubbock, Texas. The transaction was valued at approximately $24.6 million, with the purchase price paid in cash. The operations of West Texas Peterbilt are included in the accompanying consolidated financial statements from the date of the acquisition. The preliminary purchase price was allocated based on the fair values of the assets at the date of acquisition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including real estate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00" w:type="dxa"/>
            <w:vAlign w:val="bottom"/>
            <w:shd w:val="clear" w:color="auto" w:fill="CCEEFF"/>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8"/>
                <w:szCs w:val="18"/>
                <w:color w:val="auto"/>
              </w:rPr>
            </w:pP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8"/>
                <w:szCs w:val="18"/>
                <w:color w:val="auto"/>
              </w:rPr>
            </w:pPr>
          </w:p>
        </w:tc>
      </w:tr>
      <w:tr>
        <w:trPr>
          <w:trHeight w:val="398"/>
        </w:trPr>
        <w:tc>
          <w:tcPr>
            <w:tcW w:w="10380" w:type="dxa"/>
            <w:vAlign w:val="bottom"/>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4"/>
                <w:szCs w:val="24"/>
                <w:color w:val="auto"/>
              </w:rPr>
            </w:pPr>
          </w:p>
        </w:tc>
      </w:tr>
      <w:tr>
        <w:trPr>
          <w:trHeight w:val="20"/>
        </w:trPr>
        <w:tc>
          <w:tcPr>
            <w:tcW w:w="10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values of these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West Texas Peterbilt acquisition will be amortized over 15 years for tax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5, 2011, the Company acquired certain assets of Peck Road Ford, which consisted of a Ford and Isuzu commercial vehicle dealership in Whittier, California. The Company is operating the facility as a full-service Rush Truck Center offering Ford and Isuzu trucks, parts, service, financing and insurance. The transaction was valued at approximately $10.0 million, with the purchase price paid in cash. The operations of Peck Road Ford are included in the accompanying consolidated financial statements from the date of the acquisition. The preliminary purchase price was allocated based on the fair values of the assets at the date of acquisition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including real estate</w:t>
            </w:r>
          </w:p>
        </w:tc>
        <w:tc>
          <w:tcPr>
            <w:tcW w:w="3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Inventory</w:t>
            </w: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2,561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183"/>
        </w:trPr>
        <w:tc>
          <w:tcPr>
            <w:tcW w:w="6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9,995</w:t>
            </w:r>
          </w:p>
        </w:tc>
      </w:tr>
      <w:tr>
        <w:trPr>
          <w:trHeight w:val="20"/>
        </w:trPr>
        <w:tc>
          <w:tcPr>
            <w:tcW w:w="6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values of these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Peck Road Ford acquisition will be amortized over 15 years for tax purposes.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includes the International, Hino, Isuzu, UD, IC Bus and Workhorse franchises in metro Atlanta, dealership locations in Atlanta and Doraville and a collision center in Atlanta.</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These dealership locations are operating as Rush Truck Centers that offer commercial vehicles manufactured by International, Hino, Isuzu, UD, IC Bus and Workhorse Custom Chassis in addition to parts, service, financing and insurance. The transaction was valued at approximately $55.3 million, with the purchase price paid in cash. The operations of Nalley Motor Trucks are included in the accompanying consolidated financial statements from the date of the acquisition. The purchase price was allocated based on the fair values of the assets at the date of acquisition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Accrued expenses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4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Goodwill</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22,022</w:t>
            </w:r>
          </w:p>
        </w:tc>
      </w:tr>
      <w:tr>
        <w:trPr>
          <w:trHeight w:val="183"/>
        </w:trPr>
        <w:tc>
          <w:tcPr>
            <w:tcW w:w="60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55,287</w:t>
            </w:r>
          </w:p>
        </w:tc>
      </w:tr>
      <w:tr>
        <w:trPr>
          <w:trHeight w:val="20"/>
        </w:trPr>
        <w:tc>
          <w:tcPr>
            <w:tcW w:w="6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final purchase price allocation reflects an adjustment of $2.8 million from the preliminary purchase allocation due to the finalization of the franchise rights valuation and $1.97 million due to the completion of real estate appraisals for property acquired. All of the goodwill acquired in the Nalley Motor Trucks acquisition will be amortized over 15 years for tax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 The preliminary purchase price was allocated based on the fair values of the assets at the date of acquisition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Prepaid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83"/>
        </w:trPr>
        <w:tc>
          <w:tcPr>
            <w:tcW w:w="9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w w:val="98"/>
              </w:rPr>
              <w:t>All of the goodwill acquired in the Heintzelman’s Truck Center acquisition will be amortized over 15 years for tax purposes.</w:t>
            </w: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October 12, 2010, the Company acquired certain assets of Metro Ford Truck Sales, Inc., which consisted of a Ford and Isuzu commercial vehicle dealership in Dallas, Texas. The Company is operating the facility as a full-service Rush Medium-Duty Truck Center offering Ford and Isuzu medium-duty trucks, parts, service, financing and insurance. The transaction was valued at approximately $5.6 million, with the purchase price paid in cash. The operations of Metro Ford Truck Sales, Inc. are included in the accompanying consolidated financial statements from the date of the acquisition. The purchase price was allocated based on the fair values of the assets at the date of acquisition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including real estate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Inventory</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Accrued expenses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9600" w:type="dxa"/>
            <w:vAlign w:val="bottom"/>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w w:val="98"/>
              </w:rPr>
              <w:t>All of the goodwill acquired in the Metro Ford Truck Sales, Inc. acquisition will be amortized over 15 years for tax purposes.</w:t>
            </w: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 and $1.1 million of the purchase price was allocated to goodwill based on the fair value of the assets at the date of acquisition. The operations of Joe Cooper Truck Center, LLC are included in the accompanying consolidated financial statements from the date of the acquisition. All of the goodwill acquired in the Joe Cooper Truck Center, LLC acquisition will be amortized over 15 years for tax purposes.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The newly acquired dealerships include five locations in Utah, five locations in Idaho and one location in Oregon. These locations are operating as Rush Truck Centers that offer commercial vehicles manufactured by International, Autocar, Mitsubishi Fuso, IC Bus and now Workhorse Custom Chassis in addition to parts, service, body shop, financing and insurance. Rush Truck Leasing operates Idealease truck rental and leasing franchises at existing locations in Salt Lake City, Utah, and Boise, Idaho. The transaction, including the real estate, was valued at approximately $71.0 million. The purchase price for the assets of the business was paid in cash and the purchase price for the real estate was partially paid in cash with the remainder financed with long-term debt.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operations of Lake City International are included in the accompanying consolidated financial statements from the date of the acquisition. The preliminary purchase price has been allocated based on the fair values of the assets at the date of acquisition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financed approximately $37.5 million of the purchase price under its floor plan, accounts receivable, lease and rental truck financing arrangements and a real estate loan. As part of the Lake City International acquisition, the Company assumed certain contingent liabilities for notes initiated on behalf of Lake City International related to the sale of commercial vehicles. The contingent liability had an estimated fair value of $2.0 million and was recorded as an accrued liability. For federal tax purposes the goodwill will be amortized over 15 years.</w:t>
      </w:r>
    </w:p>
    <w:p>
      <w:pPr>
        <w:spacing w:after="0" w:line="86"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1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At closing, Doggett Heavy Machinery Services, LLC entered into a lease agreement to lease the facility where Rush Equipment Center, Houston was located from an affiliate of the Company. The lease provides for an initial three year term with the option for the lessee to terminate the lease with 30 days notice. The Company’s continuing involvement in the operations of the construction equipment business is not significant and will be limited to the facility lease agreement.</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construction equipment business have been classified as discontinued operations in the Company’s consolidated statements of operations for all periods presented, and excluded from business segment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38,836</w:t>
            </w:r>
          </w:p>
        </w:tc>
        <w:tc>
          <w:tcPr>
            <w:tcW w:w="0" w:type="dxa"/>
            <w:vAlign w:val="bottom"/>
          </w:tcPr>
          <w:p>
            <w:pPr>
              <w:spacing w:after="0"/>
              <w:rPr>
                <w:sz w:val="1"/>
                <w:szCs w:val="1"/>
                <w:color w:val="auto"/>
              </w:rPr>
            </w:pPr>
          </w:p>
        </w:tc>
      </w:tr>
      <w:tr>
        <w:trPr>
          <w:trHeight w:val="397"/>
        </w:trPr>
        <w:tc>
          <w:tcPr>
            <w:tcW w:w="78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Results of operations from discontinued operations before income taxes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Gain on disposition</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8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6,715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from discontinued operations, net of tax</w:t>
            </w:r>
          </w:p>
        </w:tc>
        <w:tc>
          <w:tcPr>
            <w:tcW w:w="8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0"/>
              </w:rPr>
              <w:t>Diluted earnings per common share and common share equivalents from discontinued operations, net of tax</w:t>
            </w:r>
          </w:p>
        </w:tc>
        <w:tc>
          <w:tcPr>
            <w:tcW w:w="8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56"/>
        </w:trPr>
        <w:tc>
          <w:tcPr>
            <w:tcW w:w="7820" w:type="dxa"/>
            <w:vAlign w:val="bottom"/>
            <w:gridSpan w:val="2"/>
          </w:tcPr>
          <w:p>
            <w:pPr>
              <w:jc w:val="right"/>
              <w:ind w:right="1932"/>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MEDIUM-DUTY GMC TRUCK FRANCHISES</w:t>
      </w:r>
      <w:r>
        <w:rPr>
          <w:rFonts w:ascii="Arial" w:cs="Arial" w:eastAsia="Arial" w:hAnsi="Arial"/>
          <w:sz w:val="18"/>
          <w:szCs w:val="18"/>
          <w:color w:val="auto"/>
        </w:rPr>
        <w: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In the second quarter of 2009, this impairment charge resulted in a net charge to cost of sales of $4.0 million, a net charge to SG&amp;A expense of $0.1 million and a charge to amortization expense of $0.8 million. During the third and fourth quarters of 2009, the Company adjusted the estimated impairment charge related to the medium-duty GMC truck and parts inventories, which resulted in a net credit to cost of sales of $1.9 million.</w:t>
      </w:r>
    </w:p>
    <w:p>
      <w:pPr>
        <w:spacing w:after="0" w:line="11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cash flow swaps, net of tax</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Unrealized loss on available-for-sale securities, net of tax</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53,486</w:t>
            </w:r>
          </w:p>
        </w:tc>
        <w:tc>
          <w:tcPr>
            <w:tcW w:w="3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00" w:type="dxa"/>
            <w:vAlign w:val="bottom"/>
            <w:vMerge w:val="restart"/>
          </w:tcPr>
          <w:p>
            <w:pPr>
              <w:jc w:val="right"/>
              <w:ind w:right="3352"/>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UNAUDITED QUARTERLY FINANCIAL DATA</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Second</w:t>
            </w:r>
          </w:p>
        </w:tc>
        <w:tc>
          <w:tcPr>
            <w:tcW w:w="1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2011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06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4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446,104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661,982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696,445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776,080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21,789</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28,328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26,434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12,518</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16,045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7,267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12,518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16,045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2010</w:t>
            </w:r>
          </w:p>
        </w:tc>
        <w:tc>
          <w:tcPr>
            <w:tcW w:w="50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4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299,288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329,839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405,841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462,959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69,179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78,197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10,362</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13,732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5,416</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8,031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5,688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14,159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0.37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Construction Equipment segment is no longer reported as a separate business segment due to the sale of Company’s construction equipment business. See Note 16 for further discussion of the sale of the construction equipment business. The assets of the construction equipment business have been included in the All Other segment assets in the table below for 2009 and 2008.</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2011, 2010 and 2009.</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2011, 2010 and 2009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Truck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2011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7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2,562,740</w:t>
            </w:r>
          </w:p>
        </w:tc>
        <w:tc>
          <w:tcPr>
            <w:tcW w:w="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17,871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2,580,611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1,691,938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1,717,701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080" w:type="dxa"/>
            <w:vAlign w:val="bottom"/>
            <w:gridSpan w:val="4"/>
          </w:tcPr>
          <w:p>
            <w:pPr>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1,482,742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1,143,385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Expenditures for segment assets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2009</w:t>
            </w:r>
          </w:p>
        </w:tc>
        <w:tc>
          <w:tcPr>
            <w:tcW w:w="7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1,184,400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16,053</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1,200,453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134,352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or disagreements on any matters of accounting principles or financial statement disclosure between the Company and its independent registered public accounting firm during the two most recent fiscal years or any subsequent interim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44"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5"/>
          <w:szCs w:val="15"/>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2011, to ensure that information required to be disclosed in our reports filed or submitted under the Exchange Act is</w:t>
      </w:r>
    </w:p>
    <w:p>
      <w:pPr>
        <w:spacing w:after="0" w:line="3"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recorded, processed, summarized and reported within the time periods specified in the Securities and Exchange Commission’s rules and forms and</w:t>
      </w:r>
    </w:p>
    <w:p>
      <w:pPr>
        <w:spacing w:after="0" w:line="32" w:lineRule="exact"/>
        <w:rPr>
          <w:rFonts w:ascii="Arial" w:cs="Arial" w:eastAsia="Arial" w:hAnsi="Arial"/>
          <w:sz w:val="16"/>
          <w:szCs w:val="16"/>
          <w:color w:val="auto"/>
        </w:rPr>
      </w:pPr>
    </w:p>
    <w:p>
      <w:pPr>
        <w:ind w:firstLine="8"/>
        <w:spacing w:after="0" w:line="261" w:lineRule="auto"/>
        <w:tabs>
          <w:tab w:leader="none" w:pos="2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our Chief Executive Officer and Chief Financial Officer, as appropriate to allow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During the quarter ended December 31, 2011, the Company continued its implementation of the SAP enterprise software and dealership management system. As appropriate, the Company is modifying the documentation of its internal control processes and procedures relating to this change in dealer management systems to supplement and complement existing internal controls over financial reporting. Other than the above, there were no changes in the Company’s internal control over financial reporting during the quarter ended December 31, 2011 that have materially affected, or are reasonably likely to materially affect,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4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As of December 31, 2011,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2011, based on those criteria.</w:t>
      </w:r>
    </w:p>
    <w:p>
      <w:pPr>
        <w:spacing w:after="0" w:line="11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2011. The report, which expresses an unqualified opinion on the effectiveness of the Company’s internal control over financial reporting as of December 31, 2011, is included in this Item 9A under the heading “Attestation Report of Independent Registered Public Accounting Firm.”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8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Rush Enterprises, Inc.</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Rush Enterprises, Inc. and subsidiaries’ internal control over financial reporting as of December 31, 2011, based on criteria established in Internal Control — Integrated Framework issued by the Committee of Sponsoring Organizations of the Treadway Commission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our opinion, Rush Enterprises, Inc. and subsidiaries maintained, in all material respects, effective internal control over financial reporting as of December 31, 2011, based on the COSO criteria.</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Rush Enterprises, Inc. and subsidiaries as of December 31, 2011, and 2010, and the related consolidated statements of income, shareholders’ equity, and cash flows for each of the three years in the period ended December 31, 2011, of Rush Enterprises, Inc. and subsidiaries and our report dated March 15, 2012,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2011 Annual Meeting of Shareholders.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8"/>
          <w:szCs w:val="18"/>
          <w:u w:val="single" w:color="auto"/>
          <w:color w:val="auto"/>
        </w:rPr>
        <w:t>www.rushenterprises.com</w:t>
      </w:r>
      <w:r>
        <w:rPr>
          <w:rFonts w:ascii="Arial" w:cs="Arial" w:eastAsia="Arial" w:hAnsi="Arial"/>
          <w:sz w:val="18"/>
          <w:szCs w:val="18"/>
          <w:color w:val="auto"/>
        </w:rPr>
        <w:t xml:space="preserve">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set forth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2012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below, is incorporated herein by reference to such information included in the Company’s Proxy Statement for the 2012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Equity Compensation Plan Information Table provides information as of December 31, 2011, with respect to shares of Class A and Class B Common Stock that may be issued under our existing equity compensation plans, including the Rush Enterprises, Inc. 2006 Non-Employee Director Stock Plan, the Rush Enterprises, Inc. 2007 Long-Term Incentive Plan, The Rush Enterprises, Inc. Long-Term Incentive Plan, as amended (adopted by the Company’s shareholders in May 1996), and the Rush Enterprises, Inc. 1997 Non-Employee Director Stock Option Plan, as amended.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to be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Number of securities 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Weighted-average exercise</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available for 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 warrants</w:t>
            </w:r>
          </w:p>
        </w:tc>
        <w:tc>
          <w:tcPr>
            <w:tcW w:w="2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equity compensation plans as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rights as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warrants and rights as of</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 2011 (excluding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5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(b)</w:t>
            </w:r>
          </w:p>
        </w:tc>
        <w:tc>
          <w:tcPr>
            <w:tcW w:w="21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3,759,950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12.68</w:t>
            </w:r>
          </w:p>
        </w:tc>
        <w:tc>
          <w:tcPr>
            <w:tcW w:w="2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1300"/>
              <w:spacing w:after="0" w:line="203" w:lineRule="exact"/>
              <w:rPr>
                <w:sz w:val="20"/>
                <w:szCs w:val="20"/>
                <w:color w:val="auto"/>
              </w:rPr>
            </w:pPr>
            <w:r>
              <w:rPr>
                <w:rFonts w:ascii="Arial" w:cs="Arial" w:eastAsia="Arial" w:hAnsi="Arial"/>
                <w:sz w:val="18"/>
                <w:szCs w:val="18"/>
                <w:color w:val="auto"/>
                <w:w w:val="84"/>
              </w:rPr>
              <w:t>2,162,529</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3,759,950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1"/>
              </w:rPr>
              <w:t>2,162,529</w:t>
            </w:r>
            <w:r>
              <w:rPr>
                <w:rFonts w:ascii="Arial" w:cs="Arial" w:eastAsia="Arial" w:hAnsi="Arial"/>
                <w:sz w:val="11"/>
                <w:szCs w:val="11"/>
                <w:color w:val="auto"/>
                <w:w w:val="91"/>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2,162,529 shares that may be issued in the form of restricted stock under the Rush Enterprises, Inc. 2006 Non-Employee Director Stock Plan and the Rush Enterprises, Inc. 2007 Long-Term Incentive Plan.</w:t>
      </w:r>
    </w:p>
    <w:p>
      <w:pPr>
        <w:spacing w:after="0" w:line="10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Class B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to be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Number of securities 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Weighted-average exercise</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available for 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 warrants</w:t>
            </w:r>
          </w:p>
        </w:tc>
        <w:tc>
          <w:tcPr>
            <w:tcW w:w="2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equity compensation plans as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rights as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warrants and rights as of</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 2011 (excluding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5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(b)</w:t>
            </w:r>
          </w:p>
        </w:tc>
        <w:tc>
          <w:tcPr>
            <w:tcW w:w="21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88,523</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4.32</w:t>
            </w:r>
          </w:p>
        </w:tc>
        <w:tc>
          <w:tcPr>
            <w:tcW w:w="2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1440"/>
              <w:spacing w:after="0" w:line="203" w:lineRule="exact"/>
              <w:rPr>
                <w:sz w:val="20"/>
                <w:szCs w:val="20"/>
                <w:color w:val="auto"/>
              </w:rPr>
            </w:pPr>
            <w:r>
              <w:rPr>
                <w:rFonts w:ascii="Arial" w:cs="Arial" w:eastAsia="Arial" w:hAnsi="Arial"/>
                <w:sz w:val="18"/>
                <w:szCs w:val="18"/>
                <w:color w:val="auto"/>
                <w:w w:val="82"/>
              </w:rPr>
              <w:t>450,000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1"/>
              </w:rPr>
              <w:t>450,000</w:t>
            </w:r>
            <w:r>
              <w:rPr>
                <w:rFonts w:ascii="Arial" w:cs="Arial" w:eastAsia="Arial" w:hAnsi="Arial"/>
                <w:sz w:val="11"/>
                <w:szCs w:val="11"/>
                <w:color w:val="auto"/>
                <w:w w:val="91"/>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450,000 shares that may be issued in the form of restricted stock under the Rush Enterprises, Inc. 2007 Long-Term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2012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2012 Annual Meeting of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Included in Item 8 of Part II of this annual report on Form 10-K are the following: Report of Independent Registered Public Accounting Firm; Consolidated Balance Sheets as of December 31, 2011, and 2010; Consolidated Statements of Income for the years ended December 31, 2011, 2010, and 2009; Consolidated Statements of Shareholders’ Equity for the years ended December 31, 2011, 2010, and 2009; Consolidated Statements of Cash Flows for the years ended December 31, 2011, 2010, and 2009; and Notes to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These schedules are omitted as the required information is inapplicable or the information is presented in the consolidated financial statements or related notes.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24"/>
                <w:szCs w:val="24"/>
                <w:color w:val="auto"/>
              </w:rPr>
            </w:pPr>
          </w:p>
        </w:tc>
        <w:tc>
          <w:tcPr>
            <w:tcW w:w="1050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14"/>
                <w:szCs w:val="14"/>
                <w:color w:val="auto"/>
              </w:rPr>
            </w:pPr>
          </w:p>
        </w:tc>
        <w:tc>
          <w:tcPr>
            <w:tcW w:w="10500" w:type="dxa"/>
            <w:vAlign w:val="bottom"/>
          </w:tcPr>
          <w:p>
            <w:pPr>
              <w:ind w:left="4560"/>
              <w:spacing w:after="0"/>
              <w:rPr>
                <w:sz w:val="20"/>
                <w:szCs w:val="20"/>
                <w:color w:val="auto"/>
              </w:rPr>
            </w:pPr>
            <w:r>
              <w:rPr>
                <w:rFonts w:ascii="Arial" w:cs="Arial" w:eastAsia="Arial" w:hAnsi="Arial"/>
                <w:sz w:val="14"/>
                <w:szCs w:val="14"/>
                <w:b w:val="1"/>
                <w:bCs w:val="1"/>
                <w:color w:val="auto"/>
              </w:rPr>
              <w:t>Identification of Exhibit</w:t>
            </w: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500" w:type="dxa"/>
            <w:vAlign w:val="bottom"/>
            <w:tcBorders>
              <w:bottom w:val="single" w:sz="8" w:color="auto"/>
            </w:tcBorders>
          </w:tcPr>
          <w:p>
            <w:pPr>
              <w:spacing w:after="0" w:line="20" w:lineRule="exact"/>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Asset Purchase Agreement, dated March 19, 2010 (incorporated herein by reference to Exhibit 2.1 of the Company’s Current Report on Form 8-K</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 No. 000-20797) filed March 25, 2010)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#1, dated as of May 24, 2010, to Asset Purchase Agreement, dated March 19, 2010 (incorporated herein by reference to Exhibit 2.1 of</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Company’s Current Report on Form 8-K (File No. 000-20797) filed May 26, 2010)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Restated Articles of Incorporation of Rush Enterprises, Inc. (incorporated herein by reference to Exhibit 3.1 of the Company’s Quarterly Report on</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10-Q (File No. 000-20797) for the quarter ended June 30, 2008)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Rush Enterprises, Inc. Amended and Restated Bylaws (incorporated herein by reference to Exhibit 3.2 of the Company’s Quarterly Report on Form</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10-Q (File No. 000-20797) filed for the quarter ended June 30,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Specimen of certificate representing Common Stock (now Class B Common Stock), $.01 par value, of Rush Enterprises, Inc. (incorporated herein by</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Exhibit 4.1 of the Company’s Registration Statement No. 333-03346 on Form</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S-1 filed April 10, 1996)</w:t>
            </w:r>
          </w:p>
        </w:tc>
      </w:tr>
      <w:tr>
        <w:trPr>
          <w:trHeight w:val="331"/>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Specimen of certificate representing Class A Common Stock, $.01 par value, of the Registrant (incorporated herein by reference to Exhibit 4.1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Registration Statement on Form 8-A filed July 9, 2002)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Right of First Refusal dated April 1, 1996 between Peterbilt Motors Company and W. Marvin Rush (incorporated herein by reference to Exhibit</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10.76 of the Company’s Registration Statement No. 333-03346 on Form S-1 filed April 10, 1996)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Right of First Refusal dated April 1, 1996 between Peterbilt Motors Company and Barbara Rush (incorporated herein by reference to Exhibit 10.77</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Company’s Registration Statement No. 333-03346 on Form S-1 filed April 10, 1996)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Right of First Refusal dated April 1, 1996 between Peterbilt Motors Company and W.M. “Rusty” Rush (incorporated herein by reference to Exhibit</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10.78 of the Company’s Registration Statement No. 333-03346 on Form S-1 filed April 10, 1996)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Right of First Refusal dated April 1, 1996 between Peterbilt Motors Company and Robin Rush (incorporated herein by reference to Exhibit 10.79 of</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Company’s Registration Statement No. 333-03346 on Form S-1 filed April 10, 1996)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6"/>
              </w:rPr>
              <w:t>10.5+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Rush Enterprises, Inc. Long-Term Incentive Plan, as amended (incorporated herein by reference to Exhibit 4.1 of the Company’s Registration</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Statement No. 333-117305 on Form S-8 filed July 12, 2004)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6"/>
              </w:rPr>
              <w:t>10.6+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Form of Rush Enterprises, Inc. Long-Term Incentive Plan Stock Option Agreement (incorporated herein by reference to Exhibit 10.85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Registration Statement No. 333-03346 on Form S-1 filed April 10, 1996)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6"/>
              </w:rPr>
              <w:t>10.7+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Rush Enterprises, Inc. Amended and Restated 1997 Non-Employee Director Stock Option Plan, as amended (incorporated herein by reference to</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 of the Company’s Quarterly Report on Form 10-Q (File No. 000-20797) for the quarter ended September 30, 2010)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6"/>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Form of Rush Enterprises, Inc. 1997 Non-Employee Director Stock Option Agreement (incorporated herein by reference to Exhibit 4.4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Registration Statement No. 333-117305 on Form S-8 filed July 12, 2004)</w:t>
            </w: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14"/>
                <w:szCs w:val="1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500" w:type="dxa"/>
            <w:vAlign w:val="bottom"/>
          </w:tcPr>
          <w:p>
            <w:pPr>
              <w:ind w:left="4560"/>
              <w:spacing w:after="0"/>
              <w:rPr>
                <w:sz w:val="20"/>
                <w:szCs w:val="20"/>
                <w:color w:val="auto"/>
              </w:rPr>
            </w:pPr>
            <w:r>
              <w:rPr>
                <w:rFonts w:ascii="Arial" w:cs="Arial" w:eastAsia="Arial" w:hAnsi="Arial"/>
                <w:sz w:val="14"/>
                <w:szCs w:val="14"/>
                <w:b w:val="1"/>
                <w:bCs w:val="1"/>
                <w:color w:val="auto"/>
              </w:rPr>
              <w:t>Identification of Exhibit</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500" w:type="dxa"/>
            <w:vAlign w:val="bottom"/>
            <w:tcBorders>
              <w:bottom w:val="single" w:sz="8" w:color="auto"/>
            </w:tcBorders>
          </w:tcPr>
          <w:p>
            <w:pPr>
              <w:spacing w:after="0" w:line="20" w:lineRule="exact"/>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w w:val="96"/>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Rush Enterprises, Inc. 2004 Employee Stock Purchase Plan, as amended (incorporated herein by reference to Exhibit 4.1 of the Company’s</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Registration Statement No. 333-121355 on Form S-8 filed December 17, 2004)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spacing w:after="0"/>
              <w:rPr>
                <w:sz w:val="20"/>
                <w:szCs w:val="20"/>
                <w:color w:val="auto"/>
              </w:rPr>
            </w:pPr>
            <w:r>
              <w:rPr>
                <w:rFonts w:ascii="Arial" w:cs="Arial" w:eastAsia="Arial" w:hAnsi="Arial"/>
                <w:sz w:val="18"/>
                <w:szCs w:val="18"/>
                <w:color w:val="auto"/>
                <w:w w:val="91"/>
              </w:rPr>
              <w:t>Rush Enterprises, Inc. Amended and Restated 2006 Non-Employee Director Stock Plan(incorporated herein by reference to Exhibit 10.10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10-K (File No. 000-20797) for the year ended December 31, 2010)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spacing w:after="0"/>
              <w:rPr>
                <w:sz w:val="20"/>
                <w:szCs w:val="20"/>
                <w:color w:val="auto"/>
              </w:rPr>
            </w:pPr>
            <w:r>
              <w:rPr>
                <w:rFonts w:ascii="Arial" w:cs="Arial" w:eastAsia="Arial" w:hAnsi="Arial"/>
                <w:sz w:val="18"/>
                <w:szCs w:val="18"/>
                <w:color w:val="auto"/>
                <w:w w:val="94"/>
              </w:rPr>
              <w:t>Form of Rush Enterprises, Inc. 2006 Non-Employee Director Stock Option Agreement (incorporated herein by reference to Exhibit 4.4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Registration Statement No. 333-138556 on Form S-8 filed November 9, 2006)</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spacing w:after="0"/>
              <w:rPr>
                <w:sz w:val="20"/>
                <w:szCs w:val="20"/>
                <w:color w:val="auto"/>
              </w:rPr>
            </w:pPr>
            <w:r>
              <w:rPr>
                <w:rFonts w:ascii="Arial" w:cs="Arial" w:eastAsia="Arial" w:hAnsi="Arial"/>
                <w:sz w:val="18"/>
                <w:szCs w:val="18"/>
                <w:color w:val="auto"/>
                <w:w w:val="95"/>
              </w:rPr>
              <w:t>Rush Enterprises, Inc. 2007 Long-Term Incentive Plan (incorporated herein by reference to Appendix A to the Company’s Definitive Proxy</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Statement on Schedule 14A filed April 6, 2010)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spacing w:after="0"/>
              <w:rPr>
                <w:sz w:val="20"/>
                <w:szCs w:val="20"/>
                <w:color w:val="auto"/>
              </w:rPr>
            </w:pPr>
            <w:r>
              <w:rPr>
                <w:rFonts w:ascii="Arial" w:cs="Arial" w:eastAsia="Arial" w:hAnsi="Arial"/>
                <w:sz w:val="18"/>
                <w:szCs w:val="18"/>
                <w:color w:val="auto"/>
                <w:w w:val="89"/>
              </w:rPr>
              <w:t>Form of Rush Enterprises Inc. 2007 Long-Term Incentive Plan Restricted Stock Agreement (incorporated herein by reference to Exhibit 10.13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10-K (File No. 000-20797) for the year ended December 31, 2008)</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spacing w:after="0"/>
              <w:rPr>
                <w:sz w:val="20"/>
                <w:szCs w:val="20"/>
                <w:color w:val="auto"/>
              </w:rPr>
            </w:pPr>
            <w:r>
              <w:rPr>
                <w:rFonts w:ascii="Arial" w:cs="Arial" w:eastAsia="Arial" w:hAnsi="Arial"/>
                <w:sz w:val="18"/>
                <w:szCs w:val="18"/>
                <w:color w:val="auto"/>
                <w:w w:val="90"/>
              </w:rPr>
              <w:t>Form of Rush Enterprises, Inc. 2007 Long-Term Incentive Plan Restricted Stock Unit Agreement (incorporated herein by reference to Exhibit 10.1</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Company’s Current report on Form 8-K (File No. 000-20797) filed March 14, 2012)</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spacing w:after="0"/>
              <w:rPr>
                <w:sz w:val="20"/>
                <w:szCs w:val="20"/>
                <w:color w:val="auto"/>
              </w:rPr>
            </w:pPr>
            <w:r>
              <w:rPr>
                <w:rFonts w:ascii="Arial" w:cs="Arial" w:eastAsia="Arial" w:hAnsi="Arial"/>
                <w:sz w:val="18"/>
                <w:szCs w:val="18"/>
                <w:color w:val="auto"/>
                <w:w w:val="92"/>
              </w:rPr>
              <w:t>Form of Rush Enterprises, Inc. 2007 Long-Term Incentive Plan Stock Option Agreement (incorporated herein by reference to Exhibit 4.4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S-8 (File No. 333-144821) filed July 24, 2007)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dealer agreement between Peterbilt Motors Company and Rush Truck Centers (incorporated herein by reference to Exhibit 10.18 of the</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10-K (File No. 000-20797) for the year ended December 31, 1999)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Amendment to Dealer Sales and Service Agreements, dated June 15, 2006, by and among Peterbilt Motors Company, a</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division of PACCAR, Inc., Rush Enterprises, Inc. and the subsidiaries of Rush Enterprises, Inc. set forth therein (incorporated herein by reference to</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10.2 of the Company’s Form 8-K (File No. 000-20797) filed June 16, 2006).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Credit Agreement, dated December 31, 2010, by and among Rush Truck Centers of Alabama, Inc., Rush Truck Centers of Arizona, Inc., Rush Truck</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Centers of California, Inc., Rush Medium Duty Truck Centers of Colorado, Inc., Rush Truck Centers of Colorado, Inc., Rush Truck Centers of</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Florida, Inc., Rush Truck Centers of Georgia, Inc., Rush Truck Centers of New Mexico, Inc., Rush Truck Centers of Oklahoma, Inc., Rush Truck</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Centers of Tennessee, Inc., Rush Truck Centers of North Carolina, Inc., Rush Truck Centers of Idaho, Inc., Rush Truck Centers of Utah, Inc., Rush</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Truck Centers of Oregon, Inc., Rush Truck Centers of Texas, L.P., Rush Enterprises, Inc. and General Electric Capital Corporation (incorporated</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herein by reference to Exhibit 10.1 of the Company’s Current Report on Form 8-K (File No. 000-20797) filed January 6, 2011)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Guaranty Agreement, dated December 31, 2010, by Rush Enterprises, Inc. and each other Guarantor party thereto in favor of General Electric</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Capital Corporation. (incorporated herein by reference to Exhibit 10.2 of the Company’s Current Report on Form 8-K (File No. 000-20797) filed</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January 6, 2011)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First Amendment to Credit Agreement, dated December 29, 2011, among Rush Truck Centers of Alabama, Inc., Rush Truck Centers of Arizona,</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Inc., Rush Truck Centers of California, Inc., Rush Medium Duty Truck Centers of Colorado, Inc., Rush Truck Centers of Colorado, Inc., Rush Truck</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Centers of Florida, Inc., Rush Truck Centers of Georgia, Inc., Rush Truck Centers of New Mexico, Inc., Rush Truck Centers of Oklahoma, Inc.,</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Rush Truck Centers of Tennessee, Inc., Rush Truck Centers of North Carolina, Inc., Rush Truck Centers of Idaho, Inc., Rush Truck Centers of Utah,</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Inc., and Rush Truck Centers of Oregon, Inc., Rush Truck Centers of Texas, L.P., Rush Enterprises, Inc., General Electric Capital Corporation and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the other lenders party thereto (incorporated herein by reference to Exhibit 10.1 of the Company’s Current Report on Form 8-K (File No. 000-20797)</w:t>
            </w: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January 3, 2012)</w:t>
            </w:r>
          </w:p>
        </w:tc>
      </w:tr>
      <w:tr>
        <w:trPr>
          <w:trHeight w:val="36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10380" w:type="dxa"/>
            <w:vAlign w:val="bottom"/>
          </w:tcPr>
          <w:p>
            <w:pPr>
              <w:ind w:left="4500"/>
              <w:spacing w:after="0"/>
              <w:rPr>
                <w:sz w:val="20"/>
                <w:szCs w:val="20"/>
                <w:color w:val="auto"/>
              </w:rPr>
            </w:pPr>
            <w:r>
              <w:rPr>
                <w:rFonts w:ascii="Arial" w:cs="Arial" w:eastAsia="Arial" w:hAnsi="Arial"/>
                <w:sz w:val="14"/>
                <w:szCs w:val="14"/>
                <w:b w:val="1"/>
                <w:bCs w:val="1"/>
                <w:color w:val="auto"/>
              </w:rPr>
              <w:t>Identification of Exhibit</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89"/>
              </w:rPr>
              <w:t>Amended and Restated Credit Agreement, dated January 31, 2012, among Rush Truck Centers of Alabama, Inc., Rush Truck Centers of Arizona,</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2"/>
              </w:rPr>
              <w:t>Inc., Rush Truck Centers of California, Inc., Rush Medium Duty Truck Centers of Colorado, Inc., Rush Truck Centers of Colorado, Inc., Rush</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0"/>
              </w:rPr>
              <w:t>Truck Centers of Florida, Inc., Rush Truck Centers of Georgia, Inc., Rush Truck Centers of New Mexico, Inc., Rush Truck Centers of Oklahoma,</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88"/>
              </w:rPr>
              <w:t>Inc., Rush Truck Centers of Tennessee, Inc., Rush Truck Centers of North Carolina, Inc., Rush Truck Centers of Idaho, Inc., Rush Truck Centers of</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1"/>
              </w:rPr>
              <w:t>Utah, Inc., and Rush Truck Centers of Oregon, Inc., Rush Truck Centers of Texas, L.P., Rush Enterprises, Inc., the Lenders party thereto, and</w:t>
            </w: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2"/>
              </w:rPr>
              <w:t>General Electric Capital Corporation (incorporated herein by reference to Exhibit 10.1 of the Company’s Current Report on Form 8-K (File No.</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000-20797) filed January 6, 2011)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88"/>
              </w:rPr>
              <w:t>Rush Enterprises, Inc. Deferred Compensation Plan (incorporated herein by reference to Exhibit 10.1 of the Company’s Current Report on Form 8-</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K (File No. 000-20797) filed November 12, 2010)</w:t>
            </w: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2"/>
              </w:rPr>
              <w:t>Form of Indemnity Agreement (incorporated herein by reference to Exhibit 10.1 of the Company’s Current Report on Form 8-K (File No. 000-</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20797) filed February 27, 2007)</w:t>
            </w: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0"/>
              </w:rPr>
              <w:t>Rush Enterprises, Inc. Executive Transition Plan (incorporated herein by reference to Exhibit 10.1 of the Company’s Current Report on Form 8-K</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(File No. 000-20797) filed July 25, 2008)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of President and Chief Executive Officer pursuant to Rules 13a-14(a) and 15d-14(a), as adopted pursuant to Section 302 of the</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w w:val="90"/>
              </w:rPr>
              <w:t>Certification of Vice President and Chief Financial Officer pursuant to Rules 13a-14(a) and 15d-14(a), as adopted pursuant to Section 302 of the</w:t>
            </w: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102" w:lineRule="exact"/>
        <w:rPr>
          <w:sz w:val="20"/>
          <w:szCs w:val="20"/>
          <w:color w:val="auto"/>
        </w:rPr>
      </w:pPr>
    </w:p>
    <w:p>
      <w:pPr>
        <w:ind w:left="1040" w:right="20" w:hanging="1039"/>
        <w:spacing w:after="0" w:line="302" w:lineRule="auto"/>
        <w:tabs>
          <w:tab w:leader="none" w:pos="10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The following materials from Rush Enterprises, Inc.’s Annual Report on Form 10-K for the year ended December 31, 2011, formatted in XBRL (eXtensible Business Reporting Language): (i) Consolidated Balance Sheets as of December 31, 2011 and December 31, 2010; (ii) Consolidated Statements of Income for the years ended December 31, 2011, 2010, and 2009; (iii) Consolidated Statements of Shareholders’ Equity for the years ended December 31, 2011, 2010 and 2009; (iv) Consolidated Statements of Cash Flows for the year ended December 31, 2011, 2010 and 2009; and</w:t>
      </w:r>
    </w:p>
    <w:p>
      <w:pPr>
        <w:spacing w:after="0" w:line="3" w:lineRule="exact"/>
        <w:rPr>
          <w:sz w:val="20"/>
          <w:szCs w:val="20"/>
          <w:color w:val="auto"/>
        </w:rPr>
      </w:pPr>
    </w:p>
    <w:p>
      <w:pPr>
        <w:ind w:right="5200" w:firstLine="1034"/>
        <w:spacing w:after="0" w:line="426" w:lineRule="auto"/>
        <w:tabs>
          <w:tab w:leader="none" w:pos="12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 * Filed herewith.</w:t>
      </w:r>
    </w:p>
    <w:p>
      <w:pPr>
        <w:spacing w:after="0" w:line="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ind w:left="460" w:right="2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72" w:lineRule="exact"/>
        <w:rPr>
          <w:sz w:val="20"/>
          <w:szCs w:val="20"/>
          <w:color w:val="auto"/>
        </w:rPr>
      </w:pPr>
    </w:p>
    <w:p>
      <w:pPr>
        <w:jc w:val="both"/>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RUSH ENTERPRISES,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By: /s/ W. M.”RUSTY” RUSH</w:t>
      </w:r>
      <w:r>
        <w:rPr>
          <w:sz w:val="20"/>
          <w:szCs w:val="20"/>
          <w:color w:val="auto"/>
        </w:rPr>
        <w:tab/>
      </w:r>
      <w:r>
        <w:rPr>
          <w:rFonts w:ascii="Arial" w:cs="Arial" w:eastAsia="Arial" w:hAnsi="Arial"/>
          <w:sz w:val="16"/>
          <w:szCs w:val="16"/>
          <w:color w:val="auto"/>
        </w:rPr>
        <w:t>Date: March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3473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 M. “Rusty” Rush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13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14" w:lineRule="exact"/>
        <w:rPr>
          <w:sz w:val="20"/>
          <w:szCs w:val="20"/>
          <w:color w:val="auto"/>
        </w:rPr>
      </w:pPr>
    </w:p>
    <w:p>
      <w:pPr>
        <w:spacing w:after="0"/>
        <w:tabs>
          <w:tab w:leader="none" w:pos="6880" w:val="left"/>
          <w:tab w:leader="none" w:pos="103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color w:val="auto"/>
        </w:rPr>
        <w:t>Capacity</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8890</wp:posOffset>
            </wp:positionV>
            <wp:extent cx="4124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W. MARVIN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Marvin Rush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M. “Rusty” Rush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L. Keller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THOMAS A. 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A. Akin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HAROLD D.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Harold D. Marshall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JAMES C.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James C. Underwood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GERALD R. SZCZEPANSKI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Gerald R. Szczepanski</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Chairman of the Board and Director</w:t>
      </w:r>
      <w:r>
        <w:rPr>
          <w:sz w:val="20"/>
          <w:szCs w:val="20"/>
          <w:color w:val="auto"/>
        </w:rPr>
        <w:tab/>
      </w:r>
      <w:r>
        <w:rPr>
          <w:rFonts w:ascii="Arial" w:cs="Arial" w:eastAsia="Arial" w:hAnsi="Arial"/>
          <w:sz w:val="15"/>
          <w:szCs w:val="15"/>
          <w:color w:val="auto"/>
        </w:rPr>
        <w:t>March 15,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President and Chief Executive Officer, Director</w:t>
      </w:r>
      <w:r>
        <w:rPr>
          <w:sz w:val="20"/>
          <w:szCs w:val="20"/>
          <w:color w:val="auto"/>
        </w:rPr>
        <w:tab/>
      </w:r>
      <w:r>
        <w:rPr>
          <w:rFonts w:ascii="Arial" w:cs="Arial" w:eastAsia="Arial" w:hAnsi="Arial"/>
          <w:sz w:val="15"/>
          <w:szCs w:val="15"/>
          <w:color w:val="auto"/>
        </w:rPr>
        <w:t>March 15,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5"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Vice President and Chief Financial Officer</w:t>
      </w:r>
      <w:r>
        <w:rPr>
          <w:sz w:val="20"/>
          <w:szCs w:val="20"/>
          <w:color w:val="auto"/>
        </w:rPr>
        <w:tab/>
      </w:r>
      <w:r>
        <w:rPr>
          <w:rFonts w:ascii="Arial" w:cs="Arial" w:eastAsia="Arial" w:hAnsi="Arial"/>
          <w:sz w:val="15"/>
          <w:szCs w:val="15"/>
          <w:color w:val="auto"/>
        </w:rPr>
        <w:t>March 15,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5" w:lineRule="exact"/>
        <w:rPr>
          <w:sz w:val="20"/>
          <w:szCs w:val="20"/>
          <w:color w:val="auto"/>
        </w:rPr>
      </w:pPr>
    </w:p>
    <w:p>
      <w:pPr>
        <w:spacing w:after="0"/>
        <w:tabs>
          <w:tab w:leader="none" w:pos="50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2012</w:t>
      </w:r>
    </w:p>
    <w:p>
      <w:pPr>
        <w:spacing w:after="0" w:line="200" w:lineRule="exact"/>
        <w:rPr>
          <w:sz w:val="20"/>
          <w:szCs w:val="20"/>
          <w:color w:val="auto"/>
        </w:rPr>
      </w:pPr>
    </w:p>
    <w:p>
      <w:pPr>
        <w:spacing w:after="0" w:line="262" w:lineRule="exact"/>
        <w:rPr>
          <w:sz w:val="20"/>
          <w:szCs w:val="20"/>
          <w:color w:val="auto"/>
        </w:rPr>
      </w:pPr>
    </w:p>
    <w:p>
      <w:pPr>
        <w:spacing w:after="0"/>
        <w:tabs>
          <w:tab w:leader="none" w:pos="50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2012</w:t>
      </w:r>
    </w:p>
    <w:p>
      <w:pPr>
        <w:spacing w:after="0" w:line="200" w:lineRule="exact"/>
        <w:rPr>
          <w:sz w:val="20"/>
          <w:szCs w:val="20"/>
          <w:color w:val="auto"/>
        </w:rPr>
      </w:pPr>
    </w:p>
    <w:p>
      <w:pPr>
        <w:spacing w:after="0" w:line="262" w:lineRule="exact"/>
        <w:rPr>
          <w:sz w:val="20"/>
          <w:szCs w:val="20"/>
          <w:color w:val="auto"/>
        </w:rPr>
      </w:pPr>
    </w:p>
    <w:p>
      <w:pPr>
        <w:spacing w:after="0"/>
        <w:tabs>
          <w:tab w:leader="none" w:pos="50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2012</w:t>
      </w:r>
    </w:p>
    <w:p>
      <w:pPr>
        <w:spacing w:after="0" w:line="200" w:lineRule="exact"/>
        <w:rPr>
          <w:sz w:val="20"/>
          <w:szCs w:val="20"/>
          <w:color w:val="auto"/>
        </w:rPr>
      </w:pPr>
    </w:p>
    <w:p>
      <w:pPr>
        <w:spacing w:after="0" w:line="262" w:lineRule="exact"/>
        <w:rPr>
          <w:sz w:val="20"/>
          <w:szCs w:val="20"/>
          <w:color w:val="auto"/>
        </w:rPr>
      </w:pPr>
    </w:p>
    <w:p>
      <w:pPr>
        <w:spacing w:after="0"/>
        <w:tabs>
          <w:tab w:leader="none" w:pos="50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2012</w:t>
      </w: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80</w:t>
      </w:r>
    </w:p>
    <w:p>
      <w:pPr>
        <w:sectPr>
          <w:pgSz w:w="11900" w:h="16838" w:orient="portrait"/>
          <w:cols w:equalWidth="0" w:num="2">
            <w:col w:w="4200" w:space="720"/>
            <w:col w:w="6500"/>
          </w:cols>
          <w:pgMar w:left="240" w:top="459" w:right="2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21.1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State of</w:t>
            </w:r>
          </w:p>
        </w:tc>
        <w:tc>
          <w:tcPr>
            <w:tcW w:w="5800" w:type="dxa"/>
            <w:vAlign w:val="bottom"/>
          </w:tcPr>
          <w:p>
            <w:pPr>
              <w:spacing w:after="0"/>
              <w:rPr>
                <w:sz w:val="14"/>
                <w:szCs w:val="14"/>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Incorporation</w:t>
            </w:r>
          </w:p>
        </w:tc>
        <w:tc>
          <w:tcPr>
            <w:tcW w:w="5800" w:type="dxa"/>
            <w:vAlign w:val="bottom"/>
          </w:tcPr>
          <w:p>
            <w:pPr>
              <w:ind w:left="1540"/>
              <w:spacing w:after="0"/>
              <w:rPr>
                <w:sz w:val="20"/>
                <w:szCs w:val="20"/>
                <w:color w:val="auto"/>
              </w:rPr>
            </w:pPr>
            <w:r>
              <w:rPr>
                <w:rFonts w:ascii="Arial" w:cs="Arial" w:eastAsia="Arial" w:hAnsi="Arial"/>
                <w:sz w:val="14"/>
                <w:szCs w:val="14"/>
                <w:b w:val="1"/>
                <w:bCs w:val="1"/>
                <w:color w:val="auto"/>
              </w:rPr>
              <w:t>Names Under Which Subsidiary Does Business</w:t>
            </w:r>
          </w:p>
        </w:tc>
      </w:tr>
      <w:tr>
        <w:trPr>
          <w:trHeight w:val="195"/>
        </w:trPr>
        <w:tc>
          <w:tcPr>
            <w:tcW w:w="44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Rush Truck Centers of Alabama, Inc.</w:t>
            </w:r>
          </w:p>
        </w:tc>
        <w:tc>
          <w:tcPr>
            <w:tcW w:w="920" w:type="dxa"/>
            <w:vAlign w:val="bottom"/>
            <w:tcBorders>
              <w:top w:val="single" w:sz="8" w:color="auto"/>
            </w:tcBorders>
            <w:shd w:val="clear" w:color="auto" w:fill="CCEEFF"/>
          </w:tcPr>
          <w:p>
            <w:pPr>
              <w:jc w:val="right"/>
              <w:ind w:right="157"/>
              <w:spacing w:after="0" w:line="195" w:lineRule="exact"/>
              <w:rPr>
                <w:sz w:val="20"/>
                <w:szCs w:val="20"/>
                <w:color w:val="auto"/>
              </w:rPr>
            </w:pPr>
            <w:r>
              <w:rPr>
                <w:rFonts w:ascii="Arial" w:cs="Arial" w:eastAsia="Arial" w:hAnsi="Arial"/>
                <w:sz w:val="18"/>
                <w:szCs w:val="18"/>
                <w:color w:val="auto"/>
                <w:w w:val="86"/>
              </w:rPr>
              <w:t>Delaware</w:t>
            </w:r>
          </w:p>
        </w:tc>
        <w:tc>
          <w:tcPr>
            <w:tcW w:w="240" w:type="dxa"/>
            <w:vAlign w:val="bottom"/>
            <w:tcBorders>
              <w:top w:val="single" w:sz="8" w:color="CCEEFF"/>
            </w:tcBorders>
            <w:shd w:val="clear" w:color="auto" w:fill="CCEEFF"/>
          </w:tcPr>
          <w:p>
            <w:pPr>
              <w:spacing w:after="0"/>
              <w:rPr>
                <w:sz w:val="16"/>
                <w:szCs w:val="16"/>
                <w:color w:val="auto"/>
              </w:rPr>
            </w:pPr>
          </w:p>
        </w:tc>
        <w:tc>
          <w:tcPr>
            <w:tcW w:w="5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Truck Center, Mobile</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Mobile</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Arizona,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Truck Center, Phoenix</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Phoenix</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Chandler</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Chandler</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Flagstaff</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Flagstaff</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Tucson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Tucson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Yuma</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Yuma</w:t>
            </w:r>
          </w:p>
        </w:tc>
      </w:tr>
      <w:tr>
        <w:trPr>
          <w:trHeight w:val="22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Truck Centers of California, Inc.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Complete Rush Truck Centers</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Pico Rivera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Pico Rivera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Fontana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Fontana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Medium Duty Truck Center, Fontana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Fontana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Fontana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Fontana Used Trucks</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Sylmar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Sylmar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Escondido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Escondido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San Diego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San Diego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San Luis Obispo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San Luis Obispo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Whittier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 Whittier</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Whittier</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Medium Duty Truck Centers of Colorado,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Medium Duty Truck Center, Denver</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Medium Duty Ford Trucks, Denver</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Isuzu Trucks, Denver</w:t>
            </w:r>
          </w:p>
        </w:tc>
      </w:tr>
      <w:tr>
        <w:trPr>
          <w:trHeight w:val="22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Truck Centers of Colorado, Inc.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Inc.</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Denver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Denver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Greeley</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Greeley</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Pueblo</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Pueblo</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Florida,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Isuzu Trucks, Orlando</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Orlando</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Isuzu Truck Center, Orlando</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Orlando</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Orlando Light and Medium Duty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Orlando South</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Winter Garden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Winter Garden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Isuzu Trucks, Winter Garden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Tampa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Tampa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Jacksonville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Jacksonville</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w:t>
            </w:r>
          </w:p>
        </w:tc>
      </w:tr>
    </w:tbl>
    <w:p>
      <w:pPr>
        <w:sectPr>
          <w:pgSz w:w="11900" w:h="16838" w:orient="portrait"/>
          <w:cols w:equalWidth="0" w:num="1">
            <w:col w:w="11420"/>
          </w:cols>
          <w:pgMar w:left="240" w:top="131" w:right="2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State of</w:t>
            </w:r>
          </w:p>
        </w:tc>
        <w:tc>
          <w:tcPr>
            <w:tcW w:w="5800" w:type="dxa"/>
            <w:vAlign w:val="bottom"/>
          </w:tcPr>
          <w:p>
            <w:pPr>
              <w:spacing w:after="0"/>
              <w:rPr>
                <w:sz w:val="14"/>
                <w:szCs w:val="14"/>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Incorporation</w:t>
            </w:r>
          </w:p>
        </w:tc>
        <w:tc>
          <w:tcPr>
            <w:tcW w:w="5800" w:type="dxa"/>
            <w:vAlign w:val="bottom"/>
          </w:tcPr>
          <w:p>
            <w:pPr>
              <w:ind w:left="1540"/>
              <w:spacing w:after="0"/>
              <w:rPr>
                <w:sz w:val="20"/>
                <w:szCs w:val="20"/>
                <w:color w:val="auto"/>
              </w:rPr>
            </w:pPr>
            <w:r>
              <w:rPr>
                <w:rFonts w:ascii="Arial" w:cs="Arial" w:eastAsia="Arial" w:hAnsi="Arial"/>
                <w:sz w:val="14"/>
                <w:szCs w:val="14"/>
                <w:b w:val="1"/>
                <w:bCs w:val="1"/>
                <w:color w:val="auto"/>
              </w:rPr>
              <w:t>Names Under Which Subsidiary Does Business</w:t>
            </w:r>
          </w:p>
        </w:tc>
      </w:tr>
      <w:tr>
        <w:trPr>
          <w:trHeight w:val="195"/>
        </w:trPr>
        <w:tc>
          <w:tcPr>
            <w:tcW w:w="44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Rush Truck Centers of Georgia, Inc.</w:t>
            </w:r>
          </w:p>
        </w:tc>
        <w:tc>
          <w:tcPr>
            <w:tcW w:w="920" w:type="dxa"/>
            <w:vAlign w:val="bottom"/>
            <w:tcBorders>
              <w:top w:val="single" w:sz="8" w:color="auto"/>
            </w:tcBorders>
            <w:shd w:val="clear" w:color="auto" w:fill="CCEEFF"/>
          </w:tcPr>
          <w:p>
            <w:pPr>
              <w:jc w:val="right"/>
              <w:ind w:right="157"/>
              <w:spacing w:after="0" w:line="195" w:lineRule="exact"/>
              <w:rPr>
                <w:sz w:val="20"/>
                <w:szCs w:val="20"/>
                <w:color w:val="auto"/>
              </w:rPr>
            </w:pPr>
            <w:r>
              <w:rPr>
                <w:rFonts w:ascii="Arial" w:cs="Arial" w:eastAsia="Arial" w:hAnsi="Arial"/>
                <w:sz w:val="18"/>
                <w:szCs w:val="18"/>
                <w:color w:val="auto"/>
                <w:w w:val="86"/>
              </w:rPr>
              <w:t>Delaware</w:t>
            </w:r>
          </w:p>
        </w:tc>
        <w:tc>
          <w:tcPr>
            <w:tcW w:w="240" w:type="dxa"/>
            <w:vAlign w:val="bottom"/>
            <w:tcBorders>
              <w:top w:val="single" w:sz="8" w:color="CCEEFF"/>
            </w:tcBorders>
            <w:shd w:val="clear" w:color="auto" w:fill="CCEEFF"/>
          </w:tcPr>
          <w:p>
            <w:pPr>
              <w:spacing w:after="0"/>
              <w:rPr>
                <w:sz w:val="16"/>
                <w:szCs w:val="16"/>
                <w:color w:val="auto"/>
              </w:rPr>
            </w:pPr>
          </w:p>
        </w:tc>
        <w:tc>
          <w:tcPr>
            <w:tcW w:w="5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Medium Duty Truck Center, Atlanta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Atlanta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Atlanta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International Truck Center, Atlanta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Collision Center, Atlanta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Doraville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International Truck Center, Doraville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Doraville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Kennesaw</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Kennesaw</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Smyrna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Atlanta</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Tifton</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Idaho,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Boise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Twin Falls</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Idaho Falls</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Heyburn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Lewiston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Boise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Twin Falls</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Idaho Falls</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Heyburn</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Lewiston</w:t>
            </w:r>
          </w:p>
        </w:tc>
      </w:tr>
      <w:tr>
        <w:trPr>
          <w:trHeight w:val="22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Truck Centers of New Mexico, Inc.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Albuquerque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Las Cruces</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Las Cruces</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North Carolina,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Collision Center, Charlotte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International Truck Center, Charlotte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Charlotte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Charlotte</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Body Shop, Charlotte</w:t>
            </w:r>
          </w:p>
        </w:tc>
      </w:tr>
      <w:tr>
        <w:trPr>
          <w:trHeight w:val="23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Medium Duty Truck Centers of Oklahoma, Inc.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Oklahoma City</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Oklahoma, Inc.</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Delaware</w:t>
            </w: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Ardmore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Ardmore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Center, Tulsa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Volvo Truck Center, Oklahoma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Volvo Truck Center, Tulsa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Rush Truck Rigging</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Perfection Equipment</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Perfection Truck Parts &amp; Equipment, Oklahoma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Perfection Truck Parts &amp; Equipment, Tulsa</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Translease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Oklahoma Trucks, Inc.</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Tulsa Trucks, Inc.</w:t>
            </w:r>
          </w:p>
        </w:tc>
      </w:tr>
      <w:tr>
        <w:trPr>
          <w:trHeight w:val="378"/>
        </w:trPr>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63" w:right="239"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State of</w:t>
            </w:r>
          </w:p>
        </w:tc>
        <w:tc>
          <w:tcPr>
            <w:tcW w:w="22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5"/>
              </w:rPr>
              <w:t>Incorporation</w:t>
            </w:r>
          </w:p>
        </w:tc>
        <w:tc>
          <w:tcPr>
            <w:tcW w:w="220" w:type="dxa"/>
            <w:vAlign w:val="bottom"/>
          </w:tcPr>
          <w:p>
            <w:pPr>
              <w:spacing w:after="0"/>
              <w:rPr>
                <w:sz w:val="15"/>
                <w:szCs w:val="15"/>
                <w:color w:val="auto"/>
              </w:rPr>
            </w:pPr>
          </w:p>
        </w:tc>
        <w:tc>
          <w:tcPr>
            <w:tcW w:w="5700" w:type="dxa"/>
            <w:vAlign w:val="bottom"/>
          </w:tcPr>
          <w:p>
            <w:pPr>
              <w:ind w:left="1500"/>
              <w:spacing w:after="0"/>
              <w:rPr>
                <w:sz w:val="20"/>
                <w:szCs w:val="20"/>
                <w:color w:val="auto"/>
              </w:rPr>
            </w:pPr>
            <w:r>
              <w:rPr>
                <w:rFonts w:ascii="Arial" w:cs="Arial" w:eastAsia="Arial" w:hAnsi="Arial"/>
                <w:sz w:val="14"/>
                <w:szCs w:val="14"/>
                <w:b w:val="1"/>
                <w:bCs w:val="1"/>
                <w:color w:val="auto"/>
              </w:rPr>
              <w:t>Names Under Which Subsidiary Does Business</w:t>
            </w:r>
          </w:p>
        </w:tc>
      </w:tr>
      <w:tr>
        <w:trPr>
          <w:trHeight w:val="195"/>
        </w:trPr>
        <w:tc>
          <w:tcPr>
            <w:tcW w:w="45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Rush Truck Centers of Oregon, Inc.</w:t>
            </w:r>
          </w:p>
        </w:tc>
        <w:tc>
          <w:tcPr>
            <w:tcW w:w="920" w:type="dxa"/>
            <w:vAlign w:val="bottom"/>
            <w:tcBorders>
              <w:top w:val="single" w:sz="8" w:color="auto"/>
            </w:tcBorders>
            <w:shd w:val="clear" w:color="auto" w:fill="CCEEFF"/>
          </w:tcPr>
          <w:p>
            <w:pPr>
              <w:jc w:val="right"/>
              <w:ind w:right="160"/>
              <w:spacing w:after="0" w:line="195" w:lineRule="exact"/>
              <w:rPr>
                <w:sz w:val="20"/>
                <w:szCs w:val="20"/>
                <w:color w:val="auto"/>
              </w:rPr>
            </w:pPr>
            <w:r>
              <w:rPr>
                <w:rFonts w:ascii="Arial" w:cs="Arial" w:eastAsia="Arial" w:hAnsi="Arial"/>
                <w:sz w:val="18"/>
                <w:szCs w:val="18"/>
                <w:color w:val="auto"/>
                <w:w w:val="86"/>
              </w:rPr>
              <w:t>Delaware</w:t>
            </w:r>
          </w:p>
        </w:tc>
        <w:tc>
          <w:tcPr>
            <w:tcW w:w="220" w:type="dxa"/>
            <w:vAlign w:val="bottom"/>
            <w:tcBorders>
              <w:top w:val="single" w:sz="8" w:color="CCEEFF"/>
            </w:tcBorders>
            <w:shd w:val="clear" w:color="auto" w:fill="CCEEFF"/>
          </w:tcPr>
          <w:p>
            <w:pPr>
              <w:spacing w:after="0"/>
              <w:rPr>
                <w:sz w:val="16"/>
                <w:szCs w:val="16"/>
                <w:color w:val="auto"/>
              </w:rPr>
            </w:pPr>
          </w:p>
        </w:tc>
        <w:tc>
          <w:tcPr>
            <w:tcW w:w="5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International Truck Center, Ontario</w:t>
            </w:r>
          </w:p>
        </w:tc>
      </w:tr>
      <w:tr>
        <w:trPr>
          <w:trHeight w:val="238"/>
        </w:trPr>
        <w:tc>
          <w:tcPr>
            <w:tcW w:w="3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Ontario</w:t>
            </w:r>
          </w:p>
        </w:tc>
      </w:tr>
      <w:tr>
        <w:trPr>
          <w:trHeight w:val="208"/>
        </w:trPr>
        <w:tc>
          <w:tcPr>
            <w:tcW w:w="4580" w:type="dxa"/>
            <w:vAlign w:val="bottom"/>
            <w:gridSpan w:val="2"/>
          </w:tcPr>
          <w:p>
            <w:pPr>
              <w:spacing w:after="0"/>
              <w:rPr>
                <w:sz w:val="20"/>
                <w:szCs w:val="20"/>
                <w:color w:val="auto"/>
              </w:rPr>
            </w:pPr>
            <w:r>
              <w:rPr>
                <w:rFonts w:ascii="Arial" w:cs="Arial" w:eastAsia="Arial" w:hAnsi="Arial"/>
                <w:sz w:val="18"/>
                <w:szCs w:val="18"/>
                <w:color w:val="auto"/>
              </w:rPr>
              <w:t>Rush Truck Centers of Tennessee, Inc.</w:t>
            </w:r>
          </w:p>
        </w:tc>
        <w:tc>
          <w:tcPr>
            <w:tcW w:w="920" w:type="dxa"/>
            <w:vAlign w:val="bottom"/>
          </w:tcPr>
          <w:p>
            <w:pPr>
              <w:jc w:val="right"/>
              <w:ind w:right="160"/>
              <w:spacing w:after="0"/>
              <w:rPr>
                <w:sz w:val="20"/>
                <w:szCs w:val="20"/>
                <w:color w:val="auto"/>
              </w:rPr>
            </w:pPr>
            <w:r>
              <w:rPr>
                <w:rFonts w:ascii="Arial" w:cs="Arial" w:eastAsia="Arial" w:hAnsi="Arial"/>
                <w:sz w:val="18"/>
                <w:szCs w:val="18"/>
                <w:color w:val="auto"/>
                <w:w w:val="86"/>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Nashville</w:t>
            </w:r>
          </w:p>
        </w:tc>
      </w:tr>
      <w:tr>
        <w:trPr>
          <w:trHeight w:val="222"/>
        </w:trPr>
        <w:tc>
          <w:tcPr>
            <w:tcW w:w="3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Peterbilt Truck Center, Nashville</w:t>
            </w:r>
          </w:p>
        </w:tc>
      </w:tr>
      <w:tr>
        <w:trPr>
          <w:trHeight w:val="223"/>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92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w w:val="81"/>
              </w:rPr>
              <w:t>Texas</w:t>
            </w:r>
          </w:p>
        </w:tc>
        <w:tc>
          <w:tcPr>
            <w:tcW w:w="2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Custom Vehicle Solutions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Houston Peterbilt, Inc.</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Laredo Peterbilt, Inc.</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Lufkin Peterbilt, Inc.</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Alice</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Austin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Corpus Christi</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Dallas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Dallas, Number 2</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Fort Worth</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Houston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Laredo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Lufkin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Pharr</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San Antonio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San Antonio, Number 2</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Sealy</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Texarkana</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Tyler</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Bus Center, Waco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El Paso, Inc.</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Austin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Dallas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Texarkana</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El Paso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Sealy</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Waco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Dallas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Dallas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San Antonio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Waco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Abilene</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Alice</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Amarillo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Austin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Corpus Christi</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Dalhart</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Dallas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El Paso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Fort Worth</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Hereford</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Houston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Laredo</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Lubbock</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Lufkin</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Odessa</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Pharr</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San Antonio</w:t>
            </w:r>
          </w:p>
        </w:tc>
      </w:tr>
      <w:tr>
        <w:trPr>
          <w:trHeight w:val="238"/>
        </w:trPr>
        <w:tc>
          <w:tcPr>
            <w:tcW w:w="3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Sealy</w:t>
            </w:r>
          </w:p>
        </w:tc>
      </w:tr>
      <w:tr>
        <w:trPr>
          <w:trHeight w:val="363"/>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gridSpan w:val="2"/>
          </w:tcPr>
          <w:p>
            <w:pPr>
              <w:jc w:val="right"/>
              <w:ind w:right="5573"/>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63" w:right="239" w:bottom="144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State of</w:t>
            </w:r>
          </w:p>
        </w:tc>
        <w:tc>
          <w:tcPr>
            <w:tcW w:w="22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16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w w:val="99"/>
              </w:rPr>
              <w:t>Incorporation</w:t>
            </w:r>
          </w:p>
        </w:tc>
        <w:tc>
          <w:tcPr>
            <w:tcW w:w="220" w:type="dxa"/>
            <w:vAlign w:val="bottom"/>
          </w:tcPr>
          <w:p>
            <w:pPr>
              <w:spacing w:after="0"/>
              <w:rPr>
                <w:sz w:val="14"/>
                <w:szCs w:val="14"/>
                <w:color w:val="auto"/>
              </w:rPr>
            </w:pPr>
          </w:p>
        </w:tc>
        <w:tc>
          <w:tcPr>
            <w:tcW w:w="5700" w:type="dxa"/>
            <w:vAlign w:val="bottom"/>
          </w:tcPr>
          <w:p>
            <w:pPr>
              <w:ind w:left="1500"/>
              <w:spacing w:after="0"/>
              <w:rPr>
                <w:sz w:val="20"/>
                <w:szCs w:val="20"/>
                <w:color w:val="auto"/>
              </w:rPr>
            </w:pPr>
            <w:r>
              <w:rPr>
                <w:rFonts w:ascii="Arial" w:cs="Arial" w:eastAsia="Arial" w:hAnsi="Arial"/>
                <w:sz w:val="14"/>
                <w:szCs w:val="14"/>
                <w:b w:val="1"/>
                <w:bCs w:val="1"/>
                <w:color w:val="auto"/>
              </w:rPr>
              <w:t>Names Under Which Subsidiary Does Business</w:t>
            </w:r>
          </w:p>
        </w:tc>
      </w:tr>
      <w:tr>
        <w:trPr>
          <w:trHeight w:val="208"/>
        </w:trPr>
        <w:tc>
          <w:tcPr>
            <w:tcW w:w="380" w:type="dxa"/>
            <w:vAlign w:val="bottom"/>
            <w:tcBorders>
              <w:top w:val="single" w:sz="8" w:color="auto"/>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Rush Peterbilt Truck Center, Texarkana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Tyler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Waco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Towing Systems</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Abilene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Alice</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Amarillo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Austin</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Corpus Christi</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Dalhart</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Dallas</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Denton</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El Paso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Fort Worth</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Hereford</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Houston</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Laredo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Lubbock</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Lufkin</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Odessa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Pharr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San Antonio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Sealy</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Texarkana</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Tyler</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Waco</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Crane and Refuse Systems International</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Antonio Peterbilt, Inc.</w:t>
            </w:r>
          </w:p>
        </w:tc>
      </w:tr>
      <w:tr>
        <w:trPr>
          <w:trHeight w:val="216"/>
        </w:trPr>
        <w:tc>
          <w:tcPr>
            <w:tcW w:w="3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Antonio Peterbilt-GMC Truck, Inc.</w:t>
            </w:r>
          </w:p>
        </w:tc>
      </w:tr>
      <w:tr>
        <w:trPr>
          <w:trHeight w:val="238"/>
        </w:trPr>
        <w:tc>
          <w:tcPr>
            <w:tcW w:w="38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World Wide Tires</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Centers of Utah, Inc.</w:t>
            </w: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International Truck Center, Helper</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Helper</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St. George</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Truck Center, Ogden</w:t>
            </w:r>
          </w:p>
        </w:tc>
      </w:tr>
      <w:tr>
        <w:trPr>
          <w:trHeight w:val="23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 Tough, Inc.</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Center of Albuquerque, Inc.</w:t>
            </w:r>
          </w:p>
        </w:tc>
        <w:tc>
          <w:tcPr>
            <w:tcW w:w="1040" w:type="dxa"/>
            <w:vAlign w:val="bottom"/>
          </w:tcPr>
          <w:p>
            <w:pPr>
              <w:spacing w:after="0"/>
              <w:rPr>
                <w:sz w:val="20"/>
                <w:szCs w:val="20"/>
                <w:color w:val="auto"/>
              </w:rPr>
            </w:pPr>
            <w:r>
              <w:rPr>
                <w:rFonts w:ascii="Arial" w:cs="Arial" w:eastAsia="Arial" w:hAnsi="Arial"/>
                <w:sz w:val="18"/>
                <w:szCs w:val="18"/>
                <w:color w:val="auto"/>
              </w:rPr>
              <w:t>New Mexico</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GMC Truck Center of El Paso, Inc.</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Rush GMC Truck Center of Phoenix, Inc.</w:t>
            </w: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GMC Truck Center of San Diego, Inc.</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Rush GMC Truck Center of Tucson, Inc.</w:t>
            </w: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Accessories Corporation</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Chrome Country, Inc.</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Rush Truck Leasing, Inc.</w:t>
            </w: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Crane Systems</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Rush Idealease, Charlotte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Boise Idealease</w:t>
            </w:r>
          </w:p>
        </w:tc>
      </w:tr>
      <w:tr>
        <w:trPr>
          <w:trHeight w:val="216"/>
        </w:trPr>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Salt Lake City Idealease</w:t>
            </w:r>
          </w:p>
        </w:tc>
      </w:tr>
      <w:tr>
        <w:trPr>
          <w:trHeight w:val="222"/>
        </w:trPr>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Charlotte Idealease</w:t>
            </w:r>
          </w:p>
        </w:tc>
      </w:tr>
      <w:tr>
        <w:trPr>
          <w:trHeight w:val="23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Equipment Centers of Texas, Inc.</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Rush Equipment Center, Houston</w:t>
            </w: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Rushtex, Inc.</w:t>
            </w:r>
          </w:p>
        </w:tc>
        <w:tc>
          <w:tcPr>
            <w:tcW w:w="10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356"/>
        </w:trPr>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20" w:type="dxa"/>
            <w:vAlign w:val="bottom"/>
            <w:gridSpan w:val="2"/>
          </w:tcPr>
          <w:p>
            <w:pPr>
              <w:jc w:val="right"/>
              <w:ind w:right="5573"/>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63" w:right="2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State of</w:t>
            </w:r>
          </w:p>
        </w:tc>
        <w:tc>
          <w:tcPr>
            <w:tcW w:w="22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0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w w:val="93"/>
              </w:rPr>
              <w:t>Incorporation</w:t>
            </w:r>
          </w:p>
        </w:tc>
        <w:tc>
          <w:tcPr>
            <w:tcW w:w="220" w:type="dxa"/>
            <w:vAlign w:val="bottom"/>
          </w:tcPr>
          <w:p>
            <w:pPr>
              <w:spacing w:after="0"/>
              <w:rPr>
                <w:sz w:val="15"/>
                <w:szCs w:val="15"/>
                <w:color w:val="auto"/>
              </w:rPr>
            </w:pPr>
          </w:p>
        </w:tc>
        <w:tc>
          <w:tcPr>
            <w:tcW w:w="5700" w:type="dxa"/>
            <w:vAlign w:val="bottom"/>
          </w:tcPr>
          <w:p>
            <w:pPr>
              <w:ind w:left="1500"/>
              <w:spacing w:after="0"/>
              <w:rPr>
                <w:sz w:val="20"/>
                <w:szCs w:val="20"/>
                <w:color w:val="auto"/>
              </w:rPr>
            </w:pPr>
            <w:r>
              <w:rPr>
                <w:rFonts w:ascii="Arial" w:cs="Arial" w:eastAsia="Arial" w:hAnsi="Arial"/>
                <w:sz w:val="14"/>
                <w:szCs w:val="14"/>
                <w:b w:val="1"/>
                <w:bCs w:val="1"/>
                <w:color w:val="auto"/>
              </w:rPr>
              <w:t>Names Under Which Subsidiary Does Business</w:t>
            </w: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Rushco, Inc.</w:t>
            </w: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Delaware</w:t>
            </w:r>
          </w:p>
        </w:tc>
        <w:tc>
          <w:tcPr>
            <w:tcW w:w="22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Rush Administrative Services, Inc.</w:t>
            </w:r>
          </w:p>
        </w:tc>
        <w:tc>
          <w:tcPr>
            <w:tcW w:w="92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Rush Idealease,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Rush Real Estate Holdings, Inc.</w:t>
            </w:r>
          </w:p>
        </w:tc>
        <w:tc>
          <w:tcPr>
            <w:tcW w:w="92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General Agency</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Los Cuernos, Inc.</w:t>
            </w:r>
          </w:p>
        </w:tc>
        <w:tc>
          <w:tcPr>
            <w:tcW w:w="92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 Cuernos Ranch</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AiRush,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Rush Retail Centers, Inc.</w:t>
            </w:r>
          </w:p>
        </w:tc>
        <w:tc>
          <w:tcPr>
            <w:tcW w:w="92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08"/>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Associated Acceptance,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Associated Insurance Services</w:t>
            </w:r>
          </w:p>
        </w:tc>
      </w:tr>
      <w:tr>
        <w:trPr>
          <w:trHeight w:val="216"/>
        </w:trPr>
        <w:tc>
          <w:tcPr>
            <w:tcW w:w="3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Automotive Industry Insurance</w:t>
            </w:r>
          </w:p>
        </w:tc>
      </w:tr>
      <w:tr>
        <w:trPr>
          <w:trHeight w:val="238"/>
        </w:trPr>
        <w:tc>
          <w:tcPr>
            <w:tcW w:w="3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Associated Acceptance of Florida, Inc.</w:t>
            </w:r>
          </w:p>
        </w:tc>
        <w:tc>
          <w:tcPr>
            <w:tcW w:w="92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Associated Acceptance of Oklahoma,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Advance Premium Finance, Inc.</w:t>
            </w:r>
          </w:p>
        </w:tc>
        <w:tc>
          <w:tcPr>
            <w:tcW w:w="920" w:type="dxa"/>
            <w:vAlign w:val="bottom"/>
          </w:tcPr>
          <w:p>
            <w:pPr>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Adams International Trucks,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363"/>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gridSpan w:val="2"/>
          </w:tcPr>
          <w:p>
            <w:pPr>
              <w:jc w:val="right"/>
              <w:ind w:right="5573"/>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6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333-170732) pertaining to the Rush Enterprises, Inc. Deferred Compensation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333-168231) pertaining to the Rush Enterprises, Inc. 2007 Long-Term Incentive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333-144821) pertaining to the Rush Enterprises, Inc. 2007 Long-Term Incentive Plan;</w:t>
      </w:r>
    </w:p>
    <w:p>
      <w:pPr>
        <w:spacing w:after="0" w:line="15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333-138557) pertaining to the Rush Enterprises, Inc. Amended and Restated 1997 Non-Employee Director Stock Option Plan;</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Registration Statement (Form S-8 No. 333-138556) pertaining to the Rush Enterprises, Inc. 2006 Non-Employee Director Stock Option Plan;</w:t>
      </w:r>
    </w:p>
    <w:p>
      <w:pPr>
        <w:spacing w:after="0" w:line="180"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333-121355) pertaining to the Rush Enterprises, Inc. Long-Term Incentive Plan, the Rush Enterprises, Inc. 2004 Employee Stock Purchase Plan and Certain Non-Plan Options;</w:t>
      </w:r>
    </w:p>
    <w:p>
      <w:pPr>
        <w:spacing w:after="0" w:line="11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333-117305) pertaining to the Rush Enterprises, Inc. Amended and Restated 1997 Non-Employee Director Stock Option Plan and the Rush Enterprises, Inc. Long-Term Incentive Plan;</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Registration Statement (Form S-8 No. 333-70451) pertaining to the Rush Enterprises, Inc. 1997 Non-Employee Director Stock Option Plan; and</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333-07043) pertaining to the Rush Enterprises, Inc. Long-Term Incentive Plan.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reports dated March 15, 2012, with respect to the consolidated financial statements of Rush Enterprises, Inc. and subsidiaries and the effectiveness of Rush Enterprises, Inc.’s internal control over financial reporting, included in this Annual Report (Form 10-K) of Rush Enterprises, Inc. for the year ended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14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44" w:lineRule="exact"/>
        <w:rPr>
          <w:rFonts w:ascii="Arial" w:cs="Arial" w:eastAsia="Arial" w:hAnsi="Arial"/>
          <w:sz w:val="18"/>
          <w:szCs w:val="18"/>
          <w:color w:val="auto"/>
        </w:rPr>
      </w:pPr>
    </w:p>
    <w:p>
      <w:pPr>
        <w:ind w:firstLine="8"/>
        <w:spacing w:after="0" w:line="332" w:lineRule="auto"/>
        <w:tabs>
          <w:tab w:leader="none" w:pos="1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6"/>
          <w:szCs w:val="16"/>
          <w:color w:val="auto"/>
        </w:rPr>
      </w:pPr>
    </w:p>
    <w:p>
      <w:pPr>
        <w:ind w:firstLine="8"/>
        <w:spacing w:after="0" w:line="268" w:lineRule="auto"/>
        <w:tabs>
          <w:tab w:leader="none" w:pos="1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jc w:val="both"/>
        <w:ind w:firstLine="8"/>
        <w:spacing w:after="0" w:line="259" w:lineRule="auto"/>
        <w:tabs>
          <w:tab w:leader="none" w:pos="1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firstLine="464"/>
        <w:spacing w:after="0" w:line="259" w:lineRule="auto"/>
        <w:tabs>
          <w:tab w:leader="none" w:pos="6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firstLine="464"/>
        <w:spacing w:after="0" w:line="259" w:lineRule="auto"/>
        <w:tabs>
          <w:tab w:leader="none" w:pos="6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firstLine="464"/>
        <w:spacing w:after="0" w:line="268" w:lineRule="auto"/>
        <w:tabs>
          <w:tab w:leader="none" w:pos="6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8"/>
          <w:szCs w:val="18"/>
          <w:color w:val="auto"/>
        </w:rPr>
      </w:pPr>
    </w:p>
    <w:p>
      <w:pPr>
        <w:jc w:val="both"/>
        <w:ind w:firstLine="464"/>
        <w:spacing w:after="0" w:line="259" w:lineRule="auto"/>
        <w:tabs>
          <w:tab w:leader="none" w:pos="6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firstLine="8"/>
        <w:spacing w:after="0" w:line="268" w:lineRule="auto"/>
        <w:tabs>
          <w:tab w:leader="none" w:pos="1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8"/>
          <w:szCs w:val="18"/>
          <w:color w:val="auto"/>
        </w:rPr>
      </w:pPr>
    </w:p>
    <w:p>
      <w:pPr>
        <w:ind w:firstLine="464"/>
        <w:spacing w:after="0" w:line="268" w:lineRule="auto"/>
        <w:tabs>
          <w:tab w:leader="none" w:pos="6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20" w:firstLine="464"/>
        <w:spacing w:after="0" w:line="268" w:lineRule="auto"/>
        <w:tabs>
          <w:tab w:leader="none" w:pos="6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40"/>
        <w:spacing w:after="0"/>
        <w:tabs>
          <w:tab w:leader="none" w:pos="59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By: /S/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 M. “Rusty” Rush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144"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44" w:lineRule="exact"/>
        <w:rPr>
          <w:rFonts w:ascii="Arial" w:cs="Arial" w:eastAsia="Arial" w:hAnsi="Arial"/>
          <w:sz w:val="18"/>
          <w:szCs w:val="18"/>
          <w:color w:val="auto"/>
        </w:rPr>
      </w:pPr>
    </w:p>
    <w:p>
      <w:pPr>
        <w:ind w:firstLine="8"/>
        <w:spacing w:after="0" w:line="332" w:lineRule="auto"/>
        <w:tabs>
          <w:tab w:leader="none" w:pos="1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6"/>
          <w:szCs w:val="16"/>
          <w:color w:val="auto"/>
        </w:rPr>
      </w:pPr>
    </w:p>
    <w:p>
      <w:pPr>
        <w:ind w:firstLine="8"/>
        <w:spacing w:after="0" w:line="268" w:lineRule="auto"/>
        <w:tabs>
          <w:tab w:leader="none" w:pos="1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jc w:val="both"/>
        <w:ind w:firstLine="8"/>
        <w:spacing w:after="0" w:line="259"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firstLine="464"/>
        <w:spacing w:after="0" w:line="259" w:lineRule="auto"/>
        <w:tabs>
          <w:tab w:leader="none" w:pos="6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firstLine="464"/>
        <w:spacing w:after="0" w:line="259" w:lineRule="auto"/>
        <w:tabs>
          <w:tab w:leader="none" w:pos="6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firstLine="464"/>
        <w:spacing w:after="0" w:line="268" w:lineRule="auto"/>
        <w:tabs>
          <w:tab w:leader="none" w:pos="6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8"/>
          <w:szCs w:val="18"/>
          <w:color w:val="auto"/>
        </w:rPr>
      </w:pPr>
    </w:p>
    <w:p>
      <w:pPr>
        <w:jc w:val="both"/>
        <w:ind w:firstLine="464"/>
        <w:spacing w:after="0" w:line="259" w:lineRule="auto"/>
        <w:tabs>
          <w:tab w:leader="none" w:pos="66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firstLine="8"/>
        <w:spacing w:after="0" w:line="268" w:lineRule="auto"/>
        <w:tabs>
          <w:tab w:leader="none" w:pos="1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8"/>
          <w:szCs w:val="18"/>
          <w:color w:val="auto"/>
        </w:rPr>
      </w:pPr>
    </w:p>
    <w:p>
      <w:pPr>
        <w:ind w:firstLine="464"/>
        <w:spacing w:after="0" w:line="268" w:lineRule="auto"/>
        <w:tabs>
          <w:tab w:leader="none" w:pos="6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20" w:firstLine="464"/>
        <w:spacing w:after="0" w:line="268" w:lineRule="auto"/>
        <w:tabs>
          <w:tab w:leader="none" w:pos="6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40"/>
        <w:spacing w:after="0"/>
        <w:tabs>
          <w:tab w:leader="none" w:pos="59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L. Keller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2011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 M. “Rusty” Rush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15, 2012</w:t>
      </w:r>
    </w:p>
    <w:p>
      <w:pPr>
        <w:sectPr>
          <w:pgSz w:w="11900" w:h="16838" w:orient="portrait"/>
          <w:cols w:equalWidth="0" w:num="1">
            <w:col w:w="11420"/>
          </w:cols>
          <w:pgMar w:left="2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2011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L. Keller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15, 2012</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1."/>
      <w:numFmt w:val="decimal"/>
      <w:start w:val="3"/>
    </w:lvl>
  </w:abstractNum>
  <w:abstractNum w:abstractNumId="9">
    <w:nsid w:val="2443A858"/>
    <w:multiLevelType w:val="hybridMultilevel"/>
    <w:lvl w:ilvl="0">
      <w:lvlJc w:val="left"/>
      <w:lvlText w:val="%1."/>
      <w:numFmt w:val="decimal"/>
      <w:start w:val="4"/>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2"/>
    </w:lvl>
  </w:abstractNum>
  <w:abstractNum w:abstractNumId="15">
    <w:nsid w:val="4353D0CD"/>
    <w:multiLevelType w:val="hybridMultilevel"/>
    <w:lvl w:ilvl="0">
      <w:lvlJc w:val="left"/>
      <w:lvlText w:val="%1."/>
      <w:numFmt w:val="decimal"/>
      <w:start w:val="13"/>
    </w:lvl>
  </w:abstractNum>
  <w:abstractNum w:abstractNumId="16">
    <w:nsid w:val="B03E0C6"/>
    <w:multiLevelType w:val="hybridMultilevel"/>
    <w:lvl w:ilvl="0">
      <w:lvlJc w:val="left"/>
      <w:lvlText w:val="%1."/>
      <w:numFmt w:val="decimal"/>
      <w:start w:val="14"/>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5"/>
    </w:lvl>
  </w:abstractNum>
  <w:abstractNum w:abstractNumId="20">
    <w:nsid w:val="2CA88611"/>
    <w:multiLevelType w:val="hybridMultilevel"/>
    <w:lvl w:ilvl="0">
      <w:lvlJc w:val="left"/>
      <w:lvlText w:val="%1."/>
      <w:numFmt w:val="decimal"/>
      <w:start w:val="16"/>
    </w:lvl>
  </w:abstractNum>
  <w:abstractNum w:abstractNumId="21">
    <w:nsid w:val="836C40E"/>
    <w:multiLevelType w:val="hybridMultilevel"/>
    <w:lvl w:ilvl="0">
      <w:lvlJc w:val="left"/>
      <w:lvlText w:val="%1."/>
      <w:numFmt w:val="decimal"/>
      <w:start w:val="17"/>
    </w:lvl>
  </w:abstractNum>
  <w:abstractNum w:abstractNumId="22">
    <w:nsid w:val="2901D82"/>
    <w:multiLevelType w:val="hybridMultilevel"/>
    <w:lvl w:ilvl="0">
      <w:lvlJc w:val="left"/>
      <w:lvlText w:val="%1."/>
      <w:numFmt w:val="decimal"/>
      <w:start w:val="18"/>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lvl w:ilvl="1">
      <w:lvlJc w:val="left"/>
      <w:lvlText w:val="(%2)"/>
      <w:numFmt w:val="lowerRoman"/>
      <w:start w:val="5"/>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2019-12-09T11:25:09Z</dcterms:created>
  <dcterms:modified xsi:type="dcterms:W3CDTF">2019-12-09T11:25:09Z</dcterms:modified>
</cp:coreProperties>
</file>