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6" w:lineRule="exact"/>
        <w:rPr>
          <w:rFonts w:ascii="Arial" w:cs="Arial" w:eastAsia="Arial" w:hAnsi="Arial"/>
          <w:sz w:val="18"/>
          <w:szCs w:val="18"/>
          <w:color w:val="auto"/>
        </w:rPr>
      </w:pPr>
    </w:p>
    <w:p>
      <w:pPr>
        <w:ind w:left="398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June 30, 2017</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right="2100" w:firstLine="8"/>
        <w:spacing w:after="0" w:line="521" w:lineRule="auto"/>
        <w:tabs>
          <w:tab w:leader="none" w:pos="195"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7120" w:type="dxa"/>
            <w:vAlign w:val="bottom"/>
          </w:tcPr>
          <w:p>
            <w:pPr>
              <w:jc w:val="center"/>
              <w:ind w:right="2590"/>
              <w:spacing w:after="0"/>
              <w:rPr>
                <w:sz w:val="20"/>
                <w:szCs w:val="20"/>
                <w:color w:val="auto"/>
              </w:rPr>
            </w:pPr>
            <w:r>
              <w:rPr>
                <w:rFonts w:ascii="Arial" w:cs="Arial" w:eastAsia="Arial" w:hAnsi="Arial"/>
                <w:sz w:val="18"/>
                <w:szCs w:val="18"/>
                <w:color w:val="auto"/>
                <w:w w:val="92"/>
              </w:rPr>
              <w:t>Commission File Number 0-20797</w:t>
            </w:r>
          </w:p>
        </w:tc>
      </w:tr>
      <w:tr>
        <w:trPr>
          <w:trHeight w:val="634"/>
        </w:trPr>
        <w:tc>
          <w:tcPr>
            <w:tcW w:w="2480" w:type="dxa"/>
            <w:vAlign w:val="bottom"/>
          </w:tcPr>
          <w:p>
            <w:pPr>
              <w:spacing w:after="0"/>
              <w:rPr>
                <w:sz w:val="24"/>
                <w:szCs w:val="24"/>
                <w:color w:val="auto"/>
              </w:rPr>
            </w:pPr>
          </w:p>
        </w:tc>
        <w:tc>
          <w:tcPr>
            <w:tcW w:w="7120" w:type="dxa"/>
            <w:vAlign w:val="bottom"/>
          </w:tcPr>
          <w:p>
            <w:pPr>
              <w:jc w:val="center"/>
              <w:ind w:right="2610"/>
              <w:spacing w:after="0"/>
              <w:rPr>
                <w:sz w:val="20"/>
                <w:szCs w:val="20"/>
                <w:color w:val="auto"/>
              </w:rPr>
            </w:pPr>
            <w:r>
              <w:rPr>
                <w:rFonts w:ascii="Arial" w:cs="Arial" w:eastAsia="Arial" w:hAnsi="Arial"/>
                <w:sz w:val="18"/>
                <w:szCs w:val="18"/>
                <w:b w:val="1"/>
                <w:bCs w:val="1"/>
                <w:color w:val="auto"/>
                <w:w w:val="98"/>
              </w:rPr>
              <w:t>RUSH ENTERPRISES, INC.</w:t>
            </w:r>
          </w:p>
        </w:tc>
      </w:tr>
      <w:tr>
        <w:trPr>
          <w:trHeight w:val="230"/>
        </w:trPr>
        <w:tc>
          <w:tcPr>
            <w:tcW w:w="2480" w:type="dxa"/>
            <w:vAlign w:val="bottom"/>
          </w:tcPr>
          <w:p>
            <w:pPr>
              <w:spacing w:after="0"/>
              <w:rPr>
                <w:sz w:val="20"/>
                <w:szCs w:val="20"/>
                <w:color w:val="auto"/>
              </w:rPr>
            </w:pPr>
          </w:p>
        </w:tc>
        <w:tc>
          <w:tcPr>
            <w:tcW w:w="7120" w:type="dxa"/>
            <w:vAlign w:val="bottom"/>
          </w:tcPr>
          <w:p>
            <w:pPr>
              <w:jc w:val="center"/>
              <w:ind w:right="259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480" w:type="dxa"/>
            <w:vAlign w:val="bottom"/>
          </w:tcPr>
          <w:p>
            <w:pPr>
              <w:jc w:val="center"/>
              <w:ind w:right="210"/>
              <w:spacing w:after="0"/>
              <w:rPr>
                <w:sz w:val="20"/>
                <w:szCs w:val="20"/>
                <w:color w:val="auto"/>
              </w:rPr>
            </w:pPr>
            <w:r>
              <w:rPr>
                <w:rFonts w:ascii="Arial" w:cs="Arial" w:eastAsia="Arial" w:hAnsi="Arial"/>
                <w:sz w:val="18"/>
                <w:szCs w:val="18"/>
                <w:color w:val="auto"/>
                <w:w w:val="85"/>
              </w:rPr>
              <w:t>Texas</w:t>
            </w:r>
          </w:p>
        </w:tc>
        <w:tc>
          <w:tcPr>
            <w:tcW w:w="7120" w:type="dxa"/>
            <w:vAlign w:val="bottom"/>
          </w:tcPr>
          <w:p>
            <w:pPr>
              <w:jc w:val="right"/>
              <w:ind w:right="350"/>
              <w:spacing w:after="0"/>
              <w:rPr>
                <w:sz w:val="20"/>
                <w:szCs w:val="20"/>
                <w:color w:val="auto"/>
              </w:rPr>
            </w:pPr>
            <w:r>
              <w:rPr>
                <w:rFonts w:ascii="Arial" w:cs="Arial" w:eastAsia="Arial" w:hAnsi="Arial"/>
                <w:sz w:val="18"/>
                <w:szCs w:val="18"/>
                <w:color w:val="auto"/>
              </w:rPr>
              <w:t>74-1733016</w:t>
            </w:r>
          </w:p>
        </w:tc>
      </w:tr>
      <w:tr>
        <w:trPr>
          <w:trHeight w:val="216"/>
        </w:trPr>
        <w:tc>
          <w:tcPr>
            <w:tcW w:w="2480" w:type="dxa"/>
            <w:vAlign w:val="bottom"/>
          </w:tcPr>
          <w:p>
            <w:pPr>
              <w:jc w:val="center"/>
              <w:ind w:right="230"/>
              <w:spacing w:after="0"/>
              <w:rPr>
                <w:sz w:val="20"/>
                <w:szCs w:val="20"/>
                <w:color w:val="auto"/>
              </w:rPr>
            </w:pPr>
            <w:r>
              <w:rPr>
                <w:rFonts w:ascii="Arial" w:cs="Arial" w:eastAsia="Arial" w:hAnsi="Arial"/>
                <w:sz w:val="18"/>
                <w:szCs w:val="18"/>
                <w:color w:val="auto"/>
                <w:w w:val="92"/>
              </w:rPr>
              <w:t>(State or other jurisdiction of</w:t>
            </w:r>
          </w:p>
        </w:tc>
        <w:tc>
          <w:tcPr>
            <w:tcW w:w="71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2480" w:type="dxa"/>
            <w:vAlign w:val="bottom"/>
          </w:tcPr>
          <w:p>
            <w:pPr>
              <w:jc w:val="center"/>
              <w:ind w:right="230"/>
              <w:spacing w:after="0"/>
              <w:rPr>
                <w:sz w:val="20"/>
                <w:szCs w:val="20"/>
                <w:color w:val="auto"/>
              </w:rPr>
            </w:pPr>
            <w:r>
              <w:rPr>
                <w:rFonts w:ascii="Arial" w:cs="Arial" w:eastAsia="Arial" w:hAnsi="Arial"/>
                <w:sz w:val="18"/>
                <w:szCs w:val="18"/>
                <w:color w:val="auto"/>
                <w:w w:val="92"/>
              </w:rPr>
              <w:t>incorporation or organization)</w:t>
            </w:r>
          </w:p>
        </w:tc>
        <w:tc>
          <w:tcPr>
            <w:tcW w:w="7120" w:type="dxa"/>
            <w:vAlign w:val="bottom"/>
          </w:tcPr>
          <w:p>
            <w:pPr>
              <w:spacing w:after="0"/>
              <w:rPr>
                <w:sz w:val="20"/>
                <w:szCs w:val="20"/>
                <w:color w:val="auto"/>
              </w:rPr>
            </w:pPr>
          </w:p>
        </w:tc>
      </w:tr>
      <w:tr>
        <w:trPr>
          <w:trHeight w:val="418"/>
        </w:trPr>
        <w:tc>
          <w:tcPr>
            <w:tcW w:w="2480" w:type="dxa"/>
            <w:vAlign w:val="bottom"/>
          </w:tcPr>
          <w:p>
            <w:pPr>
              <w:spacing w:after="0"/>
              <w:rPr>
                <w:sz w:val="24"/>
                <w:szCs w:val="24"/>
                <w:color w:val="auto"/>
              </w:rPr>
            </w:pPr>
          </w:p>
        </w:tc>
        <w:tc>
          <w:tcPr>
            <w:tcW w:w="7120" w:type="dxa"/>
            <w:vAlign w:val="bottom"/>
          </w:tcPr>
          <w:p>
            <w:pPr>
              <w:jc w:val="center"/>
              <w:ind w:right="2610"/>
              <w:spacing w:after="0"/>
              <w:rPr>
                <w:sz w:val="20"/>
                <w:szCs w:val="20"/>
                <w:color w:val="auto"/>
              </w:rPr>
            </w:pPr>
            <w:r>
              <w:rPr>
                <w:rFonts w:ascii="Arial" w:cs="Arial" w:eastAsia="Arial" w:hAnsi="Arial"/>
                <w:sz w:val="18"/>
                <w:szCs w:val="18"/>
                <w:color w:val="auto"/>
                <w:w w:val="91"/>
              </w:rPr>
              <w:t>555 I.H. 35 South, Suite 500</w:t>
            </w:r>
          </w:p>
        </w:tc>
      </w:tr>
      <w:tr>
        <w:trPr>
          <w:trHeight w:val="216"/>
        </w:trPr>
        <w:tc>
          <w:tcPr>
            <w:tcW w:w="2480" w:type="dxa"/>
            <w:vAlign w:val="bottom"/>
          </w:tcPr>
          <w:p>
            <w:pPr>
              <w:spacing w:after="0"/>
              <w:rPr>
                <w:sz w:val="18"/>
                <w:szCs w:val="18"/>
                <w:color w:val="auto"/>
              </w:rPr>
            </w:pPr>
          </w:p>
        </w:tc>
        <w:tc>
          <w:tcPr>
            <w:tcW w:w="7120" w:type="dxa"/>
            <w:vAlign w:val="bottom"/>
          </w:tcPr>
          <w:p>
            <w:pPr>
              <w:jc w:val="center"/>
              <w:ind w:right="2590"/>
              <w:spacing w:after="0"/>
              <w:rPr>
                <w:sz w:val="20"/>
                <w:szCs w:val="20"/>
                <w:color w:val="auto"/>
              </w:rPr>
            </w:pPr>
            <w:r>
              <w:rPr>
                <w:rFonts w:ascii="Arial" w:cs="Arial" w:eastAsia="Arial" w:hAnsi="Arial"/>
                <w:sz w:val="18"/>
                <w:szCs w:val="18"/>
                <w:color w:val="auto"/>
                <w:w w:val="89"/>
              </w:rPr>
              <w:t>New Braunfels, Texas 78130</w:t>
            </w:r>
          </w:p>
        </w:tc>
      </w:tr>
      <w:tr>
        <w:trPr>
          <w:trHeight w:val="216"/>
        </w:trPr>
        <w:tc>
          <w:tcPr>
            <w:tcW w:w="2480" w:type="dxa"/>
            <w:vAlign w:val="bottom"/>
          </w:tcPr>
          <w:p>
            <w:pPr>
              <w:spacing w:after="0"/>
              <w:rPr>
                <w:sz w:val="18"/>
                <w:szCs w:val="18"/>
                <w:color w:val="auto"/>
              </w:rPr>
            </w:pPr>
          </w:p>
        </w:tc>
        <w:tc>
          <w:tcPr>
            <w:tcW w:w="7120" w:type="dxa"/>
            <w:vAlign w:val="bottom"/>
          </w:tcPr>
          <w:p>
            <w:pPr>
              <w:jc w:val="center"/>
              <w:ind w:right="261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2480" w:type="dxa"/>
            <w:vAlign w:val="bottom"/>
          </w:tcPr>
          <w:p>
            <w:pPr>
              <w:spacing w:after="0"/>
              <w:rPr>
                <w:sz w:val="20"/>
                <w:szCs w:val="20"/>
                <w:color w:val="auto"/>
              </w:rPr>
            </w:pPr>
          </w:p>
        </w:tc>
        <w:tc>
          <w:tcPr>
            <w:tcW w:w="7120" w:type="dxa"/>
            <w:vAlign w:val="bottom"/>
          </w:tcPr>
          <w:p>
            <w:pPr>
              <w:jc w:val="center"/>
              <w:ind w:right="2590"/>
              <w:spacing w:after="0"/>
              <w:rPr>
                <w:sz w:val="20"/>
                <w:szCs w:val="20"/>
                <w:color w:val="auto"/>
              </w:rPr>
            </w:pPr>
            <w:r>
              <w:rPr>
                <w:rFonts w:ascii="Arial" w:cs="Arial" w:eastAsia="Arial" w:hAnsi="Arial"/>
                <w:sz w:val="18"/>
                <w:szCs w:val="18"/>
                <w:color w:val="auto"/>
                <w:w w:val="94"/>
              </w:rPr>
              <w:t>(Zip Code)</w:t>
            </w:r>
          </w:p>
        </w:tc>
      </w:tr>
      <w:tr>
        <w:trPr>
          <w:trHeight w:val="418"/>
        </w:trPr>
        <w:tc>
          <w:tcPr>
            <w:tcW w:w="2480" w:type="dxa"/>
            <w:vAlign w:val="bottom"/>
          </w:tcPr>
          <w:p>
            <w:pPr>
              <w:spacing w:after="0"/>
              <w:rPr>
                <w:sz w:val="24"/>
                <w:szCs w:val="24"/>
                <w:color w:val="auto"/>
              </w:rPr>
            </w:pPr>
          </w:p>
        </w:tc>
        <w:tc>
          <w:tcPr>
            <w:tcW w:w="7120" w:type="dxa"/>
            <w:vAlign w:val="bottom"/>
          </w:tcPr>
          <w:p>
            <w:pPr>
              <w:jc w:val="center"/>
              <w:ind w:right="2590"/>
              <w:spacing w:after="0"/>
              <w:rPr>
                <w:sz w:val="20"/>
                <w:szCs w:val="20"/>
                <w:color w:val="auto"/>
              </w:rPr>
            </w:pPr>
            <w:r>
              <w:rPr>
                <w:rFonts w:ascii="Arial" w:cs="Arial" w:eastAsia="Arial" w:hAnsi="Arial"/>
                <w:sz w:val="18"/>
                <w:szCs w:val="18"/>
                <w:color w:val="auto"/>
                <w:w w:val="90"/>
              </w:rPr>
              <w:t>(830) 302-5200</w:t>
            </w:r>
          </w:p>
        </w:tc>
      </w:tr>
      <w:tr>
        <w:trPr>
          <w:trHeight w:val="230"/>
        </w:trPr>
        <w:tc>
          <w:tcPr>
            <w:tcW w:w="2480" w:type="dxa"/>
            <w:vAlign w:val="bottom"/>
          </w:tcPr>
          <w:p>
            <w:pPr>
              <w:spacing w:after="0"/>
              <w:rPr>
                <w:sz w:val="20"/>
                <w:szCs w:val="20"/>
                <w:color w:val="auto"/>
              </w:rPr>
            </w:pPr>
          </w:p>
        </w:tc>
        <w:tc>
          <w:tcPr>
            <w:tcW w:w="7120" w:type="dxa"/>
            <w:vAlign w:val="bottom"/>
          </w:tcPr>
          <w:p>
            <w:pPr>
              <w:jc w:val="center"/>
              <w:ind w:right="261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00" w:lineRule="exact"/>
        <w:rPr>
          <w:sz w:val="24"/>
          <w:szCs w:val="24"/>
          <w:color w:val="auto"/>
        </w:rPr>
      </w:pPr>
    </w:p>
    <w:p>
      <w:pPr>
        <w:spacing w:after="0" w:line="218" w:lineRule="exact"/>
        <w:rPr>
          <w:sz w:val="24"/>
          <w:szCs w:val="24"/>
          <w:color w:val="auto"/>
        </w:rPr>
      </w:pPr>
    </w:p>
    <w:p>
      <w:pPr>
        <w:jc w:val="both"/>
        <w:ind w:right="260"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20"/>
        <w:spacing w:after="0"/>
        <w:tabs>
          <w:tab w:leader="none" w:pos="6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920"/>
        <w:spacing w:after="0"/>
        <w:tabs>
          <w:tab w:leader="none" w:pos="6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right="10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340" w:type="dxa"/>
        <w:tblCellMar>
          <w:top w:w="0" w:type="dxa"/>
          <w:left w:w="0" w:type="dxa"/>
          <w:bottom w:w="0" w:type="dxa"/>
          <w:right w:w="0" w:type="dxa"/>
        </w:tblCellMar>
      </w:tblPr>
      <w:tr>
        <w:trPr>
          <w:trHeight w:val="283"/>
        </w:trPr>
        <w:tc>
          <w:tcPr>
            <w:tcW w:w="55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80" w:type="dxa"/>
            <w:vAlign w:val="bottom"/>
          </w:tcPr>
          <w:p>
            <w:pPr>
              <w:ind w:left="14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8"/>
        </w:trPr>
        <w:tc>
          <w:tcPr>
            <w:tcW w:w="55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80" w:type="dxa"/>
            <w:vAlign w:val="bottom"/>
          </w:tcPr>
          <w:p>
            <w:pPr>
              <w:ind w:left="140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3580" w:type="dxa"/>
            <w:vAlign w:val="bottom"/>
            <w:vMerge w:val="restart"/>
          </w:tcPr>
          <w:p>
            <w:pPr>
              <w:ind w:left="140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36"/>
        </w:trPr>
        <w:tc>
          <w:tcPr>
            <w:tcW w:w="5560" w:type="dxa"/>
            <w:vAlign w:val="bottom"/>
          </w:tcPr>
          <w:p>
            <w:pPr>
              <w:spacing w:after="0"/>
              <w:rPr>
                <w:sz w:val="20"/>
                <w:szCs w:val="20"/>
                <w:color w:val="auto"/>
              </w:rPr>
            </w:pPr>
          </w:p>
        </w:tc>
        <w:tc>
          <w:tcPr>
            <w:tcW w:w="3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9140" w:type="dxa"/>
            <w:vAlign w:val="bottom"/>
            <w:gridSpan w:val="2"/>
          </w:tcPr>
          <w:p>
            <w:pPr>
              <w:ind w:left="320"/>
              <w:spacing w:after="0"/>
              <w:rPr>
                <w:sz w:val="20"/>
                <w:szCs w:val="20"/>
                <w:color w:val="auto"/>
              </w:rPr>
            </w:pPr>
            <w:r>
              <w:rPr>
                <w:rFonts w:ascii="Arial" w:cs="Arial" w:eastAsia="Arial" w:hAnsi="Arial"/>
                <w:sz w:val="18"/>
                <w:szCs w:val="18"/>
                <w:color w:val="auto"/>
                <w:w w:val="97"/>
              </w:rPr>
              <w:t>Indicate by check mark whether the registrant is a shell company (as defined in Rule 12b-2 of the Exchange Act).</w:t>
            </w:r>
          </w:p>
        </w:tc>
        <w:tc>
          <w:tcPr>
            <w:tcW w:w="0" w:type="dxa"/>
            <w:vAlign w:val="bottom"/>
          </w:tcPr>
          <w:p>
            <w:pPr>
              <w:spacing w:after="0"/>
              <w:rPr>
                <w:sz w:val="1"/>
                <w:szCs w:val="1"/>
                <w:color w:val="auto"/>
              </w:rPr>
            </w:pPr>
          </w:p>
        </w:tc>
      </w:tr>
      <w:tr>
        <w:trPr>
          <w:trHeight w:val="230"/>
        </w:trPr>
        <w:tc>
          <w:tcPr>
            <w:tcW w:w="5560" w:type="dxa"/>
            <w:vAlign w:val="bottom"/>
          </w:tcPr>
          <w:p>
            <w:pPr>
              <w:ind w:left="4580"/>
              <w:spacing w:after="0"/>
              <w:rPr>
                <w:sz w:val="20"/>
                <w:szCs w:val="20"/>
                <w:color w:val="auto"/>
              </w:rPr>
            </w:pPr>
            <w:r>
              <w:rPr>
                <w:rFonts w:ascii="Arial" w:cs="Arial" w:eastAsia="Arial" w:hAnsi="Arial"/>
                <w:sz w:val="18"/>
                <w:szCs w:val="18"/>
                <w:color w:val="auto"/>
              </w:rPr>
              <w:t>Yes [  ]</w:t>
            </w:r>
          </w:p>
        </w:tc>
        <w:tc>
          <w:tcPr>
            <w:tcW w:w="3580" w:type="dxa"/>
            <w:vAlign w:val="bottom"/>
          </w:tcPr>
          <w:p>
            <w:pPr>
              <w:ind w:left="420"/>
              <w:spacing w:after="0"/>
              <w:rPr>
                <w:sz w:val="20"/>
                <w:szCs w:val="20"/>
                <w:color w:val="auto"/>
              </w:rPr>
            </w:pPr>
            <w:r>
              <w:rPr>
                <w:rFonts w:ascii="Arial" w:cs="Arial" w:eastAsia="Arial" w:hAnsi="Arial"/>
                <w:sz w:val="18"/>
                <w:szCs w:val="18"/>
                <w:color w:val="auto"/>
              </w:rPr>
              <w:t>No [X]</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August 4, 2017.</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320" w:type="dxa"/>
            <w:vAlign w:val="bottom"/>
            <w:gridSpan w:val="2"/>
          </w:tcPr>
          <w:p>
            <w:pPr>
              <w:jc w:val="center"/>
              <w:ind w:right="2500"/>
              <w:spacing w:after="0"/>
              <w:rPr>
                <w:sz w:val="20"/>
                <w:szCs w:val="20"/>
                <w:color w:val="auto"/>
              </w:rPr>
            </w:pPr>
            <w:r>
              <w:rPr>
                <w:rFonts w:ascii="Arial" w:cs="Arial" w:eastAsia="Arial" w:hAnsi="Arial"/>
                <w:sz w:val="18"/>
                <w:szCs w:val="18"/>
                <w:color w:val="auto"/>
                <w:w w:val="92"/>
              </w:rPr>
              <w:t>Number of</w:t>
            </w:r>
          </w:p>
        </w:tc>
      </w:tr>
      <w:tr>
        <w:trPr>
          <w:trHeight w:val="216"/>
        </w:trPr>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320" w:type="dxa"/>
            <w:vAlign w:val="bottom"/>
            <w:gridSpan w:val="2"/>
          </w:tcPr>
          <w:p>
            <w:pPr>
              <w:jc w:val="center"/>
              <w:ind w:right="2440"/>
              <w:spacing w:after="0"/>
              <w:rPr>
                <w:sz w:val="20"/>
                <w:szCs w:val="20"/>
                <w:color w:val="auto"/>
              </w:rPr>
            </w:pPr>
            <w:r>
              <w:rPr>
                <w:rFonts w:ascii="Arial" w:cs="Arial" w:eastAsia="Arial" w:hAnsi="Arial"/>
                <w:sz w:val="18"/>
                <w:szCs w:val="18"/>
                <w:color w:val="auto"/>
                <w:w w:val="84"/>
              </w:rPr>
              <w:t>Shares</w:t>
            </w:r>
          </w:p>
        </w:tc>
      </w:tr>
      <w:tr>
        <w:trPr>
          <w:trHeight w:val="190"/>
        </w:trPr>
        <w:tc>
          <w:tcPr>
            <w:tcW w:w="1240" w:type="dxa"/>
            <w:vAlign w:val="bottom"/>
          </w:tcPr>
          <w:p>
            <w:pPr>
              <w:spacing w:after="0"/>
              <w:rPr>
                <w:sz w:val="16"/>
                <w:szCs w:val="16"/>
                <w:color w:val="auto"/>
              </w:rPr>
            </w:pPr>
          </w:p>
        </w:tc>
        <w:tc>
          <w:tcPr>
            <w:tcW w:w="6900" w:type="dxa"/>
            <w:vAlign w:val="bottom"/>
            <w:gridSpan w:val="2"/>
          </w:tcPr>
          <w:p>
            <w:pPr>
              <w:jc w:val="center"/>
              <w:ind w:right="5940"/>
              <w:spacing w:after="0" w:line="190" w:lineRule="exact"/>
              <w:rPr>
                <w:sz w:val="20"/>
                <w:szCs w:val="20"/>
                <w:color w:val="auto"/>
              </w:rPr>
            </w:pPr>
            <w:r>
              <w:rPr>
                <w:rFonts w:ascii="Arial" w:cs="Arial" w:eastAsia="Arial" w:hAnsi="Arial"/>
                <w:sz w:val="18"/>
                <w:szCs w:val="18"/>
                <w:color w:val="auto"/>
                <w:w w:val="92"/>
              </w:rPr>
              <w:t>Title of Class</w:t>
            </w:r>
          </w:p>
        </w:tc>
        <w:tc>
          <w:tcPr>
            <w:tcW w:w="3320" w:type="dxa"/>
            <w:vAlign w:val="bottom"/>
            <w:gridSpan w:val="2"/>
          </w:tcPr>
          <w:p>
            <w:pPr>
              <w:jc w:val="center"/>
              <w:ind w:right="2440"/>
              <w:spacing w:after="0" w:line="190" w:lineRule="exact"/>
              <w:rPr>
                <w:sz w:val="20"/>
                <w:szCs w:val="20"/>
                <w:color w:val="auto"/>
              </w:rPr>
            </w:pPr>
            <w:r>
              <w:rPr>
                <w:rFonts w:ascii="Arial" w:cs="Arial" w:eastAsia="Arial" w:hAnsi="Arial"/>
                <w:sz w:val="18"/>
                <w:szCs w:val="18"/>
                <w:color w:val="auto"/>
                <w:w w:val="90"/>
              </w:rPr>
              <w:t>Outstanding</w:t>
            </w:r>
          </w:p>
        </w:tc>
      </w:tr>
      <w:tr>
        <w:trPr>
          <w:trHeight w:val="20"/>
        </w:trPr>
        <w:tc>
          <w:tcPr>
            <w:tcW w:w="1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22"/>
        </w:trPr>
        <w:tc>
          <w:tcPr>
            <w:tcW w:w="8140" w:type="dxa"/>
            <w:vAlign w:val="bottom"/>
            <w:gridSpan w:val="3"/>
          </w:tcPr>
          <w:p>
            <w:pPr>
              <w:jc w:val="center"/>
              <w:ind w:right="4700"/>
              <w:spacing w:after="0"/>
              <w:rPr>
                <w:sz w:val="20"/>
                <w:szCs w:val="20"/>
                <w:color w:val="auto"/>
              </w:rPr>
            </w:pPr>
            <w:r>
              <w:rPr>
                <w:rFonts w:ascii="Arial" w:cs="Arial" w:eastAsia="Arial" w:hAnsi="Arial"/>
                <w:sz w:val="18"/>
                <w:szCs w:val="18"/>
                <w:color w:val="auto"/>
                <w:w w:val="90"/>
              </w:rPr>
              <w:t>Class A Common Stock, $.01 Par Value</w:t>
            </w:r>
          </w:p>
        </w:tc>
        <w:tc>
          <w:tcPr>
            <w:tcW w:w="880" w:type="dxa"/>
            <w:vAlign w:val="bottom"/>
          </w:tcPr>
          <w:p>
            <w:pPr>
              <w:jc w:val="right"/>
              <w:spacing w:after="0"/>
              <w:rPr>
                <w:sz w:val="20"/>
                <w:szCs w:val="20"/>
                <w:color w:val="auto"/>
              </w:rPr>
            </w:pPr>
            <w:r>
              <w:rPr>
                <w:rFonts w:ascii="Arial" w:cs="Arial" w:eastAsia="Arial" w:hAnsi="Arial"/>
                <w:sz w:val="18"/>
                <w:szCs w:val="18"/>
                <w:color w:val="auto"/>
                <w:w w:val="90"/>
              </w:rPr>
              <w:t>31,147,127</w:t>
            </w:r>
          </w:p>
        </w:tc>
        <w:tc>
          <w:tcPr>
            <w:tcW w:w="2440" w:type="dxa"/>
            <w:vAlign w:val="bottom"/>
          </w:tcPr>
          <w:p>
            <w:pPr>
              <w:spacing w:after="0"/>
              <w:rPr>
                <w:sz w:val="19"/>
                <w:szCs w:val="19"/>
                <w:color w:val="auto"/>
              </w:rPr>
            </w:pPr>
          </w:p>
        </w:tc>
      </w:tr>
      <w:tr>
        <w:trPr>
          <w:trHeight w:val="230"/>
        </w:trPr>
        <w:tc>
          <w:tcPr>
            <w:tcW w:w="8140" w:type="dxa"/>
            <w:vAlign w:val="bottom"/>
            <w:gridSpan w:val="3"/>
          </w:tcPr>
          <w:p>
            <w:pPr>
              <w:jc w:val="center"/>
              <w:ind w:right="4700"/>
              <w:spacing w:after="0"/>
              <w:rPr>
                <w:sz w:val="20"/>
                <w:szCs w:val="20"/>
                <w:color w:val="auto"/>
              </w:rPr>
            </w:pPr>
            <w:r>
              <w:rPr>
                <w:rFonts w:ascii="Arial" w:cs="Arial" w:eastAsia="Arial" w:hAnsi="Arial"/>
                <w:sz w:val="18"/>
                <w:szCs w:val="18"/>
                <w:color w:val="auto"/>
                <w:w w:val="90"/>
              </w:rPr>
              <w:t>Class B Common Stock, $.01 Par Value</w:t>
            </w:r>
          </w:p>
        </w:tc>
        <w:tc>
          <w:tcPr>
            <w:tcW w:w="880" w:type="dxa"/>
            <w:vAlign w:val="bottom"/>
          </w:tcPr>
          <w:p>
            <w:pPr>
              <w:jc w:val="right"/>
              <w:spacing w:after="0"/>
              <w:rPr>
                <w:sz w:val="20"/>
                <w:szCs w:val="20"/>
                <w:color w:val="auto"/>
              </w:rPr>
            </w:pPr>
            <w:r>
              <w:rPr>
                <w:rFonts w:ascii="Arial" w:cs="Arial" w:eastAsia="Arial" w:hAnsi="Arial"/>
                <w:sz w:val="18"/>
                <w:szCs w:val="18"/>
                <w:color w:val="auto"/>
              </w:rPr>
              <w:t>8,636,549</w:t>
            </w:r>
          </w:p>
        </w:tc>
        <w:tc>
          <w:tcPr>
            <w:tcW w:w="2440" w:type="dxa"/>
            <w:vAlign w:val="bottom"/>
          </w:tcPr>
          <w:p>
            <w:pPr>
              <w:spacing w:after="0"/>
              <w:rPr>
                <w:sz w:val="20"/>
                <w:szCs w:val="20"/>
                <w:color w:val="auto"/>
              </w:rPr>
            </w:pPr>
          </w:p>
        </w:tc>
      </w:tr>
      <w:tr>
        <w:trPr>
          <w:trHeight w:val="780"/>
        </w:trPr>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1"/>
        </w:trPr>
        <w:tc>
          <w:tcPr>
            <w:tcW w:w="1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9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6" w:right="199" w:bottom="681"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700" w:type="dxa"/>
            <w:vAlign w:val="bottom"/>
            <w:gridSpan w:val="9"/>
          </w:tcPr>
          <w:p>
            <w:pPr>
              <w:spacing w:after="0"/>
              <w:rPr>
                <w:sz w:val="17"/>
                <w:szCs w:val="17"/>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Page</w:t>
            </w:r>
          </w:p>
        </w:tc>
      </w:tr>
      <w:tr>
        <w:trPr>
          <w:trHeight w:val="412"/>
        </w:trPr>
        <w:tc>
          <w:tcPr>
            <w:tcW w:w="6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gridSpan w:val="3"/>
          </w:tcPr>
          <w:p>
            <w:pPr>
              <w:jc w:val="right"/>
              <w:ind w:right="220"/>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1740" w:type="dxa"/>
            <w:vAlign w:val="bottom"/>
            <w:tcBorders>
              <w:top w:val="single" w:sz="8" w:color="0000EE"/>
            </w:tcBorders>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70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 June 30, 2017 (unaudited) and December 31, 2016</w:t>
              </w:r>
            </w:hyperlink>
          </w:p>
        </w:tc>
        <w:tc>
          <w:tcPr>
            <w:tcW w:w="3560" w:type="dxa"/>
            <w:vAlign w:val="bottom"/>
            <w:gridSpan w:val="4"/>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Statements of Income and Comprehensive Income - For the Three and Six Months Ended June 30, 2017 and 2016</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 For the Six Months Ended June 30, 2017 and 2016 (unaudited)</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41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 (unaudited)</w:t>
              </w:r>
            </w:hyperlink>
          </w:p>
        </w:tc>
        <w:tc>
          <w:tcPr>
            <w:tcW w:w="3520" w:type="dxa"/>
            <w:vAlign w:val="bottom"/>
            <w:tcBorders>
              <w:top w:val="single" w:sz="8" w:color="0000EE"/>
            </w:tcBorders>
            <w:gridSpan w:val="4"/>
          </w:tcPr>
          <w:p>
            <w:pPr>
              <w:spacing w:after="0"/>
              <w:rPr>
                <w:sz w:val="24"/>
                <w:szCs w:val="24"/>
                <w:color w:val="auto"/>
              </w:rPr>
            </w:pPr>
          </w:p>
        </w:tc>
        <w:tc>
          <w:tcPr>
            <w:tcW w:w="1900" w:type="dxa"/>
            <w:vAlign w:val="bottom"/>
            <w:gridSpan w:val="2"/>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66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Item 2.</w:t>
              </w:r>
            </w:hyperlink>
          </w:p>
        </w:tc>
        <w:tc>
          <w:tcPr>
            <w:tcW w:w="220" w:type="dxa"/>
            <w:vAlign w:val="bottom"/>
            <w:gridSpan w:val="2"/>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Item 3.</w:t>
              </w:r>
            </w:hyperlink>
          </w:p>
        </w:tc>
        <w:tc>
          <w:tcPr>
            <w:tcW w:w="220" w:type="dxa"/>
            <w:vAlign w:val="bottom"/>
            <w:gridSpan w:val="2"/>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100" w:type="dxa"/>
            <w:vAlign w:val="bottom"/>
            <w:tcBorders>
              <w:left w:val="single" w:sz="8" w:color="0000EE"/>
            </w:tcBorders>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Item 4.</w:t>
              </w:r>
            </w:hyperlink>
          </w:p>
        </w:tc>
        <w:tc>
          <w:tcPr>
            <w:tcW w:w="220" w:type="dxa"/>
            <w:vAlign w:val="bottom"/>
            <w:gridSpan w:val="2"/>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4"/>
        </w:trPr>
        <w:tc>
          <w:tcPr>
            <w:tcW w:w="10820" w:type="dxa"/>
            <w:vAlign w:val="bottom"/>
            <w:gridSpan w:val="2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6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jc w:val="right"/>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Item 1.</w:t>
              </w:r>
            </w:hyperlink>
          </w:p>
        </w:tc>
        <w:tc>
          <w:tcPr>
            <w:tcW w:w="220" w:type="dxa"/>
            <w:vAlign w:val="bottom"/>
            <w:tcBorders>
              <w:top w:val="single" w:sz="8" w:color="0000EE"/>
            </w:tcBorders>
            <w:gridSpan w:val="2"/>
          </w:tcPr>
          <w:p>
            <w:pPr>
              <w:spacing w:after="0"/>
              <w:rPr>
                <w:sz w:val="24"/>
                <w:szCs w:val="24"/>
                <w:color w:val="auto"/>
              </w:rPr>
            </w:pPr>
          </w:p>
        </w:tc>
        <w:tc>
          <w:tcPr>
            <w:tcW w:w="1500" w:type="dxa"/>
            <w:vAlign w:val="bottom"/>
            <w:tcBorders>
              <w:top w:val="single" w:sz="8" w:color="0000EE"/>
            </w:tcBorders>
            <w:gridSpan w:val="6"/>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Legal Proceedings</w:t>
              </w:r>
            </w:hyperlink>
          </w:p>
        </w:tc>
        <w:tc>
          <w:tcPr>
            <w:tcW w:w="7940" w:type="dxa"/>
            <w:vAlign w:val="bottom"/>
            <w:gridSpan w:val="10"/>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80" w:type="dxa"/>
            <w:vAlign w:val="bottom"/>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2.</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3.</w:t>
              </w:r>
            </w:hyperlink>
          </w:p>
        </w:tc>
        <w:tc>
          <w:tcPr>
            <w:tcW w:w="220" w:type="dxa"/>
            <w:vAlign w:val="bottom"/>
            <w:gridSpan w:val="2"/>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4.</w:t>
              </w:r>
            </w:hyperlink>
          </w:p>
        </w:tc>
        <w:tc>
          <w:tcPr>
            <w:tcW w:w="220" w:type="dxa"/>
            <w:vAlign w:val="bottom"/>
            <w:gridSpan w:val="2"/>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7680" w:type="dxa"/>
            <w:vAlign w:val="bottom"/>
            <w:gridSpan w:val="8"/>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Item 5.</w:t>
              </w:r>
            </w:hyperlink>
          </w:p>
        </w:tc>
        <w:tc>
          <w:tcPr>
            <w:tcW w:w="220" w:type="dxa"/>
            <w:vAlign w:val="bottom"/>
            <w:gridSpan w:val="2"/>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140" w:type="dxa"/>
            <w:vAlign w:val="bottom"/>
            <w:gridSpan w:val="11"/>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Item 6.</w:t>
              </w:r>
            </w:hyperlink>
          </w:p>
        </w:tc>
        <w:tc>
          <w:tcPr>
            <w:tcW w:w="220" w:type="dxa"/>
            <w:vAlign w:val="bottom"/>
            <w:gridSpan w:val="2"/>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412"/>
        </w:trPr>
        <w:tc>
          <w:tcPr>
            <w:tcW w:w="1380" w:type="dxa"/>
            <w:vAlign w:val="bottom"/>
            <w:gridSpan w:val="4"/>
          </w:tcPr>
          <w:p>
            <w:pPr>
              <w:jc w:val="right"/>
              <w:ind w:right="220"/>
              <w:spacing w:after="0"/>
              <w:rPr>
                <w:rFonts w:ascii="Arial" w:cs="Arial" w:eastAsia="Arial" w:hAnsi="Arial"/>
                <w:sz w:val="18"/>
                <w:szCs w:val="18"/>
                <w:b w:val="1"/>
                <w:bCs w:val="1"/>
                <w:color w:val="0000EE"/>
                <w:w w:val="96"/>
              </w:rPr>
            </w:pPr>
            <w:hyperlink w:anchor="page29">
              <w:r>
                <w:rPr>
                  <w:rFonts w:ascii="Arial" w:cs="Arial" w:eastAsia="Arial" w:hAnsi="Arial"/>
                  <w:sz w:val="18"/>
                  <w:szCs w:val="18"/>
                  <w:b w:val="1"/>
                  <w:bCs w:val="1"/>
                  <w:color w:val="0000EE"/>
                  <w:w w:val="96"/>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r>
      <w:tr>
        <w:trPr>
          <w:trHeight w:val="696"/>
        </w:trPr>
        <w:tc>
          <w:tcPr>
            <w:tcW w:w="6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gridSpan w:val="12"/>
          </w:tcPr>
          <w:p>
            <w:pPr>
              <w:ind w:left="428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6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Borders>
              <w:left w:val="single" w:sz="8" w:color="808080"/>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40" w:type="dxa"/>
            <w:vAlign w:val="bottom"/>
            <w:tcBorders>
              <w:left w:val="single" w:sz="8" w:color="808080"/>
            </w:tcBorders>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30,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123,807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142,556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916,601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840,304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1,220,977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1,118,758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2,691,799</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2,603,047</w:t>
            </w: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692,125</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15,443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directly associated with assets held for sale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114,148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88,951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1,077,735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443,465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472,503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2017 and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89"/>
              </w:rPr>
              <w:t>authorized; 30,793,032 Class A shares and 8,637,855 Class B shares outstanding in 2017; and 30,007,088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Class A shares and 9,245,447 Class B shares outstanding in 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1"/>
              </w:rPr>
              <w:t>Treasury stock, at cost: 934,171 class A shares and 4,456,753 class B shares in 2017 and 934,171 class A</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shares and 3,650,491 class B shares in 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(113,091)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676,906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894,880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2,691,799</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2,603,047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775,988</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636,853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1,411,941</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366,599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328,665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716,705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Lease and rental sales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53,048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52,152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104,292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3,955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1,203,523</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1,026,462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2,248,320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718,253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591,331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1,306,373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231,992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209,519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456,458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427,762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 sales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994,451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845,984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1,851,341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1,733,554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209,072</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180,478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159,353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146,080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309,756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12,821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37,407</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 net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3,763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34,583</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12,584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6,992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20,163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39,641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40,250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39,493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40,778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40,914</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22,285</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36,764</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36,478</w:t>
            </w:r>
          </w:p>
        </w:tc>
        <w:tc>
          <w:tcPr>
            <w:tcW w:w="140" w:type="dxa"/>
            <w:vAlign w:val="bottom"/>
          </w:tcPr>
          <w:p>
            <w:pPr>
              <w:spacing w:after="0"/>
              <w:rPr>
                <w:sz w:val="18"/>
                <w:szCs w:val="18"/>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13,212</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78,539</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gain on sale of property and equipment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Loss on impairment of assets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8,236</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Stock-based compensation expense related to stock options and employee stock purchases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6,749</w:t>
            </w: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Deferred income tax expense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Excess tax expense from stock-based compensation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Change in accounts receivable,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27,612</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 net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58,015</w:t>
            </w: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21,836</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(1,356)</w:t>
            </w: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Draws on floor plan notes payable – trade,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10,984</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w:t>
            </w: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(805)</w:t>
            </w: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(115,268)</w:t>
            </w: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(71,168)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(115,706)</w:t>
            </w: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Draws (payments) on floor plan notes payable – non-trade,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(35,650)</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68,490</w:t>
            </w: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(74,326)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(83,561)</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(9,851)</w:t>
            </w: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w w:val="93"/>
              </w:rPr>
              <w:t>Proceeds from issuance of shares relating to employee stock options and employee stock purchases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2,445</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expense from stock-based compensation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w:t>
            </w: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(24,411)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(20,299)</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(17,773)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(79,433)</w:t>
            </w: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64,847</w:t>
            </w:r>
          </w:p>
        </w:tc>
      </w:tr>
      <w:tr>
        <w:trPr>
          <w:trHeight w:val="250"/>
        </w:trPr>
        <w:tc>
          <w:tcPr>
            <w:tcW w:w="20" w:type="dxa"/>
            <w:vAlign w:val="bottom"/>
          </w:tcPr>
          <w:p>
            <w:pPr>
              <w:spacing w:after="0"/>
              <w:rPr>
                <w:sz w:val="21"/>
                <w:szCs w:val="21"/>
                <w:color w:val="auto"/>
              </w:rPr>
            </w:pPr>
          </w:p>
        </w:tc>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123,807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70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16,565</w:t>
            </w:r>
          </w:p>
        </w:tc>
        <w:tc>
          <w:tcPr>
            <w:tcW w:w="140" w:type="dxa"/>
            <w:vAlign w:val="bottom"/>
          </w:tcPr>
          <w:p>
            <w:pPr>
              <w:spacing w:after="0"/>
              <w:rPr>
                <w:sz w:val="18"/>
                <w:szCs w:val="18"/>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19,757</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net of refunds</w:t>
            </w: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(13,129)</w:t>
            </w: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Noncash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Assets acquired under capital leases</w:t>
            </w: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10,017</w:t>
            </w:r>
          </w:p>
        </w:tc>
      </w:tr>
      <w:tr>
        <w:trPr>
          <w:trHeight w:val="230"/>
        </w:trPr>
        <w:tc>
          <w:tcPr>
            <w:tcW w:w="20" w:type="dxa"/>
            <w:vAlign w:val="bottom"/>
          </w:tcPr>
          <w:p>
            <w:pPr>
              <w:spacing w:after="0"/>
              <w:rPr>
                <w:sz w:val="20"/>
                <w:szCs w:val="20"/>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Common stock repurchased</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2016. Results of operations for interim periods are not necessarily indicative of results that may be expected for any other interim periods or the full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total capitalized costs of the Company’s SAP enterprise software and SAP dealership management system of $31.5 million, including capitalized interest, are recorded on the Consolidated Balance Sheet in Other Assets, net of accumulated amortization of $18.3 million, at June 30, 2017. The SAP software is being amortized over a period of 15 years.</w:t>
      </w:r>
    </w:p>
    <w:p>
      <w:pPr>
        <w:spacing w:after="0" w:line="181"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Amortization expense relating to the SAP software, which is recognized in depreciation and amortization expense in the Consolidated Statement of Income and Comprehensive Income, was $0.9 million for the three months ended June 30, 2017 and $0.8 million for the three months ended June 30, 2016, and $1.7 million for both the six months ended June 30, 2017 and June 30, 2016. The Company estimates that amortization expense relating to the SAP software will be approximately $3.4 million for each of the next five succeeding years.</w:t>
      </w:r>
    </w:p>
    <w:p>
      <w:pPr>
        <w:spacing w:after="0" w:line="171" w:lineRule="exact"/>
        <w:rPr>
          <w:sz w:val="20"/>
          <w:szCs w:val="20"/>
          <w:color w:val="auto"/>
        </w:rPr>
      </w:pPr>
    </w:p>
    <w:p>
      <w:pPr>
        <w:jc w:val="both"/>
        <w:ind w:right="80"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both June 30, 2017 and December 31, 2016,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color w:val="auto"/>
        </w:rPr>
        <w:t>Due to the fact that manufacturer franchise rights are specific to a geographic region, the Company has determined that evaluating and including all locations acquired in the geographic region is the appropriate level for the purpose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 within a particular region.</w:t>
      </w:r>
    </w:p>
    <w:p>
      <w:pPr>
        <w:spacing w:after="0" w:line="173"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impairment write down of manufacturer franchise rights was required in any period presented. The Company cannot predict the occurrence of certain events that might adversely affect the reported value of manufacturer franchise rights in the future.</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38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180"/>
              <w:spacing w:after="0" w:line="201" w:lineRule="exact"/>
              <w:rPr>
                <w:sz w:val="20"/>
                <w:szCs w:val="20"/>
                <w:color w:val="auto"/>
              </w:rPr>
            </w:pPr>
            <w:r>
              <w:rPr>
                <w:rFonts w:ascii="Arial" w:cs="Arial" w:eastAsia="Arial" w:hAnsi="Arial"/>
                <w:sz w:val="18"/>
                <w:szCs w:val="18"/>
                <w:color w:val="auto"/>
                <w:w w:val="95"/>
              </w:rPr>
              <w:t>Numerator for basic and diluted earnings per share – Net income available to</w:t>
            </w: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21,999</w:t>
            </w:r>
          </w:p>
        </w:tc>
        <w:tc>
          <w:tcPr>
            <w:tcW w:w="38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10,817</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36,478</w:t>
            </w:r>
          </w:p>
        </w:tc>
        <w:tc>
          <w:tcPr>
            <w:tcW w:w="400" w:type="dxa"/>
            <w:vAlign w:val="bottom"/>
            <w:gridSpan w:val="2"/>
            <w:vMerge w:val="restart"/>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13,212</w:t>
            </w:r>
          </w:p>
        </w:tc>
        <w:tc>
          <w:tcPr>
            <w:tcW w:w="0" w:type="dxa"/>
            <w:vAlign w:val="bottom"/>
          </w:tcPr>
          <w:p>
            <w:pPr>
              <w:spacing w:after="0"/>
              <w:rPr>
                <w:sz w:val="1"/>
                <w:szCs w:val="1"/>
                <w:color w:val="auto"/>
              </w:rPr>
            </w:pPr>
          </w:p>
        </w:tc>
      </w:tr>
      <w:tr>
        <w:trPr>
          <w:trHeight w:val="217"/>
        </w:trPr>
        <w:tc>
          <w:tcPr>
            <w:tcW w:w="608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24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18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39,641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40,250</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40,402</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Effect of dilutive securities– Employee stock options and restricted stock</w:t>
            </w:r>
          </w:p>
        </w:tc>
        <w:tc>
          <w:tcPr>
            <w:tcW w:w="2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tcPr>
          <w:p>
            <w:pPr>
              <w:ind w:left="180"/>
              <w:spacing w:after="0" w:line="195" w:lineRule="exact"/>
              <w:rPr>
                <w:sz w:val="20"/>
                <w:szCs w:val="20"/>
                <w:color w:val="auto"/>
              </w:rPr>
            </w:pPr>
            <w:r>
              <w:rPr>
                <w:rFonts w:ascii="Arial" w:cs="Arial" w:eastAsia="Arial" w:hAnsi="Arial"/>
                <w:sz w:val="18"/>
                <w:szCs w:val="18"/>
                <w:color w:val="auto"/>
                <w:w w:val="92"/>
              </w:rPr>
              <w:t>Denominator for diluted earnings per share – adjusted weighted average shares</w:t>
            </w: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40,839</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40,778</w:t>
            </w:r>
          </w:p>
        </w:tc>
        <w:tc>
          <w:tcPr>
            <w:tcW w:w="2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40,737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40,914</w:t>
            </w:r>
          </w:p>
        </w:tc>
        <w:tc>
          <w:tcPr>
            <w:tcW w:w="0" w:type="dxa"/>
            <w:vAlign w:val="bottom"/>
          </w:tcPr>
          <w:p>
            <w:pPr>
              <w:spacing w:after="0"/>
              <w:rPr>
                <w:sz w:val="1"/>
                <w:szCs w:val="1"/>
                <w:color w:val="auto"/>
              </w:rPr>
            </w:pPr>
          </w:p>
        </w:tc>
      </w:tr>
      <w:tr>
        <w:trPr>
          <w:trHeight w:val="190"/>
        </w:trPr>
        <w:tc>
          <w:tcPr>
            <w:tcW w:w="6080" w:type="dxa"/>
            <w:vAlign w:val="bottom"/>
          </w:tcPr>
          <w:p>
            <w:pPr>
              <w:ind w:left="340"/>
              <w:spacing w:after="0" w:line="190" w:lineRule="exact"/>
              <w:rPr>
                <w:sz w:val="20"/>
                <w:szCs w:val="20"/>
                <w:color w:val="auto"/>
              </w:rPr>
            </w:pPr>
            <w:r>
              <w:rPr>
                <w:rFonts w:ascii="Arial" w:cs="Arial" w:eastAsia="Arial" w:hAnsi="Arial"/>
                <w:sz w:val="18"/>
                <w:szCs w:val="18"/>
                <w:color w:val="auto"/>
              </w:rPr>
              <w:t>outstanding and assumed conversions</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8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380" w:type="dxa"/>
            <w:vAlign w:val="bottom"/>
            <w:gridSpan w:val="2"/>
          </w:tcPr>
          <w:p>
            <w:pPr>
              <w:jc w:val="right"/>
              <w:ind w:right="105"/>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.27</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.90</w:t>
            </w:r>
          </w:p>
        </w:tc>
        <w:tc>
          <w:tcPr>
            <w:tcW w:w="400" w:type="dxa"/>
            <w:vAlign w:val="bottom"/>
            <w:gridSpan w:val="2"/>
          </w:tcPr>
          <w:p>
            <w:pPr>
              <w:jc w:val="right"/>
              <w:ind w:right="125"/>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six months ended June 30, 2017, and 2016,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4"/>
          </w:tcPr>
          <w:p>
            <w:pPr>
              <w:jc w:val="center"/>
              <w:ind w:left="330"/>
              <w:spacing w:after="0"/>
              <w:rPr>
                <w:sz w:val="20"/>
                <w:szCs w:val="20"/>
                <w:color w:val="auto"/>
              </w:rPr>
            </w:pPr>
            <w:r>
              <w:rPr>
                <w:rFonts w:ascii="Arial" w:cs="Arial" w:eastAsia="Arial" w:hAnsi="Arial"/>
                <w:sz w:val="18"/>
                <w:szCs w:val="18"/>
                <w:color w:val="auto"/>
                <w:w w:val="91"/>
              </w:rPr>
              <w:t>Six Months Ended</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119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anti-dilutive options</w:t>
            </w: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2,525</w:t>
            </w:r>
          </w:p>
        </w:tc>
        <w:tc>
          <w:tcPr>
            <w:tcW w:w="18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accounts for stock-based compensation in accordance with Accounting Standards Codification (“ASC”) 718-10, “Compensation</w:t>
      </w:r>
    </w:p>
    <w:p>
      <w:pPr>
        <w:spacing w:after="0" w:line="35" w:lineRule="exact"/>
        <w:rPr>
          <w:sz w:val="20"/>
          <w:szCs w:val="20"/>
          <w:color w:val="auto"/>
        </w:rPr>
      </w:pPr>
    </w:p>
    <w:p>
      <w:pPr>
        <w:jc w:val="both"/>
        <w:ind w:right="400"/>
        <w:spacing w:after="0" w:line="292" w:lineRule="auto"/>
        <w:rPr>
          <w:sz w:val="20"/>
          <w:szCs w:val="20"/>
          <w:color w:val="auto"/>
        </w:rPr>
      </w:pPr>
      <w:r>
        <w:rPr>
          <w:rFonts w:ascii="Arial" w:cs="Arial" w:eastAsia="Arial" w:hAnsi="Arial"/>
          <w:sz w:val="16"/>
          <w:szCs w:val="16"/>
          <w:color w:val="auto"/>
        </w:rPr>
        <w:t>– Stock Compensation,” which requires the measurement and recognition of compensation expense for all share-based payment awards made to our employees and directors, including employee stock options, restricted stock unit awards and employee stock purchases related to the Employee Stock Purchase Plan based on estimated fair values. The Company adopted Accounting Standards Update (“ASU”) No. 2016-09,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(Topic 718) </w:t>
      </w:r>
      <w:r>
        <w:rPr>
          <w:rFonts w:ascii="Arial" w:cs="Arial" w:eastAsia="Arial" w:hAnsi="Arial"/>
          <w:sz w:val="16"/>
          <w:szCs w:val="16"/>
          <w:color w:val="auto"/>
        </w:rPr>
        <w:t>on January 1, 2017. The Company recorded excess tax benefits of $0.9 million in the three months ended June 30, 2017 and</w:t>
      </w:r>
      <w:r>
        <w:rPr>
          <w:rFonts w:ascii="Arial" w:cs="Arial" w:eastAsia="Arial" w:hAnsi="Arial"/>
          <w:sz w:val="16"/>
          <w:szCs w:val="16"/>
          <w:i w:val="1"/>
          <w:iCs w:val="1"/>
          <w:color w:val="auto"/>
        </w:rPr>
        <w:t xml:space="preserve"> </w:t>
      </w:r>
      <w:r>
        <w:rPr>
          <w:rFonts w:ascii="Arial" w:cs="Arial" w:eastAsia="Arial" w:hAnsi="Arial"/>
          <w:sz w:val="16"/>
          <w:szCs w:val="16"/>
          <w:color w:val="auto"/>
        </w:rPr>
        <w:t>$2.0 million in the six months ended June 30. 2017, which was recorded in the Consolidated Statements of Income and Comprehensive Income.</w:t>
      </w:r>
    </w:p>
    <w:p>
      <w:pPr>
        <w:spacing w:after="0" w:line="163" w:lineRule="exact"/>
        <w:rPr>
          <w:sz w:val="20"/>
          <w:szCs w:val="20"/>
          <w:color w:val="auto"/>
        </w:rPr>
      </w:pPr>
    </w:p>
    <w:p>
      <w:pPr>
        <w:jc w:val="both"/>
        <w:ind w:right="400" w:firstLine="648"/>
        <w:spacing w:after="0" w:line="293" w:lineRule="auto"/>
        <w:rPr>
          <w:sz w:val="20"/>
          <w:szCs w:val="20"/>
          <w:color w:val="auto"/>
        </w:rPr>
      </w:pPr>
      <w:r>
        <w:rPr>
          <w:rFonts w:ascii="Arial" w:cs="Arial" w:eastAsia="Arial" w:hAnsi="Arial"/>
          <w:sz w:val="16"/>
          <w:szCs w:val="16"/>
          <w:color w:val="auto"/>
        </w:rPr>
        <w:t>Stock-based compensation expense, calculated using the Black-Scholes option-pricing model for employee stock options, and included in selling, general and administrative expense, was $3.9 million for the three months ended June 30, 2017, and $3.2 million for the three months ended June 30, 2016. Stock-based compensation expense, included in selling, general and administrative expense, for the six months ended June 30, 2017, was $8.7 million and for the six months ended June 30, 2016, was $6.7 million. As of June 30, 2017, the Company had $10.3 million of unrecognized compensation expense related to non-vested employee stock options to be recognized over a weighted-average period of 3.1 years and $9.4 million of unrecognized compensation cost related to non-vested restricted stock units to be recognized over a weighted-average period of 1.8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June 30, 2017, and December 31, 2016. The carrying value of current assets and current liabilities approximates the fair value due to the short maturity of these items.</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 and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Auction Rate Securities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As of June 30, 2017, the Company held auction rate securities with underlying tax-exempt municipal bonds that mature in 2030 and have a fair value and a cost basis of $6.4 million. As of December 31, 2016, the tax-exempt municipal bonds had a fair value of $6.2 million and a cost basis of $6.7 million. The issuer redeemed $150,000 of the auction rate securities during 2014, $275,000 during 2015, $450,000 during 2016, and $325,000 during the second quarter of 2017. These bonds have credit wrap insurance and a credit rating of A by a major credit rating agency.</w:t>
      </w:r>
    </w:p>
    <w:p>
      <w:pPr>
        <w:spacing w:after="0" w:line="171"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18"/>
          <w:szCs w:val="18"/>
          <w:color w:val="auto"/>
        </w:rPr>
        <w:t>The Company valued the auction rate securities at June 30, 2017,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that the auction rate market will remain illiquid and auctions will continue to fail, causing the interest rate to be the maximum applicable rate. This assumption resulted in a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9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recorded a pre-tax impairment charge of $1.0 million on these auction rate securities in 2011 and subsequent pre-tax increases in fair value of $427,000 during 2014 and $469,000 during the second quarter of 2017. The Company believes that the impairment is temporary and had included the impairment in accumulated other comprehensive loss.</w:t>
      </w:r>
    </w:p>
    <w:p>
      <w:pPr>
        <w:spacing w:after="0" w:line="181"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follows (in thousands):</w:t>
      </w:r>
    </w:p>
    <w:p>
      <w:pPr>
        <w:sectPr>
          <w:pgSz w:w="11900" w:h="16838" w:orient="portrait"/>
          <w:cols w:equalWidth="0" w:num="1">
            <w:col w:w="11160"/>
          </w:cols>
          <w:pgMar w:left="240" w:top="118" w:right="499" w:bottom="1440" w:gutter="0" w:footer="0" w:header="0"/>
        </w:sectPr>
      </w:pPr>
    </w:p>
    <w:p>
      <w:pPr>
        <w:spacing w:after="0" w:line="16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At June 30, 2017</w:t>
      </w:r>
    </w:p>
    <w:p>
      <w:pPr>
        <w:spacing w:after="0" w:line="27" w:lineRule="exact"/>
        <w:rPr>
          <w:sz w:val="20"/>
          <w:szCs w:val="20"/>
          <w:color w:val="auto"/>
        </w:rPr>
      </w:pPr>
    </w:p>
    <w:tbl>
      <w:tblPr>
        <w:tblLayout w:type="fixed"/>
        <w:tblInd w:w="3500" w:type="dxa"/>
        <w:tblCellMar>
          <w:top w:w="0" w:type="dxa"/>
          <w:left w:w="0" w:type="dxa"/>
          <w:bottom w:w="0" w:type="dxa"/>
          <w:right w:w="0" w:type="dxa"/>
        </w:tblCellMar>
      </w:tblPr>
      <w:tr>
        <w:trPr>
          <w:trHeight w:val="191"/>
        </w:trPr>
        <w:tc>
          <w:tcPr>
            <w:tcW w:w="11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Level 2</w:t>
            </w:r>
          </w:p>
        </w:tc>
        <w:tc>
          <w:tcPr>
            <w:tcW w:w="1180" w:type="dxa"/>
            <w:vAlign w:val="bottom"/>
            <w:tcBorders>
              <w:top w:val="single" w:sz="8" w:color="auto"/>
            </w:tcBorders>
          </w:tcPr>
          <w:p>
            <w:pPr>
              <w:jc w:val="center"/>
              <w:ind w:left="1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1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At December 31,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Level 1</w:t>
            </w:r>
          </w:p>
        </w:tc>
        <w:tc>
          <w:tcPr>
            <w:tcW w:w="12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20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Inputs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0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Inputs</w:t>
            </w:r>
          </w:p>
        </w:tc>
      </w:tr>
    </w:tbl>
    <w:p>
      <w:pPr>
        <w:spacing w:after="0" w:line="1" w:lineRule="exact"/>
        <w:rPr>
          <w:sz w:val="20"/>
          <w:szCs w:val="20"/>
          <w:color w:val="auto"/>
        </w:rPr>
      </w:pPr>
    </w:p>
    <w:p>
      <w:pPr>
        <w:sectPr>
          <w:pgSz w:w="11900" w:h="16838" w:orient="portrait"/>
          <w:cols w:equalWidth="0" w:num="2">
            <w:col w:w="7160" w:space="220"/>
            <w:col w:w="3780"/>
          </w:cols>
          <w:pgMar w:left="240" w:top="118" w:right="499" w:bottom="1440" w:gutter="0" w:footer="0" w:header="0"/>
          <w:type w:val="continuous"/>
        </w:sectPr>
      </w:pPr>
    </w:p>
    <w:tbl>
      <w:tblPr>
        <w:tblLayout w:type="fixed"/>
        <w:tblInd w:w="340" w:type="dxa"/>
        <w:tblCellMar>
          <w:top w:w="0" w:type="dxa"/>
          <w:left w:w="0" w:type="dxa"/>
          <w:bottom w:w="0" w:type="dxa"/>
          <w:right w:w="0" w:type="dxa"/>
        </w:tblCellMar>
      </w:tblP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54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   $</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00" w:type="dxa"/>
            <w:vAlign w:val="bottom"/>
            <w:shd w:val="clear" w:color="auto" w:fill="CCEEFF"/>
          </w:tcPr>
          <w:p>
            <w:pPr>
              <w:spacing w:after="0"/>
              <w:rPr>
                <w:sz w:val="18"/>
                <w:szCs w:val="18"/>
                <w:color w:val="auto"/>
              </w:rPr>
            </w:pPr>
          </w:p>
        </w:tc>
      </w:tr>
      <w:tr>
        <w:trPr>
          <w:trHeight w:val="414"/>
        </w:trPr>
        <w:tc>
          <w:tcPr>
            <w:tcW w:w="3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Loss In</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3"/>
              </w:rPr>
              <w:t>Cost Basis</w:t>
            </w:r>
          </w:p>
        </w:tc>
        <w:tc>
          <w:tcPr>
            <w:tcW w:w="14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OCI</w:t>
            </w:r>
          </w:p>
        </w:tc>
        <w:tc>
          <w:tcPr>
            <w:tcW w:w="20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2017</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Investment in auction rate securities</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6,375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r>
      <w:tr>
        <w:trPr>
          <w:trHeight w:val="210"/>
        </w:trPr>
        <w:tc>
          <w:tcPr>
            <w:tcW w:w="3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7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During the first quarter of 2016, the Company instituted plans to consolidate its dealership network. The Company recorded an impairment charge related to the value of the real estate in the affected locations and excess real estate in the amount of $7.1 million in the quarter ended March 31, 2016 and $0.4 million in the quarter ended June 30, 2016.</w:t>
      </w:r>
    </w:p>
    <w:p>
      <w:pPr>
        <w:spacing w:after="0" w:line="181"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fair value measurements for the Company’s long-lived assets are based on Level 3 inputs. Fair values were based on evaluations by a third-party real estate broker that utilized its knowledge and historical experience in real estate markets and transactions.</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During 2016, the Company sold four properties with a fair value of $6.1 million. During the first quarter of 2017, the Company sold one property with a fair value of $1.0 million and during the second quarter of 2017, the Company sold two properties with a collective fair value of $1.2 million. The Company is actively marketing the remaining real estate held for sale.</w:t>
      </w: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long-lived assets measured and recorded at fair value on a nonrecurring basis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1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Measurements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Using</w:t>
            </w:r>
          </w:p>
        </w:tc>
        <w:tc>
          <w:tcPr>
            <w:tcW w:w="28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8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Loss</w:t>
            </w:r>
          </w:p>
        </w:tc>
        <w:tc>
          <w:tcPr>
            <w:tcW w:w="2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Loss</w:t>
            </w:r>
          </w:p>
        </w:tc>
        <w:tc>
          <w:tcPr>
            <w:tcW w:w="28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28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during the</w:t>
            </w:r>
          </w:p>
        </w:tc>
        <w:tc>
          <w:tcPr>
            <w:tcW w:w="28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during the</w:t>
            </w:r>
          </w:p>
        </w:tc>
        <w:tc>
          <w:tcPr>
            <w:tcW w:w="2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during the</w:t>
            </w:r>
          </w:p>
        </w:tc>
        <w:tc>
          <w:tcPr>
            <w:tcW w:w="28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during the</w:t>
            </w:r>
          </w:p>
        </w:tc>
        <w:tc>
          <w:tcPr>
            <w:tcW w:w="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1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9"/>
              </w:rPr>
              <w:t>Unobservable</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 Months</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 Months</w:t>
            </w:r>
          </w:p>
        </w:tc>
        <w:tc>
          <w:tcPr>
            <w:tcW w:w="2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Six Months</w:t>
            </w:r>
          </w:p>
        </w:tc>
        <w:tc>
          <w:tcPr>
            <w:tcW w:w="28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Ended</w:t>
            </w:r>
          </w:p>
        </w:tc>
        <w:tc>
          <w:tcPr>
            <w:tcW w:w="28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Ended</w:t>
            </w:r>
          </w:p>
        </w:tc>
        <w:tc>
          <w:tcPr>
            <w:tcW w:w="24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Ended</w:t>
            </w:r>
          </w:p>
        </w:tc>
        <w:tc>
          <w:tcPr>
            <w:tcW w:w="28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r>
      <w:tr>
        <w:trPr>
          <w:trHeight w:val="234"/>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212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 2017</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2017</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2016</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2017</w:t>
            </w:r>
          </w:p>
        </w:tc>
        <w:tc>
          <w:tcPr>
            <w:tcW w:w="134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88"/>
              </w:rPr>
              <w:t>June 30, 2016</w:t>
            </w:r>
          </w:p>
        </w:tc>
        <w:tc>
          <w:tcPr>
            <w:tcW w:w="100" w:type="dxa"/>
            <w:vAlign w:val="bottom"/>
          </w:tcPr>
          <w:p>
            <w:pPr>
              <w:spacing w:after="0"/>
              <w:rPr>
                <w:sz w:val="20"/>
                <w:szCs w:val="20"/>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11,714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(7,481)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For further discussion of assets held for sale, see Note 10 – Restructuring Costs of the Notes to Consolidated Financial Statements. The losses in the above table were reported in selling, general and administrative expenses in the Consolidated Statements of Income and Comprehensive Income and were reported under the Truck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right="120" w:firstLine="648"/>
        <w:spacing w:after="0" w:line="272" w:lineRule="auto"/>
        <w:rPr>
          <w:sz w:val="20"/>
          <w:szCs w:val="20"/>
          <w:color w:val="auto"/>
        </w:rPr>
      </w:pPr>
      <w:r>
        <w:rPr>
          <w:rFonts w:ascii="Arial" w:cs="Arial" w:eastAsia="Arial" w:hAnsi="Arial"/>
          <w:sz w:val="17"/>
          <w:szCs w:val="17"/>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our dealerships, when making decisions about resources to be allocated to the segment and assessing its performance.</w:t>
      </w:r>
    </w:p>
    <w:p>
      <w:pPr>
        <w:spacing w:after="0" w:line="17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224"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June 30, 2017 and 2016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Truck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Segment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All Other</w:t>
            </w:r>
          </w:p>
        </w:tc>
        <w:tc>
          <w:tcPr>
            <w:tcW w:w="28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June 30, 2017</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1,199,703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3,821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1,203,523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34,766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2,655,860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2,691,799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six months ended June 30, 2017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2,240,556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7,764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2,248,320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57,010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56,641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June 30, 2016</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1,022,547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assets</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2,779,789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32,906</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2,812,695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For the six months ended June 30, 2016</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2,089,837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30,156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40" w:top="118" w:right="499" w:bottom="1440" w:gutter="0" w:footer="0" w:header="0"/>
        </w:sect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had unrecognized income tax benefits totaling $2.4 million as a component of accrued liabilities at June 30, 2017 and December 31, 2016,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$145,000 accrued for the payment of interest at June 30, 2017 and December 31, 2016.</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2017, the tax years ended December 31, 2013 through 2016, remain subject to audit by federal tax authorities and the tax years ended December 31, 2012 through 2016, remain subject to audit by state tax authorities.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2016, the Financial Accounting Standards Board (“FASB”) issued ASU No. 2016-09, “</w:t>
      </w:r>
      <w:r>
        <w:rPr>
          <w:rFonts w:ascii="Arial" w:cs="Arial" w:eastAsia="Arial" w:hAnsi="Arial"/>
          <w:sz w:val="17"/>
          <w:szCs w:val="17"/>
          <w:i w:val="1"/>
          <w:iCs w:val="1"/>
          <w:color w:val="auto"/>
        </w:rPr>
        <w:t>Compensation – Stock Compensation (Topic</w:t>
      </w:r>
      <w:r>
        <w:rPr>
          <w:rFonts w:ascii="Arial" w:cs="Arial" w:eastAsia="Arial" w:hAnsi="Arial"/>
          <w:sz w:val="17"/>
          <w:szCs w:val="17"/>
          <w:color w:val="auto"/>
        </w:rPr>
        <w:t xml:space="preserve"> </w:t>
      </w:r>
      <w:r>
        <w:rPr>
          <w:rFonts w:ascii="Arial" w:cs="Arial" w:eastAsia="Arial" w:hAnsi="Arial"/>
          <w:sz w:val="17"/>
          <w:szCs w:val="17"/>
          <w:i w:val="1"/>
          <w:iCs w:val="1"/>
          <w:color w:val="auto"/>
        </w:rPr>
        <w:t>718),</w:t>
      </w:r>
      <w:r>
        <w:rPr>
          <w:rFonts w:ascii="Arial" w:cs="Arial" w:eastAsia="Arial" w:hAnsi="Arial"/>
          <w:sz w:val="17"/>
          <w:szCs w:val="17"/>
          <w:color w:val="auto"/>
        </w:rPr>
        <w:t>” which changed the accounting for certain aspects of share-based payments to employees. The Company adopted the new standard on January 1,</w:t>
      </w:r>
      <w:r>
        <w:rPr>
          <w:rFonts w:ascii="Arial" w:cs="Arial" w:eastAsia="Arial" w:hAnsi="Arial"/>
          <w:sz w:val="17"/>
          <w:szCs w:val="17"/>
          <w:i w:val="1"/>
          <w:iCs w:val="1"/>
          <w:color w:val="auto"/>
        </w:rPr>
        <w:t xml:space="preserve"> </w:t>
      </w:r>
      <w:r>
        <w:rPr>
          <w:rFonts w:ascii="Arial" w:cs="Arial" w:eastAsia="Arial" w:hAnsi="Arial"/>
          <w:sz w:val="17"/>
          <w:szCs w:val="17"/>
          <w:color w:val="auto"/>
        </w:rPr>
        <w:t>2017. The new guidance requires excess tax benefits and tax deficiencies to be recognized as income tax benefit or expense in the income statement and presented as an operating activity in the statement of cash flows when the awards are vested or are settled. The Company recorded excess tax benefits of $0.9 million for the three months ended June 30, 2017, and $2.0 million for the six months ended June 30, 2017, which was recorded as a reduction to income tax expense in the Consolidated Statement of Income and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components of accumulated other comprehensive loss, net of tax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for Sale</w:t>
            </w:r>
          </w:p>
        </w:tc>
      </w:t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40" w:top="11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-107315</wp:posOffset>
            </wp:positionV>
            <wp:extent cx="579755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June 30, 2016</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Arial" w:cs="Arial" w:eastAsia="Arial" w:hAnsi="Arial"/>
          <w:sz w:val="18"/>
          <w:szCs w:val="18"/>
          <w:color w:val="auto"/>
        </w:rPr>
        <w:t>Available</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for Sale</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Securities</w:t>
      </w:r>
    </w:p>
    <w:p>
      <w:pPr>
        <w:spacing w:after="0" w:line="9" w:lineRule="exact"/>
        <w:rPr>
          <w:sz w:val="20"/>
          <w:szCs w:val="20"/>
          <w:color w:val="auto"/>
        </w:rPr>
      </w:pPr>
    </w:p>
    <w:p>
      <w:pPr>
        <w:ind w:left="1220" w:hanging="1215"/>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(305)</w:t>
      </w:r>
    </w:p>
    <w:p>
      <w:pPr>
        <w:spacing w:after="0" w:line="34" w:lineRule="exact"/>
        <w:rPr>
          <w:rFonts w:ascii="Arial" w:cs="Arial" w:eastAsia="Arial" w:hAnsi="Arial"/>
          <w:sz w:val="17"/>
          <w:szCs w:val="17"/>
          <w:color w:val="auto"/>
        </w:rPr>
      </w:pPr>
    </w:p>
    <w:p>
      <w:pPr>
        <w:ind w:left="1380"/>
        <w:spacing w:after="0"/>
        <w:rPr>
          <w:rFonts w:ascii="Arial" w:cs="Arial" w:eastAsia="Arial" w:hAnsi="Arial"/>
          <w:sz w:val="17"/>
          <w:szCs w:val="17"/>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986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220" w:hanging="1215"/>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-123190</wp:posOffset>
            </wp:positionV>
            <wp:extent cx="1046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7920" w:space="720"/>
            <w:col w:w="2400"/>
          </w:cols>
          <w:pgMar w:left="240" w:top="118" w:right="61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Restructuring Costs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quarter ended March 31, 2016, the Company instituted plans to consolidate its dealership network and incurred pre-tax expenses of approximately $8.1 million related to restructuring activities. The restructuring costs included $2.7 million associated with impairment charges to certain fixed assets and the value of the real estate underlying the affected locations, which was reported in selling, general and administrative expenses in the Consolidated Statements of Income and Comprehensive Income for the six months ended June 30, 2016.</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 Company classified certain excess real estate as held for sale, which resulted in an impairment charge of $5.0 million, which was reported in selling, general and administrative expenses in the Consolidated Statements of Income and Comprehensive Income for the six months ended June 30, 2016.</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2016, the Company sold four of the properties previously classified as held for sale with a fair value of $6.1 million. During the first quarter of 2017, the Company sold one of the properties with a fair value of $1.0 million and during the second quarter of 2017, the Company sold two of the properties with a collective fair value of $1.2 million. As of June 30, 2017, the remaining real estate associated with the restructuring activities is included in assets held for sale on the Consolidated Balance Sheets.</w:t>
      </w:r>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New Accounting Pronouncements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2016, the FASB issued ASU No. 2016-09, which changed the accounting for certain aspects of share-based payments to employees. The Company adopted the new standard on January 1, 2017. The new guidance requires excess tax benefits and tax deficiencies to be recorded in the income statement when the awards vest or are settled. The Company recorded excess tax benefits of $0.9 million in the three months ended June 30, 2017 and $2.0 million in the six months ended June 30, 2017, which was recorded in the Consolidated Statements of Income and Comprehensive Income. In addition, cash flows related to excess tax benefits will no longer be separately classified as a financing activity apart from other income tax cash flows. The standard also allows the Company to repurchase more of an employee’s shares for tax withholding purposes without triggering liability accounting, clarifies that all cash payments made on an employee’s behalf for withheld shares should be presented as a financing activity on its cash flows statement, and provides an accounting policy election to account for forfeitures as they occur. The Company did not elect to make an accounting policy change to recognize forfeitures as they occur and will continue to estimate forfeitures. The Company adopted the amendments related to ASU 2016-09 prospectively and prior periods have not been adjusted.</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Accounting by lessors will remain largely unchanged from current U.S. generally accepted accounting principles. The new standard is effective for public companies for fiscal years beginning after December 15, 2018, and interim periods within those years, with early adoption permitted. The Company is currently evaluating the effect that adopting this standard will have on our financial statements and related disclosures. The Company will adopt ASU 2016-02 on January 1, 2019.</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amended the accounting standards for revenue recognition. ASU 2014-09 is based on principles that govern the recognition of revenue at an amount an entity expects to be entitled to when products are transferred to customers. ASU 2014-09 will be effective for the Company beginning in its first quarter of 2018, and early adoption is permitted. The ASU provides two transition methods: (i) retrospectively to each prior reporting period presented; or (ii) retrospectively with the cumulative effect of initially applying this ASU recognized at the date of initial application.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Subsequently, the FASB issued the following standards related to ASU 2014-09: ASU No. 2016-08,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 Principal versus Agent Considerations”</w:t>
      </w:r>
      <w:r>
        <w:rPr>
          <w:rFonts w:ascii="Arial" w:cs="Arial" w:eastAsia="Arial" w:hAnsi="Arial"/>
          <w:sz w:val="18"/>
          <w:szCs w:val="18"/>
          <w:color w:val="auto"/>
        </w:rPr>
        <w:t>;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and ASU No. 2016-12, “</w:t>
      </w:r>
      <w:r>
        <w:rPr>
          <w:rFonts w:ascii="Arial" w:cs="Arial" w:eastAsia="Arial" w:hAnsi="Arial"/>
          <w:sz w:val="18"/>
          <w:szCs w:val="18"/>
          <w:i w:val="1"/>
          <w:iCs w:val="1"/>
          <w:color w:val="auto"/>
        </w:rPr>
        <w:t>Revenue from Contracts with Customers (Topic 606): Narrow-Scope Improvements and Practical Expedients.”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adopt ASU 2014-09 on January 1, 2018 and will use the modified retrospective method. In 2016, the Company established a cross-functional team with representatives from its major revenue streams to review our current accounting policies and practices, assess the effect of the standard on our revenue contracts and identify potential differences. In addition, the Company is in the process of evaluating changes to its business processes and controls to support revenue recognition and disclosure under the new standard. While the Company is currently assessing the impact of the new standard, its revenues are primarily generated from the sale of finished products to customers. Those sales predominantly contain a single delivery element and revenue for such sales is recognized when the customer obtains control. The timing of revenue recognition for these transactions is not expected to be significantly impacted by the new standard. The Company continues to review the impact of this standard on potential disclosure changes in its financial statements, as well as which transition approach will be applied.</w:t>
      </w:r>
    </w:p>
    <w:p>
      <w:pPr>
        <w:spacing w:after="0" w:line="200" w:lineRule="exact"/>
        <w:rPr>
          <w:sz w:val="20"/>
          <w:szCs w:val="20"/>
          <w:color w:val="auto"/>
        </w:rPr>
      </w:pPr>
    </w:p>
    <w:p>
      <w:pPr>
        <w:spacing w:after="0" w:line="2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2016,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06" w:lineRule="exact"/>
        <w:rPr>
          <w:sz w:val="20"/>
          <w:szCs w:val="20"/>
          <w:color w:val="auto"/>
        </w:rPr>
      </w:pPr>
    </w:p>
    <w:p>
      <w:pPr>
        <w:jc w:val="both"/>
        <w:ind w:firstLine="648"/>
        <w:spacing w:after="0" w:line="188"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Blue Bird Investment Corporation. IC Bus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IC Bus, LLC. Fuso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Mitsubishi Fuso Truck and Bus Corporation. Hino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Hino Motors, Ltd. Isuzu</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Isuzu Motors Limited. Ford Motor Credit Company</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Ford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SAP</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SAP Aktiengesellschaft. IBM</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International Business Machines Corporation. This report contains additional trade names or trademarks of other companies. Our use of such trade names or trademarks should not imply any endorsement or relationship with such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our subsidiaries. Our principal offices are located at 555 IH 35 South, Suite 500, New Braunfels, Texas 78130.</w:t>
      </w:r>
    </w:p>
    <w:p>
      <w:pPr>
        <w:spacing w:after="0" w:line="170"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21 states.</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 in addition to new and used commercial vehicle sales and leasing, plus financial services, vehicle upfitting, CNG fuel systems, vehicle telematics products, chrome accessories and tires.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2016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six months ended June 30, 2017 and 2016.</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60" w:type="dxa"/>
            <w:vAlign w:val="bottom"/>
            <w:gridSpan w:val="5"/>
          </w:tcPr>
          <w:p>
            <w:pPr>
              <w:ind w:left="320"/>
              <w:spacing w:after="0"/>
              <w:rPr>
                <w:sz w:val="20"/>
                <w:szCs w:val="20"/>
                <w:color w:val="auto"/>
              </w:rPr>
            </w:pPr>
            <w:r>
              <w:rPr>
                <w:rFonts w:ascii="Arial" w:cs="Arial" w:eastAsia="Arial" w:hAnsi="Arial"/>
                <w:sz w:val="18"/>
                <w:szCs w:val="18"/>
                <w:color w:val="auto"/>
                <w:w w:val="94"/>
              </w:rPr>
              <w:t>The following table sets forth certain financial data as a percentage of total revenues: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520" w:type="dxa"/>
            <w:vAlign w:val="bottom"/>
          </w:tcPr>
          <w:p>
            <w:pPr>
              <w:spacing w:after="0"/>
              <w:rPr>
                <w:sz w:val="24"/>
                <w:szCs w:val="24"/>
                <w:color w:val="auto"/>
              </w:rPr>
            </w:pPr>
          </w:p>
        </w:tc>
        <w:tc>
          <w:tcPr>
            <w:tcW w:w="224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5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64.5%</w:t>
            </w:r>
          </w:p>
        </w:tc>
        <w:tc>
          <w:tcPr>
            <w:tcW w:w="7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Lease and rental sales</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420" w:type="dxa"/>
            <w:vAlign w:val="bottom"/>
          </w:tcPr>
          <w:p>
            <w:pPr>
              <w:jc w:val="right"/>
              <w:spacing w:after="0"/>
              <w:rPr>
                <w:sz w:val="20"/>
                <w:szCs w:val="20"/>
                <w:color w:val="auto"/>
              </w:rPr>
            </w:pPr>
            <w:r>
              <w:rPr>
                <w:rFonts w:ascii="Arial" w:cs="Arial" w:eastAsia="Arial" w:hAnsi="Arial"/>
                <w:sz w:val="18"/>
                <w:szCs w:val="18"/>
                <w:color w:val="auto"/>
              </w:rPr>
              <w:t>82.6</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82.4</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82.3</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r>
      <w:tr>
        <w:trPr>
          <w:trHeight w:val="216"/>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53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4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3680" w:type="dxa"/>
            <w:vAlign w:val="bottom"/>
            <w:gridSpan w:val="6"/>
          </w:tcPr>
          <w:p>
            <w:pPr>
              <w:jc w:val="center"/>
              <w:ind w:right="10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Lease and rental sales</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8"/>
                <w:szCs w:val="18"/>
                <w:color w:val="auto"/>
              </w:rPr>
            </w:pPr>
          </w:p>
        </w:tc>
      </w:tr>
      <w:tr>
        <w:trPr>
          <w:trHeight w:val="669"/>
        </w:trPr>
        <w:tc>
          <w:tcPr>
            <w:tcW w:w="34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20"/>
                <w:szCs w:val="20"/>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5,271</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773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new vehicle unit sales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Used vehicles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3,485</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Vehicle revenue: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New heavy-duty vehicles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346.6</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4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New medium-duty vehicles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422.3</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New light-duty vehicles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rPr>
              <w:t>Total new vehicle revenue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699.7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559.4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1,264.0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1,148.1</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Other vehicle revenue:</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ratio:</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121.8% absorption ratio for the second quarter of 2017 and a 110.3% absorption ratio for the second quarter of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2017 Compared to Three Months Ended June 30, 2016</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Class 8 new truck sales in the second quarter of 2017 reflect an improving energy sector, continued solid demand from vocational customers, specifically those in the housing, construction and refuse markets and continued demand for replacement trucks that support general freight. Our medium-duty truck sales were strong in the second quarter of 2017, benefitting in part by the timing of some large fleet deliveries. The over-supply of used trucks available in the United States continues to present challenges to the Class 8 new truck sales market because trade-in values remain lower than historically normal. Due to increased activity from a wide variety of industries, we believe our Class 8 new truck sales in the third quarter of 2017 will remain on pace with our sales in the second quarter.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increase in Aftermarket Products and Services revenues is primarily attributed to growth in sales to customers in the energy sector along with strong sales to vocational customers across the country, including continued construction-related growth. We expect our Aftermarket Products and Services revenues to remain strong in the third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$177.1 million, or 17.2%, in the second quarter of 2017, compared to the second quarter of 2016.</w:t>
      </w: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Aftermarket Products and Services revenues increased $37.9 million, or 11.5%, in the second quarter of 2017, compared to the second quarter of 2016, primarily as a result of the factors described above. We expect our Aftermarket Products and Services revenues to remain strong during the remainder of 2017.</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$139.1 million, or 21.8%, in the second quarter of 2017, compared to the second quarter of 2016, primarily as a result of the factors described above.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sold 3,352 Class 8 heavy-duty trucks in the second quarter of 2017, a 29.3% increase compared to 2,592 Class 8 trucks sold in the second quarter of 2016. According to A.C.T. Research Co., LLC (“A.C.T. Research”), a commercial vehicle industry data and forecasting service provider, the U.S. Class 8 truck market decreased 8.2% in the second quarter of 2017 compared to the second quarter of 2016. A.C.T. Research currently forecasts U.S. retail sales of Class 8 trucks of approximately 186,100 units in 2017, 196,000 units in 2018, and 225,000 units in 2019, compared to approximately 197,000 units in 2016. Our share of the U.S. Class 8 truck sales market was approximately 5.5% in 2016. We expect our U.S. Class 8 truck sales market share to range between 6.0% and 7.0% in 2017. This market share percentage would result in the sale of approximately 11,000 to 13,000 Class 8 trucks in 2017 based on A.C.T. Research’s current U.S. retail sales estimate of 186,100 units.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sold 3,073 Class 4 through 7 medium-duty commercial vehicles, including 202 buses, in the second quarter of 2017, a 10.1% increase compared to 2,792 Class 4 through 7 commercial vehicles, including 235 buses, sold in the second quarter of 2016. A.C.T. Research estimates that unit sales of Class 4 through 7 commercial vehicles in the U.S. increased approximately 9.2% in the second quarter of 2017, compared to the second quarter of 2016. A.C.T. Research currently forecasts U.S. retail sales of Class 4 through 7 commercial vehicles of approximately 233,600 units in 2017, 238,000 units in 2018, and 245,000 in 2019. In 2016, we achieved a 4.9% share of the U.S. Class 4 through 7 commercial vehicle market. We expect our market share to range between 4.5% and 5.5% of the U.S. Class 4 through 7 commercial vehicle sales in 2017. This market share percentage would result in the sale of approximately 10,500 to 12,800 of Class 4 through 7 commercial vehicles in 2017 based on A.C.T. Research’s current U.S. retail sales estimates of 233,600 units.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473 light-duty vehicles in the second quarter of 2017, a 22.5% increase compared to 386 light-duty vehicles sold in the second quarter of 2016. We expect to sell approximately 1,700 light-duty vehicles in 2017.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1,743 used commercial vehicles in the second quarter of 2017, a 0.4% decrease compared to 1,750 used commercial vehicles sold in the second quarter of 2016. We expect to sell approximately 6,200 to 7,000 used commercial vehicles in 2017.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vehicle lease and rental revenues increased $0.9 million, or 1.7%, in the second quarter of 2017, compared to the second quarter of 2016. We expect lease and rental revenues to increase between 3.0% and 6.0% during 2017, compared to 2016.</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Finance and insurance revenues decreased $0.4 million, or 9.2%, in the second quarter of 2017 compared to the second quarter of 2016. Traditionally finance and insurance revenues fluctuate proportionately with our new and used commercial vehicle sales. However, in 2017 a significant portion of our sales have been to large fleet customers who do not finance trucks. Finance and insurance revenues have limited direct costs and, therefore, contribute a disproportionate share of our operating profits.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Gross profit increased $28.6 million, or 15.8%, in the second quarter of 2017, compared to the second quarter of 2016. Gross profit as a percentage of sales decreased to 17.4% in the second quarter of 2017, from 17.6% in the second quarter of 2016. This decrease in gross profit as a percentage of sales is a result of a change in our product sales mix. Commercial vehicle sales, a lower margin revenue item, increased as a percentage of total revenues to 64.5% in the second quarter of 2017, from 62.0% in the second quarter of 2016. Aftermarket Products and Services revenues, a higher margin revenue item, decreased as a percentage of total revenues to 30.5% in the second quarter of 2017, from 32.0% in the second quarter of 2016.</w:t>
      </w:r>
    </w:p>
    <w:p>
      <w:pPr>
        <w:spacing w:after="0" w:line="158"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Gross margins from our Aftermarket Products and Services operations increased to 36.7% in the second quarter of 2017, from 36.3% in the second quarter of 2016. Gross profit from our Aftermarket Products and Services operations increased to $134.6 million in the second quarter of 2017, from $119.1 million in the second quarter of 2016. Historically, gross margins on parts sales range from 27% to 28% and gross margins on service and body shop operations range from 61% to 65%. Gross profits from parts sales represented 58% of total gross profit for Aftermarket Products and Services operations in the second quarter of 2017 and 56% in the second quarter of 2016. Service and body shop operations represented 42% of total gross profit for Aftermarket Products and Services operations in the second quarter of 2017 and 44% in the second quarter of 2016. We expect blended gross margins on Aftermarket Products and Services operations to range from 36.3% to 36.5% in 2017.</w:t>
      </w:r>
    </w:p>
    <w:p>
      <w:pPr>
        <w:spacing w:after="0" w:line="200" w:lineRule="exact"/>
        <w:rPr>
          <w:sz w:val="20"/>
          <w:szCs w:val="20"/>
          <w:color w:val="auto"/>
        </w:rPr>
      </w:pP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Gross margins on Class 8 truck sales increased to 8.0% in the second quarter of 2017, from 7.3% in the second quarter of 2016. This increase is attributable to the sales mix in the second quarter of 2017, which consisted of increased sales to vocational customers that are traditionally associated with higher margins. In 2017, we expect overall gross margins from Class 8 truck sales of approximately 6.5% to 7.0%.</w:t>
      </w:r>
    </w:p>
    <w:p>
      <w:pPr>
        <w:spacing w:after="0" w:line="16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Gross margins on medium-duty commercial vehicle sales decreased to 5.6% in the second quarter of 2017, from 6.0% in the second quarter of 2016. This decrease is attributable to the mix of products sold during the second quarter of 2017. For 2017, we expect overall gross margins from medium-duty commercial vehicle sales of approximately 5.7% to 6.5%, but this will largely depend upon the mix of purchasers and types of vehicles sold.</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Gross margins on used commercial vehicle sales increased to 11.6% in the second quarter of 2017, from 9.2% in the second quarter of 2016. This increase is primarily related to the stabilization of used truck values in recent months. We expect margins on used commercial vehicles to range between 8.5% and 10.0% during 2017.</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margins from truck lease and rental sales increased to 16.7% in the second quarter of 2017, from 13.5% in the second quarter of 2016. This increase is primarily related to increased rental fleet utilization and improvement in the performance of our full service leases. We expect gross margins from lease and rental sales of approximately 15.0% to 17.0% during 2017.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General and Administrative (“SG&amp;A”) expenses increased $13.3 million, or 9.1%, in the second quarter of 2017, compared to the second quarter of 2016. In the second quarter of 2017, SG&amp;A expenses equaled 13.2% of total revenue. SG&amp;A expenses as a percentage of total revenues have recently ranged from 12.1% to 14.7%. In general, when new and used commercial vehicle revenues decrease as a percentage of total revenues, SG&amp;A expenses as a percentage of total revenues will be at, or exceed, the higher end of this range. For 2017, we expect SG&amp;A expenses as a percentage of total revenues to range from 13.5% to 14.3% and the selling portion of SG&amp;A expenses to be approximately 25.0% to 30.0% of new and used commercial vehicle gross profit.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decreased $0.4 million, or 2.9%, in the second quarter of 2017, compared to the second quarter of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expense decreased $0.9 million, or 25.0%, in the second quarter of 2017, compared to the second quarter of 2016. This decrease is primarily related to increased prepayments on floor plan arrangements and lower levels of commercial vehicle inventory compared to the second quarter of 2016. Net interest expense in 2017 will depend on inventory levels, interest rate fluctuations and the amount of cash available to make prepayments on our floor plan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increased $16.8 million, or 94.2% in the second quarter of 2017, compared to the second quarter of 2016.</w:t>
      </w: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Income taxes increased $5.6 million, or 80.0%, in the second quarter of 2017, compared to the second quarter of 2016. ASU 2016-09 </w:t>
      </w:r>
      <w:r>
        <w:rPr>
          <w:rFonts w:ascii="Arial" w:cs="Arial" w:eastAsia="Arial" w:hAnsi="Arial"/>
          <w:sz w:val="17"/>
          <w:szCs w:val="17"/>
          <w:i w:val="1"/>
          <w:iCs w:val="1"/>
          <w:color w:val="auto"/>
        </w:rPr>
        <w:t xml:space="preserve">“Compensation – Stock Compensation (Topic 718)” </w:t>
      </w:r>
      <w:r>
        <w:rPr>
          <w:rFonts w:ascii="Arial" w:cs="Arial" w:eastAsia="Arial" w:hAnsi="Arial"/>
          <w:sz w:val="17"/>
          <w:szCs w:val="17"/>
          <w:color w:val="auto"/>
        </w:rPr>
        <w:t>requires excess tax benefits and tax deficiencies to be recorded in the income statement when equity</w:t>
      </w:r>
      <w:r>
        <w:rPr>
          <w:rFonts w:ascii="Arial" w:cs="Arial" w:eastAsia="Arial" w:hAnsi="Arial"/>
          <w:sz w:val="17"/>
          <w:szCs w:val="17"/>
          <w:i w:val="1"/>
          <w:iCs w:val="1"/>
          <w:color w:val="auto"/>
        </w:rPr>
        <w:t xml:space="preserve"> </w:t>
      </w:r>
      <w:r>
        <w:rPr>
          <w:rFonts w:ascii="Arial" w:cs="Arial" w:eastAsia="Arial" w:hAnsi="Arial"/>
          <w:sz w:val="17"/>
          <w:szCs w:val="17"/>
          <w:color w:val="auto"/>
        </w:rPr>
        <w:t>awards issued pursuant to our equity compensation plans vest or are settled. We recorded a $0.9 million tax benefit in the second quarter of 2017, which reduced income tax expense. We provided for taxes at a 38.75% effective rate in the second quarter of 2017 and 39.25% in the second quarter of 2016. We expect our effective tax rate to be approximately 38.5% to 39.0% of pretax income in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2017, Compared to Six Months Ended June 30, 2016</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Unless otherwise stated below, our variance explanations and future expectations with regard to the items discussed in this section are set forth in the discussion of the “Three Months Ended June 30, 2017, Compared to Three Months Ended June 30, 2016.”</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Total revenues increased $151.0 million, or 7.2%, in the first six months of 2017, compared to the first six months of 2016. Sales of new and used commercial vehicles increased $106.5 million, or 8.2%, in the first six months of 2017, compared to the first six months of 2016.</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Aftermarket Products and Services revenues increased $46.1 million, or 6.9%, in the first six months of 2017, compared to the first six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2016.</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sold 6,058 heavy-duty trucks in the first six months of 2017, a 14.9% increase compared to 5,271 heavy-duty trucks in the first six months of 2016. According to A.C.T. Research, retail sales in the U.S. Class 8 truck market decreased 18.4% in the first six months of 2017, compared to the first six months of 2016.</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sold 5,626 medium-duty commercial vehicles, including 361 buses, in the first six months of 2017. This represented a 7.2% decrease compared to 6,063 medium-duty commercial vehicles, including 433 buses, in the first six months of 2016. A.C.T. Research estimates that unit sales of Class 4 through 7 commercial vehicles in the United States increased approximately 3.5% in the first six months of 2017, compared to the first six months of 2016.</w:t>
      </w:r>
    </w:p>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sold 3,454 used commercial vehicles in the first six months of 2017, a 0.9% decrease compared to 3,485 used commercial vehicles in the first six months of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Truck lease and rental revenues increased $1.3 million, or 1.2%, in the first six months of 2017, compared to the first six months of 2016.</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and insurance revenues decreased $1.0 million, or 10.9%, in the first six months of 2017, compared to the first six months of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profit increased $33.2 million, or 9.1%, in the first six months of 2017, compared to the first six months of 2016. Gross profit as a percentage of sales increased to 17.7% in the first six months of 2017, from 17.3% in the first six months of 2016.</w:t>
      </w:r>
    </w:p>
    <w:p>
      <w:pPr>
        <w:spacing w:after="0" w:line="170"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Gross margins from Aftermarket Products and Services operations increased to 36.3% in the first six months of 2017, from 36.2% in the first six months of 2016. Gross profit for Aftermarket Products and Services was $260.2 million in the first six months of 2017, compared to $242.8 million in the first six months of 2016. Gross profit from parts sales represented 57% of the total gross profit for Aftermarket Products and Services operations in the first six months of 2017 and 56% in the first six months of 2016. Service and body shop operations represented 43% of the total gross profit for Aftermarket Products and Services operations in the first six months of 2017 and 44% in the first six months of 2016.</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increased to 8.1% in the first six months of 2017, from 7.0% in the first six months of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increased to 6.1% in the first six months of 2017, from 5.8%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increased to 10.1% in the first six months of 2017, from 9.6% in the first six months of 2016.</w:t>
      </w:r>
    </w:p>
    <w:p>
      <w:pPr>
        <w:spacing w:after="0" w:line="200" w:lineRule="exact"/>
        <w:rPr>
          <w:sz w:val="20"/>
          <w:szCs w:val="20"/>
          <w:color w:val="auto"/>
        </w:rPr>
      </w:pPr>
    </w:p>
    <w:p>
      <w:pPr>
        <w:spacing w:after="0" w:line="26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Gross margins from truck lease and rental sales increased to 15.1% in the first six months of 2017, from approximately 11.9% in the first six months of 2016.</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SG&amp;A expenses increased $1.2 million, or 0.4%, in the first six months of 2017, compared to the first six months of 2016. SG&amp;A expenses equaled 13.8% of total revenue in the first six months of 2017, compared to 14.7% in the first six months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and amortization expense decreased $0.5 million, or 2.1%, in the first six months of 2017, compared to the first six months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decreased $2.4 million, or 29.8%, in the first six months of 2017, compared to the first six months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$34.9 million, or 160.4%, in the first six months of 2017, compared to the first six months of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Income taxes increased $11.6 million, or 136.1%, in the first six months of 2017, compared to the first six months of 2016. We provided for taxes at a 38.85% rate in the first six months of 2017 and a 39.25% rate in the first six months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2017, we had working capital of approximately $145.0 million, including $123.8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credit agreement with BMO Harris Bank N.A. (“BMO Harris”) (the “Floor Plan Credit Agreement”), and the resulting interest earned is recognized as an offset to our gross interest expense under the Floor Plan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June 30, 2017, however, $12.0 million was pledged to secure various letters of credit related to self-insurance products, leaving $5.5 million available for future borrowings as of June 30, 2017.</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March 21, 2017, we entered into a working capital facility with BMO Harris (the “Working Capital Facility”). The Working Capital Facility includes up to $100 million of revolving credit loans to the Company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bears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Floor Plan Working Capital Facility shall have terminated, whether as a result of the occurrence of the Commitment Termination Date (as defined in the Floor Plan Working Capital Facility) or otherwise. There were no advances outstanding under the Working Capital Facility as of June 30, 2017.</w:t>
      </w:r>
    </w:p>
    <w:p>
      <w:pPr>
        <w:sectPr>
          <w:pgSz w:w="11900" w:h="16838" w:orient="portrait"/>
          <w:cols w:equalWidth="0" w:num="1">
            <w:col w:w="11060"/>
          </w:cols>
          <w:pgMar w:left="240" w:top="118" w:right="5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June 30, 2017,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expect to purchase or lease trucks worth approximately $150.0 million to $175.0 million for our leasing operations during 2017, depending on customer demand, all of which will be financed. We also expect to make capital expenditures for recurring items such as computers, shop tools and equipment and vehicles of approximately $20.0 million to $25.0 million during 2017.</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30, 2016, we announced that our Board of Directors authorized the repurchase, from time to time, of up to an aggregate of $40.0 million shares of Class A Common Stock and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The stock repurchase program expires on November 30, 2017, and may be suspended or discontinued at any time. Through June 30, 2017, we had purchased $29.7 million under this stock repurchase program.</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June 30, 2017. However,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Cash and cash equivalents increased by $41.8 million during the six months ended June 30, 2017, and increased by $27.8 million during the six months ended June 30, 2016.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six months of 2017, operating activities resulted in net cash provided by operations of $130.7 million. Net cash provided by operating activities primarily consisted of $36.5 million in net income, as well as non-cash adjustments related to depreciation and amortization of $77.7 million and stock-based compensation of $8.7 million. Cash provided by operating activities included an aggregate of $5.3 million net change in operating assets and liabilities. Included in the net change in operating assets and liabilities were cash inflows of $7.1 million from the decrease in accounts receivable, $19.5 million from increases in accounts payable and accrued liabilities, $11.3 million from an increase in customer deposits and $21.0 million from the net increase in floor plan, trade which were offset by cash outflows of $52.4 million from increases in inventory. The majority of commercial vehicle inventory is financed through our floor plan credit agreements.</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six months of 2016, operating activities resulted in net cash provided by operations of $223.0 million. Net cash provided by operating activities primarily consisted of $13.2 million in net income, as well as non-cash adjustments related to depreciation and amortization of $78.5 million, impairment of assets of $8.2 million, and stock-based compensation, including tax benefit, of $7.8 million. Cash provided by operating activities included an aggregate of $115.1 million net change in operating assets and liabilities. Included in the net change in operating assets and liabilities were cash inflows of $27.6 million from the decrease in accounts receivable, $58.0 million from decreases in inventory, $21.8 million from the decrease in other assets, net and $11.0 million from the net increase in floor plan, trade, which were offset by cash outflows of $2.2 million from decreases in accounts payable and accrued liabilities, and $1.2 million from a decrease in customer deposits. The majority of commercial vehicle inventory is financed through our floor plan credit agreements.</w:t>
      </w: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June 30, 2017, the interest rate on the wholesale financing agreement was 5.25% before considering any applicable incentives. As of June 30, 2017, we had an outstanding balance of $83.4 million under the Ford Motor Credit Company wholesale financing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six months of 2017, cash used in investing activities was $71.2 million. Cash flows used in investing activities consists primarily of cash used for capital expenditures. Capital expenditures totalled $79.6 million during the first six months of 2017 and consisted primarily of purchases of property and equipment and improvements to our existing dealership facilities. Property and equipment purchases during the first six months of 2017 included $56.2 million for additional units for the rental and leasing operations, which were directly offset by borrowings of long-term debt. We expect to purchase or lease trucks worth approximately $150.0 million to $175.0 million for our rental and leasing operations in 2017, depending on customer demand, all of which will be financed. During 2017, we expect to make capital expenditures for recurring items such as computers, shop equipment and vehicles of $20.0 million to $25.0 million.</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first six months of 2016, cash used in investing activities was $115.7 million. Capital expenditures totalled $115.3 million during the first six months of 2016 and consisted primarily of purchases of property and equipment and improvements to our existing dealership facilities. Property and equipment purchases during the first six months of 2016 included $71.9 million for additional units for the rental and leasing operations, which were directly offset by borrowings of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non-trade. During the first six months of 2017, we used $17.8 million in net cash from financing activities, primarily related to $81.0 million used for principal repayments of long-term debt and capital lease obligations and $24.4 million used for repurchase of common stock. These cash outflows were partially offset by $24.2 million from net draws on floor plan notes payable, non-trade, borrowings of $51.1 million of long-term debt, and $12.8 million from the issuance of shares related to equity compensation plans. The borrowings of long-term debt were primarily related to purchasing units for the rental and leasing operations.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six months of 2016, we used $79.4 million in net cash from financing activities, primarily related to $35.7 million from net payments on floor plan notes payable, non-trade, $93.4 million used for principal repayments of long-term debt and capital lease obligations and $20.3 million used for repurchase of common stock. These cash outflows were partially offset by borrowings of $68.5 million of long-term debt, and $2.4 million from the issuance of shares related to equity compensation plans. The borrowings of long-term debt were primarily related to purchasing units for the rental and leasing operations.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During the first quarter of 2017, we financed the majority of all new commercial vehicle inventory and the loan value of our used commercial vehicle inventory under the Floor Plan Credit Agreement.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(i) 2.0% of the aggregate revolving loan commitments if such termination occurs on or before January 1, 2018; (ii) 1.0% of the aggregate revolving loan commitments if such termination occurs after January 1, 2018 and on or prior to July 1, 2018; and (iii) $500,000 if such termination occurs after July 1, 2018 and prior to June 30, 2019, subject to specified limited exceptions. On June 30, 2017, we had approximately $545.9 million outstanding under the Floor Plan Credit Agreement. The average daily outstanding borrowings under the Floor Plan Credit Agreement were $519.2 million during the three months ended June 30, 2017. Periodically,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Floor Plan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30, 2017, our backlog of commercial vehicle orders was approximately $1,127.5 million, as compared to a backlog of commercial vehicle orders of approximately $878.7 million on June 30, 2016.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June 30, 2017 and we expect to fill the majority of our backlog orders during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291,000 in 2006.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Products and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71"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final rules on September 15, 2011 associated with reducing greenhouse gas (“GHG”) emissions and improving the fuel efficiency of medium and heavy-duty trucks and buses beginning in model year 2014 and being phased in through model year 2018. On June 19, 2015, the EPA and NHTSA proposed further GHG and fuel efficiency standards that would apply to medium and heavy-duty vehicles and buses and would be phased in between model years 2021 through 2027. On August 16, 2016, the EPA and NHTSA issued final rules that largely adopted their June 19, 2015 proposal. We do not believe that the foregoing adopted standards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exposed to some market risk through interest rates related to our floor plan financing agreements, the Working Capital Facility, variable rate real estate debt and discount rates related to finance sales. The majority of floor plan debt and variable rate real estate debt is based on LIBOR. As of June 30, 2017, we had floor plan borrowings and variable interest rate real estate debt of approximately $794.3 million. Assuming an increase or decrease in LIBOR of 100 basis points, annual interest expense could correspondingly increase or decrease by approximately $7.9 million.</w:t>
      </w:r>
    </w:p>
    <w:p>
      <w:pPr>
        <w:spacing w:after="0" w:line="3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June 30, 2017, we hold auction rate securities, with underlying tax-exempt municipal bonds that mature in 2030, that have a fair value of $6.4 million. Given the current market conditions in the auction rate securities market, if we determine that the fair value of these securities temporarily decreases by an additional 10%, our equity could correspondingly decrease by approximately $640,000. If it is determined that the fair value of these securities is other-than-temporarily impaired by 10%, we could record a loss on our Consolidated Statements of Income and Comprehensive Income of approximately $640,000. For further discussion of the risks related to our auction rate securities, see Note 6 – Financial Instruments and Fair Value of the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2017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June 30, 2017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2016 Annual Report on Form 10-K (the “2016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2016 Annual Report.</w:t>
      </w: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second quarter of 2017 is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Average</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w:t>
            </w: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30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Price Paid</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30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Per Share</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 Plans</w:t>
            </w:r>
          </w:p>
        </w:tc>
        <w:tc>
          <w:tcPr>
            <w:tcW w:w="16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6"/>
              </w:rPr>
              <w:t>(1)(2)(3)</w:t>
            </w:r>
          </w:p>
        </w:tc>
        <w:tc>
          <w:tcPr>
            <w:tcW w:w="120" w:type="dxa"/>
            <w:vAlign w:val="bottom"/>
          </w:tcPr>
          <w:p>
            <w:pPr>
              <w:spacing w:after="0"/>
              <w:rPr>
                <w:sz w:val="20"/>
                <w:szCs w:val="20"/>
                <w:color w:val="auto"/>
              </w:rPr>
            </w:pPr>
          </w:p>
        </w:tc>
        <w:tc>
          <w:tcPr>
            <w:tcW w:w="14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9"/>
              </w:rPr>
              <w:t>(1)</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or Programs (2)</w:t>
            </w:r>
          </w:p>
        </w:tc>
        <w:tc>
          <w:tcPr>
            <w:tcW w:w="16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or Programs (3)</w:t>
            </w:r>
          </w:p>
        </w:tc>
      </w:tr>
      <w:tr>
        <w:trPr>
          <w:trHeight w:val="210"/>
        </w:trPr>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April 30, 2017</w:t>
            </w:r>
          </w:p>
        </w:tc>
        <w:tc>
          <w:tcPr>
            <w:tcW w:w="12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31.19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202,536</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22,638,088</w:t>
            </w:r>
          </w:p>
        </w:tc>
        <w:tc>
          <w:tcPr>
            <w:tcW w:w="1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May 1</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rPr>
              <w:t>– May 31, 2017</w:t>
            </w:r>
          </w:p>
        </w:tc>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180,919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w w:val="97"/>
              </w:rPr>
              <w:t>33.50</w:t>
            </w: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383,455</w:t>
            </w:r>
          </w:p>
        </w:tc>
        <w:tc>
          <w:tcPr>
            <w:tcW w:w="1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16,572,600</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6"/>
              </w:rPr>
              <w:t>June 1</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June 30, 2017</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178,889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34.96</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562,344</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10,312,796</w:t>
            </w:r>
          </w:p>
        </w:tc>
      </w:tr>
      <w:tr>
        <w:trPr>
          <w:trHeight w:val="20"/>
        </w:trPr>
        <w:tc>
          <w:tcPr>
            <w:tcW w:w="5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562,344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562,344</w:t>
            </w:r>
          </w:p>
        </w:tc>
        <w:tc>
          <w:tcPr>
            <w:tcW w:w="1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10,312,796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-8255</wp:posOffset>
            </wp:positionV>
            <wp:extent cx="10979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-8255</wp:posOffset>
            </wp:positionV>
            <wp:extent cx="2332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______________</w:t>
      </w:r>
    </w:p>
    <w:p>
      <w:pPr>
        <w:spacing w:after="0" w:line="8" w:lineRule="exact"/>
        <w:rPr>
          <w:sz w:val="20"/>
          <w:szCs w:val="20"/>
          <w:color w:val="auto"/>
        </w:rPr>
      </w:pPr>
    </w:p>
    <w:p>
      <w:pPr>
        <w:ind w:left="660" w:right="120" w:hanging="652"/>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9" w:lineRule="exact"/>
        <w:rPr>
          <w:rFonts w:ascii="Arial" w:cs="Arial" w:eastAsia="Arial" w:hAnsi="Arial"/>
          <w:sz w:val="18"/>
          <w:szCs w:val="18"/>
          <w:color w:val="auto"/>
        </w:rPr>
      </w:pPr>
    </w:p>
    <w:p>
      <w:pPr>
        <w:ind w:left="660" w:right="20" w:hanging="652"/>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repurchased shares under a stock repurchase program announced on November 30, 2016, which authorized the repurchase of up to $40.0 million of its shares of Class A Common Stock and/or Class B Common Stock and will expire on November 30, 2017.</w:t>
      </w: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202,536 shares of Class B Common Stock at an average price paid per share of $31.19.</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180,919 shares of Class B Common Stock at an average price paid per share of $33.50.</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178,889 shares of Class B Common Stock at an average price paid per share of $34.96.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Exhibit</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9"/>
              </w:rPr>
              <w:t>Exhibit</w:t>
            </w:r>
          </w:p>
        </w:tc>
        <w:tc>
          <w:tcPr>
            <w:tcW w:w="9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4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4"/>
              </w:rPr>
              <w:t>Number</w:t>
            </w:r>
          </w:p>
        </w:tc>
        <w:tc>
          <w:tcPr>
            <w:tcW w:w="10380" w:type="dxa"/>
            <w:vAlign w:val="bottom"/>
            <w:gridSpan w:val="3"/>
          </w:tcPr>
          <w:p>
            <w:pPr>
              <w:spacing w:after="0" w:line="196" w:lineRule="exact"/>
              <w:rPr>
                <w:sz w:val="20"/>
                <w:szCs w:val="20"/>
                <w:color w:val="auto"/>
              </w:rPr>
            </w:pPr>
            <w:r>
              <w:rPr>
                <w:rFonts w:ascii="Arial" w:cs="Arial" w:eastAsia="Arial" w:hAnsi="Arial"/>
                <w:sz w:val="18"/>
                <w:szCs w:val="18"/>
                <w:b w:val="1"/>
                <w:bCs w:val="1"/>
                <w:i w:val="1"/>
                <w:iCs w:val="1"/>
                <w:color w:val="auto"/>
              </w:rPr>
              <w:t>Title</w:t>
            </w:r>
          </w:p>
        </w:tc>
        <w:tc>
          <w:tcPr>
            <w:tcW w:w="0" w:type="dxa"/>
            <w:vAlign w:val="bottom"/>
          </w:tcPr>
          <w:p>
            <w:pPr>
              <w:spacing w:after="0"/>
              <w:rPr>
                <w:sz w:val="1"/>
                <w:szCs w:val="1"/>
                <w:color w:val="auto"/>
              </w:rPr>
            </w:pPr>
          </w:p>
        </w:tc>
      </w:tr>
      <w:tr>
        <w:trPr>
          <w:trHeight w:val="237"/>
        </w:trPr>
        <w:tc>
          <w:tcPr>
            <w:tcW w:w="20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vMerge w:val="restart"/>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380" w:type="dxa"/>
            <w:vAlign w:val="bottom"/>
            <w:gridSpan w:val="3"/>
          </w:tcPr>
          <w:p>
            <w:pPr>
              <w:spacing w:after="0" w:line="195" w:lineRule="exact"/>
              <w:rPr>
                <w:sz w:val="20"/>
                <w:szCs w:val="20"/>
                <w:color w:val="auto"/>
              </w:rPr>
            </w:pPr>
            <w:r>
              <w:rPr>
                <w:rFonts w:ascii="Arial" w:cs="Arial" w:eastAsia="Arial" w:hAnsi="Arial"/>
                <w:sz w:val="18"/>
                <w:szCs w:val="18"/>
                <w:color w:val="auto"/>
                <w:w w:val="91"/>
              </w:rPr>
              <w:t>Restated Articles of Incorporation of Rush Enterprises, Inc. (incorporated herein by reference to Exhibit 3.1 of the Company’s Quarterly Report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on Form 10-Q (File No. 000-20797) for the quarter ended June 30, 2008)</w:t>
            </w:r>
          </w:p>
        </w:tc>
        <w:tc>
          <w:tcPr>
            <w:tcW w:w="0" w:type="dxa"/>
            <w:vAlign w:val="bottom"/>
          </w:tcPr>
          <w:p>
            <w:pPr>
              <w:spacing w:after="0"/>
              <w:rPr>
                <w:sz w:val="1"/>
                <w:szCs w:val="1"/>
                <w:color w:val="auto"/>
              </w:rPr>
            </w:pPr>
          </w:p>
        </w:tc>
      </w:tr>
      <w:tr>
        <w:trPr>
          <w:trHeight w:val="418"/>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3"/>
              </w:rPr>
              <w:t>Rush Enterprises, Inc. Amended and Restated Bylaws (incorporated herein by reference to Exhibit 3.1 of the Company’s Current Report on</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Form 8-K (File No. 000-20797) filed May 21, 2013)</w:t>
            </w:r>
          </w:p>
        </w:tc>
        <w:tc>
          <w:tcPr>
            <w:tcW w:w="0" w:type="dxa"/>
            <w:vAlign w:val="bottom"/>
          </w:tcPr>
          <w:p>
            <w:pPr>
              <w:spacing w:after="0"/>
              <w:rPr>
                <w:sz w:val="1"/>
                <w:szCs w:val="1"/>
                <w:color w:val="auto"/>
              </w:rPr>
            </w:pPr>
          </w:p>
        </w:tc>
      </w:tr>
      <w:tr>
        <w:trPr>
          <w:trHeight w:val="418"/>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7"/>
              </w:rPr>
              <w:t>Rush Enterprises, Inc. Amended and Restated 2007 Long-Term Incentive Plan (incorporated herein by reference to Exhibit 10.1 of the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Company’s Current Report on Form 8-K (File No. 000-20797) filed May 22, 2017)</w:t>
            </w:r>
          </w:p>
        </w:tc>
        <w:tc>
          <w:tcPr>
            <w:tcW w:w="0" w:type="dxa"/>
            <w:vAlign w:val="bottom"/>
          </w:tcPr>
          <w:p>
            <w:pPr>
              <w:spacing w:after="0"/>
              <w:rPr>
                <w:sz w:val="1"/>
                <w:szCs w:val="1"/>
                <w:color w:val="auto"/>
              </w:rPr>
            </w:pPr>
          </w:p>
        </w:tc>
      </w:tr>
      <w:tr>
        <w:trPr>
          <w:trHeight w:val="432"/>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31.1*</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8"/>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31.2*</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8"/>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18"/>
        </w:trPr>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August 9, 2017</w:t>
            </w:r>
          </w:p>
        </w:tc>
        <w:tc>
          <w:tcPr>
            <w:tcW w:w="7780" w:type="dxa"/>
            <w:vAlign w:val="bottom"/>
            <w:gridSpan w:val="4"/>
          </w:tcPr>
          <w:p>
            <w:pPr>
              <w:ind w:left="2040"/>
              <w:spacing w:after="0"/>
              <w:rPr>
                <w:sz w:val="20"/>
                <w:szCs w:val="20"/>
                <w:color w:val="auto"/>
              </w:rPr>
            </w:pPr>
            <w:r>
              <w:rPr>
                <w:rFonts w:ascii="Arial" w:cs="Arial" w:eastAsia="Arial" w:hAnsi="Arial"/>
                <w:sz w:val="18"/>
                <w:szCs w:val="18"/>
                <w:color w:val="auto"/>
              </w:rPr>
              <w:t>By:  /S/ W.M. “RUSTY” RUSH</w:t>
            </w:r>
          </w:p>
        </w:tc>
      </w:tr>
      <w:tr>
        <w:trPr>
          <w:trHeight w:val="222"/>
        </w:trPr>
        <w:tc>
          <w:tcPr>
            <w:tcW w:w="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W.M. “Rusty” Rush</w:t>
            </w:r>
          </w:p>
        </w:tc>
        <w:tc>
          <w:tcPr>
            <w:tcW w:w="338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80" w:type="dxa"/>
            <w:vAlign w:val="bottom"/>
            <w:gridSpan w:val="3"/>
          </w:tcPr>
          <w:p>
            <w:pPr>
              <w:ind w:left="40"/>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80" w:type="dxa"/>
            <w:vAlign w:val="bottom"/>
            <w:gridSpan w:val="3"/>
          </w:tcPr>
          <w:p>
            <w:pPr>
              <w:ind w:left="40"/>
              <w:spacing w:after="0"/>
              <w:rPr>
                <w:sz w:val="20"/>
                <w:szCs w:val="20"/>
                <w:color w:val="auto"/>
              </w:rPr>
            </w:pPr>
            <w:r>
              <w:rPr>
                <w:rFonts w:ascii="Arial" w:cs="Arial" w:eastAsia="Arial" w:hAnsi="Arial"/>
                <w:sz w:val="18"/>
                <w:szCs w:val="18"/>
                <w:color w:val="auto"/>
              </w:rPr>
              <w:t>Chairman of the Board</w:t>
            </w:r>
          </w:p>
        </w:tc>
      </w:t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80" w:type="dxa"/>
            <w:vAlign w:val="bottom"/>
            <w:gridSpan w:val="3"/>
          </w:tcPr>
          <w:p>
            <w:pPr>
              <w:ind w:left="40"/>
              <w:spacing w:after="0"/>
              <w:rPr>
                <w:sz w:val="20"/>
                <w:szCs w:val="20"/>
                <w:color w:val="auto"/>
              </w:rPr>
            </w:pPr>
            <w:r>
              <w:rPr>
                <w:rFonts w:ascii="Arial" w:cs="Arial" w:eastAsia="Arial" w:hAnsi="Arial"/>
                <w:sz w:val="18"/>
                <w:szCs w:val="18"/>
                <w:color w:val="auto"/>
              </w:rPr>
              <w:t>(Principal Executive Officer)</w:t>
            </w:r>
          </w:p>
        </w:tc>
      </w:tr>
      <w:tr>
        <w:trPr>
          <w:trHeight w:val="82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August 9, 2017</w:t>
            </w:r>
          </w:p>
        </w:tc>
        <w:tc>
          <w:tcPr>
            <w:tcW w:w="7780" w:type="dxa"/>
            <w:vAlign w:val="bottom"/>
            <w:gridSpan w:val="4"/>
          </w:tcPr>
          <w:p>
            <w:pPr>
              <w:ind w:left="2040"/>
              <w:spacing w:after="0"/>
              <w:rPr>
                <w:sz w:val="20"/>
                <w:szCs w:val="20"/>
                <w:color w:val="auto"/>
              </w:rPr>
            </w:pPr>
            <w:r>
              <w:rPr>
                <w:rFonts w:ascii="Arial" w:cs="Arial" w:eastAsia="Arial" w:hAnsi="Arial"/>
                <w:sz w:val="18"/>
                <w:szCs w:val="18"/>
                <w:color w:val="auto"/>
              </w:rPr>
              <w:t>By: /S/ STEVEN L. KELLER</w:t>
            </w:r>
          </w:p>
        </w:tc>
      </w:tr>
      <w:tr>
        <w:trPr>
          <w:trHeight w:val="222"/>
        </w:trPr>
        <w:tc>
          <w:tcPr>
            <w:tcW w:w="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3520" w:type="dxa"/>
            <w:vAlign w:val="bottom"/>
            <w:gridSpan w:val="2"/>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05"/>
        </w:trPr>
        <w:tc>
          <w:tcPr>
            <w:tcW w:w="5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80" w:type="dxa"/>
            <w:vAlign w:val="bottom"/>
          </w:tcPr>
          <w:p>
            <w:pPr>
              <w:spacing w:after="0"/>
              <w:rPr>
                <w:sz w:val="9"/>
                <w:szCs w:val="9"/>
                <w:color w:val="auto"/>
              </w:rPr>
            </w:pPr>
          </w:p>
        </w:tc>
      </w:tr>
      <w:tr>
        <w:trPr>
          <w:trHeight w:val="61"/>
        </w:trPr>
        <w:tc>
          <w:tcPr>
            <w:tcW w:w="50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3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9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0" w:type="dxa"/>
            <w:vAlign w:val="bottom"/>
            <w:gridSpan w:val="2"/>
          </w:tcPr>
          <w:p>
            <w:pPr>
              <w:jc w:val="center"/>
              <w:ind w:right="180"/>
              <w:spacing w:after="0" w:line="196" w:lineRule="exact"/>
              <w:rPr>
                <w:sz w:val="20"/>
                <w:szCs w:val="20"/>
                <w:color w:val="auto"/>
              </w:rPr>
            </w:pPr>
            <w:r>
              <w:rPr>
                <w:rFonts w:ascii="Arial" w:cs="Arial" w:eastAsia="Arial" w:hAnsi="Arial"/>
                <w:sz w:val="18"/>
                <w:szCs w:val="18"/>
                <w:b w:val="1"/>
                <w:bCs w:val="1"/>
                <w:color w:val="auto"/>
                <w:w w:val="94"/>
              </w:rPr>
              <w:t>Number</w:t>
            </w:r>
          </w:p>
        </w:tc>
        <w:tc>
          <w:tcPr>
            <w:tcW w:w="100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37"/>
        </w:trPr>
        <w:tc>
          <w:tcPr>
            <w:tcW w:w="18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vMerge w:val="restart"/>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20" w:type="dxa"/>
            <w:vAlign w:val="bottom"/>
            <w:gridSpan w:val="3"/>
          </w:tcPr>
          <w:p>
            <w:pPr>
              <w:spacing w:after="0" w:line="195" w:lineRule="exact"/>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 the Company’s Quarterly</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c>
          <w:tcPr>
            <w:tcW w:w="0" w:type="dxa"/>
            <w:vAlign w:val="bottom"/>
          </w:tcPr>
          <w:p>
            <w:pPr>
              <w:spacing w:after="0"/>
              <w:rPr>
                <w:sz w:val="1"/>
                <w:szCs w:val="1"/>
                <w:color w:val="auto"/>
              </w:rPr>
            </w:pPr>
          </w:p>
        </w:tc>
      </w:tr>
      <w:tr>
        <w:trPr>
          <w:trHeight w:val="418"/>
        </w:trPr>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w w:val="92"/>
              </w:rPr>
              <w:t>Rush Enterprises, Inc. Amended and Restated Bylaws (incorporated herein by reference to Exhibit 3.1 of the Company’s Current Report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on Form 8-K (File No. 000-20797) filed May 21, 2013)</w:t>
            </w:r>
          </w:p>
        </w:tc>
        <w:tc>
          <w:tcPr>
            <w:tcW w:w="0" w:type="dxa"/>
            <w:vAlign w:val="bottom"/>
          </w:tcPr>
          <w:p>
            <w:pPr>
              <w:spacing w:after="0"/>
              <w:rPr>
                <w:sz w:val="1"/>
                <w:szCs w:val="1"/>
                <w:color w:val="auto"/>
              </w:rPr>
            </w:pPr>
          </w:p>
        </w:tc>
      </w:tr>
      <w:tr>
        <w:trPr>
          <w:trHeight w:val="418"/>
        </w:trPr>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85"/>
              </w:rPr>
              <w:t>10.1</w:t>
            </w:r>
          </w:p>
        </w:tc>
        <w:tc>
          <w:tcPr>
            <w:tcW w:w="1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w w:val="93"/>
              </w:rPr>
              <w:t>Rush Enterprises, Inc. Amended and Restated 2007 Long-Term Incentive Plan (incorporated herein by reference to Exhibit 10.1 of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Company’s Current Report on Form 8-K (File No. 000-20797) filed May 22, 2017)</w:t>
            </w:r>
          </w:p>
        </w:tc>
        <w:tc>
          <w:tcPr>
            <w:tcW w:w="0" w:type="dxa"/>
            <w:vAlign w:val="bottom"/>
          </w:tcPr>
          <w:p>
            <w:pPr>
              <w:spacing w:after="0"/>
              <w:rPr>
                <w:sz w:val="1"/>
                <w:szCs w:val="1"/>
                <w:color w:val="auto"/>
              </w:rPr>
            </w:pPr>
          </w:p>
        </w:tc>
      </w:tr>
      <w:tr>
        <w:trPr>
          <w:trHeight w:val="432"/>
        </w:trPr>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31.1*</w:t>
            </w:r>
          </w:p>
        </w:tc>
        <w:tc>
          <w:tcPr>
            <w:tcW w:w="1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w w:val="94"/>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31.2*</w:t>
            </w:r>
          </w:p>
        </w:tc>
        <w:tc>
          <w:tcPr>
            <w:tcW w:w="1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w w:val="94"/>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w w:val="97"/>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w w:val="97"/>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18"/>
        </w:trPr>
        <w:tc>
          <w:tcPr>
            <w:tcW w:w="10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0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0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80" w:hanging="652"/>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240" w:top="118" w:right="6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August 9, 2017</w:t>
            </w:r>
          </w:p>
        </w:tc>
        <w:tc>
          <w:tcPr>
            <w:tcW w:w="5140" w:type="dxa"/>
            <w:vAlign w:val="bottom"/>
            <w:gridSpan w:val="3"/>
          </w:tcPr>
          <w:p>
            <w:pPr>
              <w:ind w:left="2000"/>
              <w:spacing w:after="0"/>
              <w:rPr>
                <w:sz w:val="20"/>
                <w:szCs w:val="20"/>
                <w:color w:val="auto"/>
              </w:rPr>
            </w:pPr>
            <w:r>
              <w:rPr>
                <w:rFonts w:ascii="Arial" w:cs="Arial" w:eastAsia="Arial" w:hAnsi="Arial"/>
                <w:sz w:val="18"/>
                <w:szCs w:val="18"/>
                <w:color w:val="auto"/>
              </w:rPr>
              <w:t>By:  /S/ W.M. “RUSTY” RUSH</w:t>
            </w:r>
          </w:p>
        </w:tc>
      </w:tr>
      <w:tr>
        <w:trPr>
          <w:trHeight w:val="20"/>
        </w:trPr>
        <w:tc>
          <w:tcPr>
            <w:tcW w:w="3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3720" w:type="dxa"/>
            <w:vAlign w:val="bottom"/>
          </w:tcPr>
          <w:p>
            <w:pPr>
              <w:spacing w:after="0"/>
              <w:rPr>
                <w:sz w:val="19"/>
                <w:szCs w:val="19"/>
                <w:color w:val="auto"/>
              </w:rPr>
            </w:pPr>
          </w:p>
        </w:tc>
        <w:tc>
          <w:tcPr>
            <w:tcW w:w="5140" w:type="dxa"/>
            <w:vAlign w:val="bottom"/>
            <w:gridSpan w:val="3"/>
          </w:tcPr>
          <w:p>
            <w:pPr>
              <w:ind w:left="2360"/>
              <w:spacing w:after="0"/>
              <w:rPr>
                <w:sz w:val="20"/>
                <w:szCs w:val="20"/>
                <w:color w:val="auto"/>
              </w:rPr>
            </w:pPr>
            <w:r>
              <w:rPr>
                <w:rFonts w:ascii="Arial" w:cs="Arial" w:eastAsia="Arial" w:hAnsi="Arial"/>
                <w:sz w:val="18"/>
                <w:szCs w:val="18"/>
                <w:color w:val="auto"/>
              </w:rPr>
              <w:t>W.M. “Rusty” Rush</w:t>
            </w:r>
          </w:p>
        </w:tc>
      </w:tr>
      <w:tr>
        <w:trPr>
          <w:trHeight w:val="216"/>
        </w:trPr>
        <w:tc>
          <w:tcPr>
            <w:tcW w:w="3720" w:type="dxa"/>
            <w:vAlign w:val="bottom"/>
          </w:tcPr>
          <w:p>
            <w:pPr>
              <w:spacing w:after="0"/>
              <w:rPr>
                <w:sz w:val="18"/>
                <w:szCs w:val="18"/>
                <w:color w:val="auto"/>
              </w:rPr>
            </w:pPr>
          </w:p>
        </w:tc>
        <w:tc>
          <w:tcPr>
            <w:tcW w:w="5140" w:type="dxa"/>
            <w:vAlign w:val="bottom"/>
            <w:gridSpan w:val="3"/>
          </w:tcPr>
          <w:p>
            <w:pPr>
              <w:ind w:left="2360"/>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3720" w:type="dxa"/>
            <w:vAlign w:val="bottom"/>
          </w:tcPr>
          <w:p>
            <w:pPr>
              <w:spacing w:after="0"/>
              <w:rPr>
                <w:sz w:val="18"/>
                <w:szCs w:val="18"/>
                <w:color w:val="auto"/>
              </w:rPr>
            </w:pPr>
          </w:p>
        </w:tc>
        <w:tc>
          <w:tcPr>
            <w:tcW w:w="5140" w:type="dxa"/>
            <w:vAlign w:val="bottom"/>
            <w:gridSpan w:val="3"/>
          </w:tcPr>
          <w:p>
            <w:pPr>
              <w:ind w:left="2360"/>
              <w:spacing w:after="0"/>
              <w:rPr>
                <w:sz w:val="20"/>
                <w:szCs w:val="20"/>
                <w:color w:val="auto"/>
              </w:rPr>
            </w:pPr>
            <w:r>
              <w:rPr>
                <w:rFonts w:ascii="Arial" w:cs="Arial" w:eastAsia="Arial" w:hAnsi="Arial"/>
                <w:sz w:val="18"/>
                <w:szCs w:val="18"/>
                <w:color w:val="auto"/>
              </w:rPr>
              <w:t>Chairman of the Board</w:t>
            </w:r>
          </w:p>
        </w:tc>
      </w:tr>
      <w:tr>
        <w:trPr>
          <w:trHeight w:val="230"/>
        </w:trPr>
        <w:tc>
          <w:tcPr>
            <w:tcW w:w="3720" w:type="dxa"/>
            <w:vAlign w:val="bottom"/>
          </w:tcPr>
          <w:p>
            <w:pPr>
              <w:spacing w:after="0"/>
              <w:rPr>
                <w:sz w:val="20"/>
                <w:szCs w:val="20"/>
                <w:color w:val="auto"/>
              </w:rPr>
            </w:pPr>
          </w:p>
        </w:tc>
        <w:tc>
          <w:tcPr>
            <w:tcW w:w="5140" w:type="dxa"/>
            <w:vAlign w:val="bottom"/>
            <w:gridSpan w:val="3"/>
          </w:tcPr>
          <w:p>
            <w:pPr>
              <w:ind w:left="23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240" w:top="125" w:right="6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August 9, 2017</w:t>
            </w:r>
          </w:p>
        </w:tc>
        <w:tc>
          <w:tcPr>
            <w:tcW w:w="5480" w:type="dxa"/>
            <w:vAlign w:val="bottom"/>
            <w:gridSpan w:val="3"/>
          </w:tcPr>
          <w:p>
            <w:pPr>
              <w:ind w:left="1920"/>
              <w:spacing w:after="0"/>
              <w:rPr>
                <w:sz w:val="20"/>
                <w:szCs w:val="20"/>
                <w:color w:val="auto"/>
              </w:rPr>
            </w:pPr>
            <w:r>
              <w:rPr>
                <w:rFonts w:ascii="Arial" w:cs="Arial" w:eastAsia="Arial" w:hAnsi="Arial"/>
                <w:sz w:val="18"/>
                <w:szCs w:val="18"/>
                <w:color w:val="auto"/>
              </w:rPr>
              <w:t>By: /S/ STEVEN L. KELLER</w:t>
            </w:r>
          </w:p>
        </w:tc>
      </w:tr>
      <w:tr>
        <w:trPr>
          <w:trHeight w:val="222"/>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6"/>
        </w:trPr>
        <w:tc>
          <w:tcPr>
            <w:tcW w:w="3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040"/>
          </w:cols>
          <w:pgMar w:left="240" w:top="125" w:right="6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June 30, 2017,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tbl>
      <w:tblPr>
        <w:tblLayout w:type="fixed"/>
        <w:tblInd w:w="516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260" w:type="dxa"/>
            <w:vAlign w:val="bottom"/>
          </w:tcPr>
          <w:p>
            <w:pPr>
              <w:spacing w:after="0"/>
              <w:rPr>
                <w:sz w:val="17"/>
                <w:szCs w:val="17"/>
                <w:color w:val="auto"/>
              </w:rPr>
            </w:pPr>
          </w:p>
        </w:tc>
        <w:tc>
          <w:tcPr>
            <w:tcW w:w="2840" w:type="dxa"/>
            <w:vAlign w:val="bottom"/>
            <w:gridSpan w:val="2"/>
          </w:tcPr>
          <w:p>
            <w:pPr>
              <w:ind w:left="140"/>
              <w:spacing w:after="0"/>
              <w:rPr>
                <w:sz w:val="20"/>
                <w:szCs w:val="20"/>
                <w:color w:val="auto"/>
              </w:rPr>
            </w:pPr>
            <w:r>
              <w:rPr>
                <w:rFonts w:ascii="Arial" w:cs="Arial" w:eastAsia="Arial" w:hAnsi="Arial"/>
                <w:sz w:val="18"/>
                <w:szCs w:val="18"/>
                <w:color w:val="auto"/>
              </w:rPr>
              <w:t>/S/ W.M. “RUSTY” RUSH</w:t>
            </w: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520" w:type="dxa"/>
            <w:vAlign w:val="bottom"/>
            <w:gridSpan w:val="2"/>
          </w:tcPr>
          <w:p>
            <w:pPr>
              <w:spacing w:after="0"/>
              <w:rPr>
                <w:sz w:val="20"/>
                <w:szCs w:val="20"/>
                <w:color w:val="auto"/>
              </w:rPr>
            </w:pPr>
            <w:r>
              <w:rPr>
                <w:rFonts w:ascii="Arial" w:cs="Arial" w:eastAsia="Arial" w:hAnsi="Arial"/>
                <w:sz w:val="18"/>
                <w:szCs w:val="18"/>
                <w:color w:val="auto"/>
                <w:w w:val="94"/>
              </w:rPr>
              <w:t>Name:</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W.M. “Rusty” Rush</w:t>
            </w: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r>
      <w:tr>
        <w:trPr>
          <w:trHeight w:val="230"/>
        </w:trPr>
        <w:tc>
          <w:tcPr>
            <w:tcW w:w="520" w:type="dxa"/>
            <w:vAlign w:val="bottom"/>
            <w:gridSpan w:val="2"/>
          </w:tcPr>
          <w:p>
            <w:pPr>
              <w:spacing w:after="0"/>
              <w:rPr>
                <w:sz w:val="20"/>
                <w:szCs w:val="20"/>
                <w:color w:val="auto"/>
              </w:rPr>
            </w:pPr>
            <w:r>
              <w:rPr>
                <w:rFonts w:ascii="Arial" w:cs="Arial" w:eastAsia="Arial" w:hAnsi="Arial"/>
                <w:sz w:val="18"/>
                <w:szCs w:val="18"/>
                <w:color w:val="auto"/>
              </w:rPr>
              <w:t>Date:</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August 9, 2017</w:t>
            </w:r>
          </w:p>
        </w:tc>
      </w:tr>
    </w:tbl>
    <w:p>
      <w:pPr>
        <w:spacing w:after="0" w:line="200" w:lineRule="exact"/>
        <w:rPr>
          <w:sz w:val="20"/>
          <w:szCs w:val="20"/>
          <w:color w:val="auto"/>
        </w:rPr>
      </w:pPr>
    </w:p>
    <w:p>
      <w:pPr>
        <w:spacing w:after="0" w:line="21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9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2017,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8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-10160</wp:posOffset>
            </wp:positionV>
            <wp:extent cx="133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032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498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9" w:lineRule="exact"/>
        <w:rPr>
          <w:sz w:val="20"/>
          <w:szCs w:val="20"/>
          <w:color w:val="auto"/>
        </w:rPr>
      </w:pPr>
    </w:p>
    <w:p>
      <w:pPr>
        <w:ind w:left="4980"/>
        <w:spacing w:after="0"/>
        <w:tabs>
          <w:tab w:leader="none" w:pos="5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2017</w:t>
      </w:r>
    </w:p>
    <w:p>
      <w:pPr>
        <w:spacing w:after="0" w:line="200" w:lineRule="exact"/>
        <w:rPr>
          <w:sz w:val="20"/>
          <w:szCs w:val="20"/>
          <w:color w:val="auto"/>
        </w:rPr>
      </w:pPr>
    </w:p>
    <w:p>
      <w:pPr>
        <w:spacing w:after="0" w:line="22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endash "/>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2019-12-29T04:55:04Z</dcterms:created>
  <dcterms:modified xsi:type="dcterms:W3CDTF">2019-12-29T04:55:04Z</dcterms:modified>
</cp:coreProperties>
</file>