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9" w:lineRule="exact"/>
        <w:rPr>
          <w:rFonts w:ascii="MS PGothic" w:cs="MS PGothic" w:eastAsia="MS PGothic" w:hAnsi="MS PGothic"/>
          <w:sz w:val="17"/>
          <w:szCs w:val="17"/>
          <w:color w:val="auto"/>
        </w:rPr>
      </w:pPr>
    </w:p>
    <w:p>
      <w:pPr>
        <w:ind w:left="388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left="2440" w:right="1900" w:hanging="2432"/>
        <w:spacing w:after="0" w:line="493"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_____________________ to _______________________</w:t>
      </w: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88" w:right="339" w:bottom="28" w:gutter="0" w:footer="0" w:header="0"/>
        </w:sectPr>
      </w:pPr>
    </w:p>
    <w:p>
      <w:pPr>
        <w:spacing w:after="0" w:line="20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5" w:lineRule="exact"/>
        <w:rPr>
          <w:sz w:val="24"/>
          <w:szCs w:val="24"/>
          <w:color w:val="auto"/>
        </w:rPr>
      </w:pPr>
    </w:p>
    <w:p>
      <w:pPr>
        <w:sectPr>
          <w:pgSz w:w="11900" w:h="16838" w:orient="portrait"/>
          <w:cols w:equalWidth="0" w:num="2">
            <w:col w:w="6440" w:space="720"/>
            <w:col w:w="4080"/>
          </w:cols>
          <w:pgMar w:left="320" w:top="688" w:right="339" w:bottom="28"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688" w:right="339" w:bottom="28"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(830) 302-5200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340"/>
        <w:spacing w:after="0" w:line="207" w:lineRule="exact"/>
        <w:tabs>
          <w:tab w:leader="none" w:pos="2800" w:val="left"/>
          <w:tab w:leader="none" w:pos="560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8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4780"/>
        <w:spacing w:after="0" w:line="207" w:lineRule="exact"/>
        <w:tabs>
          <w:tab w:leader="none" w:pos="60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August 1, 2024.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4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4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Title of Class</w:t>
            </w:r>
          </w:p>
        </w:tc>
        <w:tc>
          <w:tcPr>
            <w:tcW w:w="2460" w:type="dxa"/>
            <w:vAlign w:val="bottom"/>
          </w:tcPr>
          <w:p>
            <w:pPr>
              <w:spacing w:after="0"/>
              <w:rPr>
                <w:sz w:val="16"/>
                <w:szCs w:val="16"/>
                <w:color w:val="auto"/>
              </w:rPr>
            </w:pPr>
          </w:p>
        </w:tc>
        <w:tc>
          <w:tcPr>
            <w:tcW w:w="3840" w:type="dxa"/>
            <w:vAlign w:val="bottom"/>
            <w:gridSpan w:val="3"/>
          </w:tcPr>
          <w:p>
            <w:pPr>
              <w:jc w:val="center"/>
              <w:ind w:right="1200"/>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c>
          <w:tcPr>
            <w:tcW w:w="4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00" w:type="dxa"/>
            <w:vAlign w:val="bottom"/>
          </w:tcPr>
          <w:p>
            <w:pPr>
              <w:spacing w:after="0"/>
              <w:rPr>
                <w:sz w:val="18"/>
                <w:szCs w:val="18"/>
                <w:color w:val="auto"/>
              </w:rPr>
            </w:pPr>
          </w:p>
        </w:tc>
        <w:tc>
          <w:tcPr>
            <w:tcW w:w="48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Class A Common Stock, $.01 Par Value</w:t>
            </w:r>
          </w:p>
        </w:tc>
        <w:tc>
          <w:tcPr>
            <w:tcW w:w="2460" w:type="dxa"/>
            <w:vAlign w:val="bottom"/>
          </w:tcPr>
          <w:p>
            <w:pPr>
              <w:spacing w:after="0"/>
              <w:rPr>
                <w:sz w:val="18"/>
                <w:szCs w:val="18"/>
                <w:color w:val="auto"/>
              </w:rPr>
            </w:pPr>
          </w:p>
        </w:tc>
        <w:tc>
          <w:tcPr>
            <w:tcW w:w="176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62,058,119</w:t>
            </w: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8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Class B Common Stock, $.01 Par Value</w:t>
            </w:r>
          </w:p>
        </w:tc>
        <w:tc>
          <w:tcPr>
            <w:tcW w:w="2460" w:type="dxa"/>
            <w:vAlign w:val="bottom"/>
          </w:tcPr>
          <w:p>
            <w:pPr>
              <w:spacing w:after="0"/>
              <w:rPr>
                <w:sz w:val="20"/>
                <w:szCs w:val="20"/>
                <w:color w:val="auto"/>
              </w:rPr>
            </w:pPr>
          </w:p>
        </w:tc>
        <w:tc>
          <w:tcPr>
            <w:tcW w:w="176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16,697,663</w:t>
            </w: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48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3"/>
        </w:trPr>
        <w:tc>
          <w:tcPr>
            <w:tcW w:w="10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189"/>
        </w:trPr>
        <w:tc>
          <w:tcPr>
            <w:tcW w:w="100" w:type="dxa"/>
            <w:vAlign w:val="bottom"/>
            <w:tcBorders>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gridSpan w:val="3"/>
          </w:tcPr>
          <w:p>
            <w:pPr>
              <w:ind w:left="1320"/>
              <w:spacing w:after="0" w:line="170" w:lineRule="exact"/>
              <w:rPr>
                <w:sz w:val="20"/>
                <w:szCs w:val="20"/>
                <w:color w:val="auto"/>
              </w:rPr>
            </w:pPr>
            <w:r>
              <w:rPr>
                <w:rFonts w:ascii="Times New Roman" w:cs="Times New Roman" w:eastAsia="Times New Roman" w:hAnsi="Times New Roman"/>
                <w:sz w:val="18"/>
                <w:szCs w:val="18"/>
                <w:color w:val="auto"/>
              </w:rPr>
              <w:t>Title of each class</w:t>
            </w:r>
          </w:p>
        </w:tc>
        <w:tc>
          <w:tcPr>
            <w:tcW w:w="800" w:type="dxa"/>
            <w:vAlign w:val="bottom"/>
            <w:tcBorders>
              <w:bottom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jc w:val="center"/>
              <w:ind w:right="810"/>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3840" w:type="dxa"/>
            <w:vAlign w:val="bottom"/>
            <w:tcBorders>
              <w:bottom w:val="single" w:sz="8" w:color="auto"/>
              <w:right w:val="single" w:sz="8" w:color="auto"/>
            </w:tcBorders>
            <w:gridSpan w:val="3"/>
          </w:tcPr>
          <w:p>
            <w:pPr>
              <w:jc w:val="center"/>
              <w:ind w:right="60"/>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40" w:type="dxa"/>
            <w:vAlign w:val="bottom"/>
          </w:tcPr>
          <w:p>
            <w:pPr>
              <w:spacing w:after="0"/>
              <w:rPr>
                <w:sz w:val="16"/>
                <w:szCs w:val="16"/>
                <w:color w:val="auto"/>
              </w:rPr>
            </w:pPr>
          </w:p>
        </w:tc>
      </w:tr>
      <w:tr>
        <w:trPr>
          <w:trHeight w:val="174"/>
        </w:trPr>
        <w:tc>
          <w:tcPr>
            <w:tcW w:w="10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ind w:left="540"/>
              <w:spacing w:after="0" w:line="175"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800" w:type="dxa"/>
            <w:vAlign w:val="bottom"/>
          </w:tcPr>
          <w:p>
            <w:pPr>
              <w:spacing w:after="0"/>
              <w:rPr>
                <w:sz w:val="15"/>
                <w:szCs w:val="15"/>
                <w:color w:val="auto"/>
              </w:rPr>
            </w:pPr>
          </w:p>
        </w:tc>
        <w:tc>
          <w:tcPr>
            <w:tcW w:w="2460" w:type="dxa"/>
            <w:vAlign w:val="bottom"/>
            <w:tcBorders>
              <w:right w:val="single" w:sz="8" w:color="auto"/>
            </w:tcBorders>
          </w:tcPr>
          <w:p>
            <w:pPr>
              <w:jc w:val="center"/>
              <w:ind w:right="790"/>
              <w:spacing w:after="0" w:line="175" w:lineRule="exact"/>
              <w:rPr>
                <w:sz w:val="20"/>
                <w:szCs w:val="20"/>
                <w:color w:val="auto"/>
              </w:rPr>
            </w:pPr>
            <w:r>
              <w:rPr>
                <w:rFonts w:ascii="Times New Roman" w:cs="Times New Roman" w:eastAsia="Times New Roman" w:hAnsi="Times New Roman"/>
                <w:sz w:val="18"/>
                <w:szCs w:val="18"/>
                <w:color w:val="auto"/>
              </w:rPr>
              <w:t>RUSHA</w:t>
            </w:r>
          </w:p>
        </w:tc>
        <w:tc>
          <w:tcPr>
            <w:tcW w:w="3840" w:type="dxa"/>
            <w:vAlign w:val="bottom"/>
            <w:tcBorders>
              <w:right w:val="single" w:sz="8" w:color="auto"/>
            </w:tcBorders>
            <w:gridSpan w:val="3"/>
          </w:tcPr>
          <w:p>
            <w:pPr>
              <w:jc w:val="center"/>
              <w:ind w:right="60"/>
              <w:spacing w:after="0" w:line="175" w:lineRule="exact"/>
              <w:rPr>
                <w:sz w:val="20"/>
                <w:szCs w:val="20"/>
                <w:color w:val="auto"/>
              </w:rPr>
            </w:pPr>
            <w:r>
              <w:rPr>
                <w:rFonts w:ascii="Times New Roman" w:cs="Times New Roman" w:eastAsia="Times New Roman" w:hAnsi="Times New Roman"/>
                <w:sz w:val="18"/>
                <w:szCs w:val="18"/>
                <w:color w:val="auto"/>
              </w:rPr>
              <w:t>NASDAQ Global Select Market</w:t>
            </w:r>
          </w:p>
        </w:tc>
        <w:tc>
          <w:tcPr>
            <w:tcW w:w="40" w:type="dxa"/>
            <w:vAlign w:val="bottom"/>
          </w:tcPr>
          <w:p>
            <w:pPr>
              <w:spacing w:after="0"/>
              <w:rPr>
                <w:sz w:val="15"/>
                <w:szCs w:val="15"/>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8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9"/>
              </w:rPr>
              <w:t>RUSHB</w:t>
            </w:r>
          </w:p>
        </w:tc>
        <w:tc>
          <w:tcPr>
            <w:tcW w:w="384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40" w:type="dxa"/>
            <w:vAlign w:val="bottom"/>
          </w:tcPr>
          <w:p>
            <w:pPr>
              <w:spacing w:after="0"/>
              <w:rPr>
                <w:sz w:val="20"/>
                <w:szCs w:val="20"/>
                <w:color w:val="auto"/>
              </w:rPr>
            </w:pPr>
          </w:p>
        </w:tc>
      </w:tr>
      <w:tr>
        <w:trPr>
          <w:trHeight w:val="567"/>
        </w:trPr>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28"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0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40" w:type="dxa"/>
            <w:vAlign w:val="bottom"/>
            <w:gridSpan w:val="9"/>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40" w:type="dxa"/>
            <w:vAlign w:val="bottom"/>
            <w:gridSpan w:val="8"/>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7380" w:type="dxa"/>
            <w:vAlign w:val="bottom"/>
            <w:gridSpan w:val="10"/>
          </w:tcPr>
          <w:p>
            <w:pPr>
              <w:spacing w:after="0"/>
              <w:rPr>
                <w:sz w:val="24"/>
                <w:szCs w:val="24"/>
                <w:color w:val="auto"/>
              </w:rPr>
            </w:pPr>
          </w:p>
        </w:tc>
        <w:tc>
          <w:tcPr>
            <w:tcW w:w="7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3120" w:type="dxa"/>
            <w:vAlign w:val="bottom"/>
            <w:tcBorders>
              <w:top w:val="single" w:sz="8" w:color="0000EE"/>
            </w:tcBorders>
            <w:gridSpan w:val="9"/>
          </w:tcPr>
          <w:p>
            <w:pPr>
              <w:ind w:left="46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Financial Statements</w:t>
            </w:r>
          </w:p>
        </w:tc>
        <w:tc>
          <w:tcPr>
            <w:tcW w:w="738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5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Balance Sheets - June 30, 2024 (unaudited) and December 31, 2023</w:t>
            </w:r>
          </w:p>
        </w:tc>
        <w:tc>
          <w:tcPr>
            <w:tcW w:w="3580" w:type="dxa"/>
            <w:vAlign w:val="bottom"/>
            <w:gridSpan w:val="6"/>
          </w:tcPr>
          <w:p>
            <w:pPr>
              <w:spacing w:after="0"/>
              <w:rPr>
                <w:sz w:val="24"/>
                <w:szCs w:val="24"/>
                <w:color w:val="auto"/>
              </w:rPr>
            </w:pPr>
          </w:p>
        </w:tc>
        <w:tc>
          <w:tcPr>
            <w:tcW w:w="5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Income - For the Three and Six Months Ended June 30, 2024 and 2023 (unaudited)</w:t>
            </w:r>
          </w:p>
        </w:tc>
        <w:tc>
          <w:tcPr>
            <w:tcW w:w="5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0000EE"/>
                <w:w w:val="88"/>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 For the Three and Six Months Ended June 30, 2024 and 2023 (unaudited)</w:t>
            </w:r>
          </w:p>
        </w:tc>
        <w:tc>
          <w:tcPr>
            <w:tcW w:w="5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0000EE"/>
                <w:w w:val="88"/>
              </w:rPr>
              <w:t>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90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 For the Three and Six Months Ended June 30, 2024 and 2023 (unaudited)</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0000EE"/>
                <w:w w:val="88"/>
              </w:rPr>
              <w:t>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90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Cash Flows - For the Six Months Ended June 30, 2024 and 2023 (unaudited)</w:t>
            </w:r>
          </w:p>
        </w:tc>
        <w:tc>
          <w:tcPr>
            <w:tcW w:w="440" w:type="dxa"/>
            <w:vAlign w:val="bottom"/>
            <w:gridSpan w:val="2"/>
          </w:tcPr>
          <w:p>
            <w:pPr>
              <w:spacing w:after="0"/>
              <w:rPr>
                <w:sz w:val="24"/>
                <w:szCs w:val="24"/>
                <w:color w:val="auto"/>
              </w:rPr>
            </w:pPr>
          </w:p>
        </w:tc>
        <w:tc>
          <w:tcPr>
            <w:tcW w:w="5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0000EE"/>
                <w:w w:val="88"/>
              </w:rPr>
              <w:t>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520" w:type="dxa"/>
            <w:vAlign w:val="bottom"/>
            <w:gridSpan w:val="4"/>
          </w:tcPr>
          <w:p>
            <w:pPr>
              <w:spacing w:after="0"/>
              <w:rPr>
                <w:sz w:val="24"/>
                <w:szCs w:val="24"/>
                <w:color w:val="auto"/>
              </w:rPr>
            </w:pPr>
          </w:p>
        </w:tc>
        <w:tc>
          <w:tcPr>
            <w:tcW w:w="1920" w:type="dxa"/>
            <w:vAlign w:val="bottom"/>
            <w:gridSpan w:val="4"/>
          </w:tcPr>
          <w:p>
            <w:pPr>
              <w:spacing w:after="0"/>
              <w:rPr>
                <w:sz w:val="24"/>
                <w:szCs w:val="24"/>
                <w:color w:val="auto"/>
              </w:rPr>
            </w:pPr>
          </w:p>
        </w:tc>
        <w:tc>
          <w:tcPr>
            <w:tcW w:w="5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0000EE"/>
                <w:w w:val="88"/>
              </w:rPr>
              <w:t>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14</w:t>
            </w: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26</w:t>
            </w: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120" w:type="dxa"/>
            <w:vAlign w:val="bottom"/>
            <w:tcBorders>
              <w:left w:val="single" w:sz="8" w:color="0000EE"/>
            </w:tcBorders>
            <w:gridSpan w:val="7"/>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27</w:t>
            </w: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70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Legal Proceedings</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27</w:t>
            </w: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w:t>
            </w:r>
            <w:r>
              <w:rPr>
                <w:rFonts w:ascii="Times New Roman" w:cs="Times New Roman" w:eastAsia="Times New Roman" w:hAnsi="Times New Roman"/>
                <w:sz w:val="18"/>
                <w:szCs w:val="18"/>
                <w:color w:val="0000EE"/>
              </w:rPr>
              <w:t>Risk Factors</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27</w:t>
            </w:r>
          </w:p>
        </w:tc>
        <w:tc>
          <w:tcPr>
            <w:tcW w:w="100" w:type="dxa"/>
            <w:vAlign w:val="bottom"/>
          </w:tcPr>
          <w:p>
            <w:pPr>
              <w:spacing w:after="0"/>
              <w:rPr>
                <w:sz w:val="24"/>
                <w:szCs w:val="24"/>
                <w:color w:val="auto"/>
              </w:rPr>
            </w:pPr>
          </w:p>
        </w:tc>
      </w:tr>
      <w:tr>
        <w:trPr>
          <w:trHeight w:val="237"/>
        </w:trPr>
        <w:tc>
          <w:tcPr>
            <w:tcW w:w="1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tcBorders>
              <w:top w:val="single" w:sz="8" w:color="0000EE"/>
            </w:tcBorders>
            <w:gridSpan w:val="4"/>
          </w:tcPr>
          <w:p>
            <w:pPr>
              <w:spacing w:after="0"/>
              <w:rPr>
                <w:sz w:val="20"/>
                <w:szCs w:val="20"/>
                <w:color w:val="auto"/>
              </w:rPr>
            </w:pPr>
          </w:p>
        </w:tc>
        <w:tc>
          <w:tcPr>
            <w:tcW w:w="8560" w:type="dxa"/>
            <w:vAlign w:val="bottom"/>
            <w:gridSpan w:val="14"/>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7140" w:type="dxa"/>
            <w:vAlign w:val="bottom"/>
            <w:gridSpan w:val="9"/>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700" w:type="dxa"/>
            <w:vAlign w:val="bottom"/>
            <w:gridSpan w:val="11"/>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EE"/>
              </w:rPr>
              <w:t>Other Information</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160" w:type="dxa"/>
            <w:vAlign w:val="bottom"/>
            <w:gridSpan w:val="13"/>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00" w:type="dxa"/>
            <w:vAlign w:val="bottom"/>
            <w:gridSpan w:val="19"/>
          </w:tcPr>
          <w:p>
            <w:pPr>
              <w:ind w:left="46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EE"/>
              </w:rPr>
              <w:t>Exhibits</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28</w:t>
            </w:r>
          </w:p>
        </w:tc>
        <w:tc>
          <w:tcPr>
            <w:tcW w:w="1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860" w:type="dxa"/>
            <w:vAlign w:val="bottom"/>
            <w:gridSpan w:val="15"/>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5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0000EE"/>
                <w:w w:val="99"/>
              </w:rPr>
              <w:t>30</w:t>
            </w:r>
          </w:p>
        </w:tc>
        <w:tc>
          <w:tcPr>
            <w:tcW w:w="100" w:type="dxa"/>
            <w:vAlign w:val="bottom"/>
          </w:tcPr>
          <w:p>
            <w:pPr>
              <w:spacing w:after="0"/>
              <w:rPr>
                <w:sz w:val="24"/>
                <w:szCs w:val="24"/>
                <w:color w:val="auto"/>
              </w:rPr>
            </w:pPr>
          </w:p>
        </w:tc>
      </w:tr>
      <w:tr>
        <w:trPr>
          <w:trHeight w:val="453"/>
        </w:trPr>
        <w:tc>
          <w:tcPr>
            <w:tcW w:w="1160" w:type="dxa"/>
            <w:vAlign w:val="bottom"/>
            <w:tcBorders>
              <w:top w:val="single" w:sz="8" w:color="0000EE"/>
            </w:tcBorders>
            <w:gridSpan w:val="2"/>
          </w:tcPr>
          <w:p>
            <w:pPr>
              <w:spacing w:after="0"/>
              <w:rPr>
                <w:sz w:val="24"/>
                <w:szCs w:val="24"/>
                <w:color w:val="auto"/>
              </w:rPr>
            </w:pPr>
          </w:p>
        </w:tc>
        <w:tc>
          <w:tcPr>
            <w:tcW w:w="5760" w:type="dxa"/>
            <w:vAlign w:val="bottom"/>
            <w:gridSpan w:val="11"/>
          </w:tcPr>
          <w:p>
            <w:pPr>
              <w:jc w:val="center"/>
              <w:ind w:left="3070"/>
              <w:spacing w:after="0"/>
              <w:rPr>
                <w:sz w:val="20"/>
                <w:szCs w:val="20"/>
                <w:color w:val="auto"/>
              </w:rPr>
            </w:pPr>
            <w:r>
              <w:rPr>
                <w:rFonts w:ascii="Times New Roman" w:cs="Times New Roman" w:eastAsia="Times New Roman" w:hAnsi="Times New Roman"/>
                <w:sz w:val="18"/>
                <w:szCs w:val="18"/>
                <w:color w:val="auto"/>
                <w:w w:val="88"/>
              </w:rPr>
              <w:t>2</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3"/>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3"/>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auto"/>
                <w:w w:val="98"/>
              </w:rPr>
              <w:t>CONSOLIDATED BALANCE SHEETS</w:t>
            </w:r>
          </w:p>
        </w:tc>
        <w:tc>
          <w:tcPr>
            <w:tcW w:w="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300" w:type="dxa"/>
            <w:vAlign w:val="bottom"/>
            <w:gridSpan w:val="7"/>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auto"/>
              </w:rPr>
              <w:t>JUNE 30, 2024, AND DECEMBER 31, 2023</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Thousands, Except Shares)</w:t>
            </w:r>
          </w:p>
        </w:tc>
        <w:tc>
          <w:tcPr>
            <w:tcW w:w="72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183,725</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286,848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259,353</w:t>
            </w: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receivable from affiliate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1,894,214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1,801,447</w:t>
            </w:r>
          </w:p>
        </w:tc>
      </w:tr>
      <w:tr>
        <w:trPr>
          <w:trHeight w:val="216"/>
        </w:trPr>
        <w:tc>
          <w:tcPr>
            <w:tcW w:w="80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2,377,701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2,260,304</w:t>
            </w:r>
          </w:p>
        </w:tc>
      </w:tr>
      <w:tr>
        <w:trPr>
          <w:trHeight w:val="216"/>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1,522,808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1,488,086</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120,162</w:t>
            </w:r>
          </w:p>
        </w:tc>
      </w:tr>
      <w:tr>
        <w:trPr>
          <w:trHeight w:val="216"/>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419,303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420,708</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74,981</w:t>
            </w:r>
          </w:p>
        </w:tc>
        <w:tc>
          <w:tcPr>
            <w:tcW w:w="100" w:type="dxa"/>
            <w:vAlign w:val="bottom"/>
          </w:tcPr>
          <w:p>
            <w:pPr>
              <w:spacing w:after="0"/>
              <w:rPr>
                <w:sz w:val="18"/>
                <w:szCs w:val="18"/>
                <w:color w:val="auto"/>
              </w:rPr>
            </w:pPr>
          </w:p>
        </w:tc>
      </w:tr>
      <w:tr>
        <w:trPr>
          <w:trHeight w:val="249"/>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4,506,526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4,364,241</w:t>
            </w:r>
          </w:p>
        </w:tc>
      </w:tr>
      <w:tr>
        <w:trPr>
          <w:trHeight w:val="197"/>
        </w:trPr>
        <w:tc>
          <w:tcPr>
            <w:tcW w:w="128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9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880" w:type="dxa"/>
            <w:vAlign w:val="bottom"/>
            <w:tcBorders>
              <w:bottom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1,226,651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1,139,744</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36,119</w:t>
            </w: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17,438</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166,630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162,134</w:t>
            </w: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95,835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145,326</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172,549</w:t>
            </w:r>
          </w:p>
        </w:tc>
        <w:tc>
          <w:tcPr>
            <w:tcW w:w="100" w:type="dxa"/>
            <w:vAlign w:val="bottom"/>
          </w:tcPr>
          <w:p>
            <w:pPr>
              <w:spacing w:after="0"/>
              <w:rPr>
                <w:sz w:val="18"/>
                <w:szCs w:val="18"/>
                <w:color w:val="auto"/>
              </w:rPr>
            </w:pPr>
          </w:p>
        </w:tc>
      </w:tr>
      <w:tr>
        <w:trPr>
          <w:trHeight w:val="210"/>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1,697,901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1,673,310</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396,562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414,002</w:t>
            </w:r>
          </w:p>
        </w:tc>
      </w:tr>
      <w:tr>
        <w:trPr>
          <w:trHeight w:val="216"/>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97,617</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101,510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104,514</w:t>
            </w:r>
          </w:p>
        </w:tc>
      </w:tr>
      <w:tr>
        <w:trPr>
          <w:trHeight w:val="216"/>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24,811</w:t>
            </w:r>
          </w:p>
        </w:tc>
      </w:tr>
      <w:tr>
        <w:trPr>
          <w:trHeight w:val="216"/>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159,571</w:t>
            </w:r>
          </w:p>
        </w:tc>
      </w:tr>
      <w:tr>
        <w:trPr>
          <w:trHeight w:val="216"/>
        </w:trPr>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gridSpan w:val="9"/>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2024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9"/>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105,000,000 Class A shares and 35,000,000 Class B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61,869,093 Class A shares and 16,700,392 Class B shares outstanding in 2024; and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61,461,281 Class A shares and 16,364,158 Class B shares outstanding in 2023</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563,604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542,046</w:t>
            </w:r>
          </w:p>
        </w:tc>
      </w:tr>
      <w:tr>
        <w:trPr>
          <w:trHeight w:val="198"/>
        </w:trPr>
        <w:tc>
          <w:tcPr>
            <w:tcW w:w="8000" w:type="dxa"/>
            <w:vAlign w:val="bottom"/>
            <w:gridSpan w:val="9"/>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1,298,522 Class A shares and 1,746,047 Class B shares in 2024; and 1,092,142</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9"/>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shares and 1,731,157 Class B shares in 2023</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(129,415)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(119,835)</w:t>
            </w:r>
          </w:p>
        </w:tc>
      </w:tr>
      <w:tr>
        <w:trPr>
          <w:trHeight w:val="216"/>
        </w:trPr>
        <w:tc>
          <w:tcPr>
            <w:tcW w:w="80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1,573,316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1,450,025</w:t>
            </w:r>
          </w:p>
        </w:tc>
      </w:tr>
      <w:tr>
        <w:trPr>
          <w:trHeight w:val="216"/>
        </w:trPr>
        <w:tc>
          <w:tcPr>
            <w:tcW w:w="8000" w:type="dxa"/>
            <w:vAlign w:val="bottom"/>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(2,163)</w:t>
            </w:r>
          </w:p>
        </w:tc>
      </w:tr>
      <w:tr>
        <w:trPr>
          <w:trHeight w:val="209"/>
        </w:trPr>
        <w:tc>
          <w:tcPr>
            <w:tcW w:w="8000" w:type="dxa"/>
            <w:vAlign w:val="bottom"/>
            <w:tcBorders>
              <w:top w:val="single" w:sz="8" w:color="CCEEFF"/>
            </w:tcBorders>
            <w:gridSpan w:val="9"/>
          </w:tcPr>
          <w:p>
            <w:pPr>
              <w:ind w:left="180"/>
              <w:spacing w:after="0"/>
              <w:rPr>
                <w:sz w:val="20"/>
                <w:szCs w:val="20"/>
                <w:color w:val="auto"/>
              </w:rPr>
            </w:pPr>
            <w:r>
              <w:rPr>
                <w:rFonts w:ascii="Times New Roman" w:cs="Times New Roman" w:eastAsia="Times New Roman" w:hAnsi="Times New Roman"/>
                <w:sz w:val="18"/>
                <w:szCs w:val="18"/>
                <w:color w:val="auto"/>
              </w:rPr>
              <w:t>Total Rush Enterprises, Inc. shareholders’ equity</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2,003,394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1,870,879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gridSpan w:val="9"/>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2,022,934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1,890,416</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4,506,526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4,364,241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394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gridSpan w:val="6"/>
          </w:tcPr>
          <w:p>
            <w:pPr>
              <w:jc w:val="center"/>
              <w:ind w:right="16"/>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INCOME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(Unaudited)</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1,300,308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1,250,794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2,423,627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2,412,519</w:t>
            </w:r>
          </w:p>
        </w:tc>
      </w:tr>
      <w:tr>
        <w:trPr>
          <w:trHeight w:val="216"/>
        </w:trPr>
        <w:tc>
          <w:tcPr>
            <w:tcW w:w="3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627,431</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651,130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1,276,627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1,299,356</w:t>
            </w:r>
          </w:p>
        </w:tc>
      </w:tr>
      <w:tr>
        <w:trPr>
          <w:trHeight w:val="216"/>
        </w:trPr>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87,646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175,567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175,215</w:t>
            </w:r>
          </w:p>
        </w:tc>
      </w:tr>
      <w:tr>
        <w:trPr>
          <w:trHeight w:val="216"/>
        </w:trPr>
        <w:tc>
          <w:tcPr>
            <w:tcW w:w="3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5,937</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12,760</w:t>
            </w:r>
          </w:p>
        </w:tc>
      </w:tr>
      <w:tr>
        <w:trPr>
          <w:trHeight w:val="216"/>
        </w:trPr>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14,969</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2,027,028</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2,003,052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3,899,027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3,914,819</w:t>
            </w: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1,179,819</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1,124,339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2,185,919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2,174,704</w:t>
            </w:r>
          </w:p>
        </w:tc>
      </w:tr>
      <w:tr>
        <w:trPr>
          <w:trHeight w:val="216"/>
        </w:trPr>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392,133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403,351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804,387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805,506</w:t>
            </w:r>
          </w:p>
        </w:tc>
      </w:tr>
      <w:tr>
        <w:trPr>
          <w:trHeight w:val="216"/>
        </w:trPr>
        <w:tc>
          <w:tcPr>
            <w:tcW w:w="3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62,687</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121,992</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1,634,639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1,589,204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3,116,763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3,102,202</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392,389</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413,848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782,264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812,617</w:t>
            </w: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251,368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256,691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515,033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513,499</w:t>
            </w: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16,492</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28,859</w:t>
            </w: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124,481</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142,859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270,635</w:t>
            </w: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w:t>
            </w: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19,464</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23,221</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130,525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197,875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249,665</w:t>
            </w: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26,278</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47,603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60,351</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78,783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98,524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150,272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189,314</w:t>
            </w:r>
          </w:p>
        </w:tc>
      </w:tr>
      <w:tr>
        <w:trPr>
          <w:trHeight w:val="216"/>
        </w:trPr>
        <w:tc>
          <w:tcPr>
            <w:tcW w:w="5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2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78,661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150,269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188,730</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62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Rush Enterprises, Inc. per share of common</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lef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2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78,270</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81,926</w:t>
            </w: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80,778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84,156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81,467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84,501</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r>
      <w:tr>
        <w:trPr>
          <w:trHeight w:val="410"/>
        </w:trPr>
        <w:tc>
          <w:tcPr>
            <w:tcW w:w="1280" w:type="dxa"/>
            <w:vAlign w:val="bottom"/>
          </w:tcPr>
          <w:p>
            <w:pPr>
              <w:spacing w:after="0"/>
              <w:rPr>
                <w:sz w:val="24"/>
                <w:szCs w:val="24"/>
                <w:color w:val="auto"/>
              </w:rPr>
            </w:pPr>
          </w:p>
        </w:tc>
        <w:tc>
          <w:tcPr>
            <w:tcW w:w="7660" w:type="dxa"/>
            <w:vAlign w:val="bottom"/>
            <w:gridSpan w:val="12"/>
          </w:tcPr>
          <w:p>
            <w:pPr>
              <w:jc w:val="center"/>
              <w:ind w:left="9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6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gridSpan w:val="8"/>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0" w:type="dxa"/>
            <w:vAlign w:val="bottom"/>
            <w:gridSpan w:val="11"/>
          </w:tcPr>
          <w:p>
            <w:pPr>
              <w:jc w:val="center"/>
              <w:ind w:right="260"/>
              <w:spacing w:after="0" w:line="196" w:lineRule="exact"/>
              <w:rPr>
                <w:sz w:val="20"/>
                <w:szCs w:val="20"/>
                <w:color w:val="auto"/>
              </w:rPr>
            </w:pPr>
            <w:r>
              <w:rPr>
                <w:rFonts w:ascii="Times New Roman" w:cs="Times New Roman" w:eastAsia="Times New Roman" w:hAnsi="Times New Roman"/>
                <w:sz w:val="18"/>
                <w:szCs w:val="18"/>
                <w:color w:val="auto"/>
                <w:w w:val="99"/>
              </w:rPr>
              <w:t>CONSOLIDATED STATEMENTS OF COMPREHENSIVE INCOME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5"/>
          </w:tcPr>
          <w:p>
            <w:pPr>
              <w:jc w:val="center"/>
              <w:ind w:left="5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20" w:type="dxa"/>
            <w:vAlign w:val="bottom"/>
            <w:gridSpan w:val="5"/>
          </w:tcPr>
          <w:p>
            <w:pPr>
              <w:jc w:val="center"/>
              <w:ind w:left="5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r>
      <w:tr>
        <w:trPr>
          <w:trHeight w:val="223"/>
        </w:trPr>
        <w:tc>
          <w:tcPr>
            <w:tcW w:w="1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10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78,783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150,272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189,314</w:t>
            </w:r>
          </w:p>
        </w:tc>
      </w:tr>
      <w:tr>
        <w:trPr>
          <w:trHeight w:val="216"/>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r>
        <w:trPr>
          <w:trHeight w:val="20"/>
        </w:trPr>
        <w:tc>
          <w:tcPr>
            <w:tcW w:w="12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Rush Enterprises, Inc.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77,910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147,508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191,235</w:t>
            </w:r>
          </w:p>
        </w:tc>
      </w:tr>
      <w:tr>
        <w:trPr>
          <w:trHeight w:val="216"/>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Rush Enterprises, Inc.</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77,788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190,651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2"/>
                <w:szCs w:val="12"/>
                <w:color w:val="auto"/>
              </w:rPr>
            </w:pPr>
          </w:p>
        </w:tc>
        <w:tc>
          <w:tcPr>
            <w:tcW w:w="80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Rush</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$0.01</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Enterprises,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9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Treasury</w:t>
            </w: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Retained</w:t>
            </w:r>
          </w:p>
        </w:tc>
        <w:tc>
          <w:tcPr>
            <w:tcW w:w="260" w:type="dxa"/>
            <w:vAlign w:val="bottom"/>
          </w:tcPr>
          <w:p>
            <w:pPr>
              <w:spacing w:after="0"/>
              <w:rPr>
                <w:sz w:val="12"/>
                <w:szCs w:val="12"/>
                <w:color w:val="auto"/>
              </w:rPr>
            </w:pPr>
          </w:p>
        </w:tc>
        <w:tc>
          <w:tcPr>
            <w:tcW w:w="8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80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Noncontrolling</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Par</w:t>
            </w:r>
          </w:p>
        </w:tc>
        <w:tc>
          <w:tcPr>
            <w:tcW w:w="180" w:type="dxa"/>
            <w:vAlign w:val="bottom"/>
          </w:tcPr>
          <w:p>
            <w:pPr>
              <w:spacing w:after="0"/>
              <w:rPr>
                <w:sz w:val="14"/>
                <w:szCs w:val="14"/>
                <w:color w:val="auto"/>
              </w:rPr>
            </w:pPr>
          </w:p>
        </w:tc>
        <w:tc>
          <w:tcPr>
            <w:tcW w:w="7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1100" w:type="dxa"/>
            <w:vAlign w:val="bottom"/>
            <w:gridSpan w:val="2"/>
            <w:vMerge w:val="continue"/>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5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97"/>
              </w:rPr>
              <w:t>Class B</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Value</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Stock</w:t>
            </w:r>
          </w:p>
        </w:tc>
        <w:tc>
          <w:tcPr>
            <w:tcW w:w="9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1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2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20" w:type="dxa"/>
            <w:vAlign w:val="bottom"/>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61,461</w:t>
            </w:r>
          </w:p>
        </w:tc>
        <w:tc>
          <w:tcPr>
            <w:tcW w:w="6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16,364</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806</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542,046</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(119,835</w:t>
            </w: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1,450,025</w:t>
            </w:r>
          </w:p>
        </w:tc>
        <w:tc>
          <w:tcPr>
            <w:tcW w:w="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(2,163</w:t>
            </w: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1,870,879</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19,537</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1,890,416</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383</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5,997</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6,001</w:t>
            </w:r>
          </w:p>
        </w:tc>
        <w:tc>
          <w:tcPr>
            <w:tcW w:w="220" w:type="dxa"/>
            <w:vAlign w:val="bottom"/>
          </w:tcPr>
          <w:p>
            <w:pPr>
              <w:spacing w:after="0"/>
              <w:rPr>
                <w:sz w:val="10"/>
                <w:szCs w:val="10"/>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6,001</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14,090</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14,090</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14,090</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351</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(9,486)</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(9,482)</w:t>
            </w:r>
          </w:p>
        </w:tc>
        <w:tc>
          <w:tcPr>
            <w:tcW w:w="220" w:type="dxa"/>
            <w:vAlign w:val="bottom"/>
          </w:tcPr>
          <w:p>
            <w:pPr>
              <w:spacing w:after="0"/>
              <w:rPr>
                <w:sz w:val="10"/>
                <w:szCs w:val="10"/>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(9,482)</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97</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3,354</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3,355</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3.355</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(5,627)</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(5,627)</w:t>
            </w:r>
          </w:p>
        </w:tc>
        <w:tc>
          <w:tcPr>
            <w:tcW w:w="220" w:type="dxa"/>
            <w:vAlign w:val="bottom"/>
          </w:tcPr>
          <w:p>
            <w:pPr>
              <w:spacing w:after="0"/>
              <w:rPr>
                <w:sz w:val="12"/>
                <w:szCs w:val="12"/>
                <w:color w:val="auto"/>
              </w:rPr>
            </w:pPr>
          </w:p>
        </w:tc>
        <w:tc>
          <w:tcPr>
            <w:tcW w:w="8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(5,627)</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(10,467)</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(10,467)</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(10,467)</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(2,964)</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(2,964)</w:t>
            </w:r>
          </w:p>
        </w:tc>
        <w:tc>
          <w:tcPr>
            <w:tcW w:w="220" w:type="dxa"/>
            <w:vAlign w:val="bottom"/>
          </w:tcPr>
          <w:p>
            <w:pPr>
              <w:spacing w:after="0"/>
              <w:rPr>
                <w:sz w:val="10"/>
                <w:szCs w:val="10"/>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(2,964)</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(1,891)</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(1,891)</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71,608</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71,608</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71,489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920" w:type="dxa"/>
            <w:vAlign w:val="bottom"/>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61,813</w:t>
            </w:r>
          </w:p>
        </w:tc>
        <w:tc>
          <w:tcPr>
            <w:tcW w:w="6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16,715</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815</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556,001</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(125,462</w:t>
            </w: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1,508,202</w:t>
            </w:r>
          </w:p>
        </w:tc>
        <w:tc>
          <w:tcPr>
            <w:tcW w:w="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(4,054</w:t>
            </w: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1,935,502</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19,418</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1,954,920</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134</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2,098</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2,099</w:t>
            </w:r>
          </w:p>
        </w:tc>
        <w:tc>
          <w:tcPr>
            <w:tcW w:w="220" w:type="dxa"/>
            <w:vAlign w:val="bottom"/>
          </w:tcPr>
          <w:p>
            <w:pPr>
              <w:spacing w:after="0"/>
              <w:rPr>
                <w:sz w:val="10"/>
                <w:szCs w:val="10"/>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2,099</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5,515</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5,515</w:t>
            </w: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5,515</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0"/>
                <w:szCs w:val="10"/>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(3,953)</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(3,953)</w:t>
            </w:r>
          </w:p>
        </w:tc>
        <w:tc>
          <w:tcPr>
            <w:tcW w:w="220" w:type="dxa"/>
            <w:vAlign w:val="bottom"/>
          </w:tcPr>
          <w:p>
            <w:pPr>
              <w:spacing w:after="0"/>
              <w:rPr>
                <w:sz w:val="12"/>
                <w:szCs w:val="12"/>
                <w:color w:val="auto"/>
              </w:rPr>
            </w:pPr>
          </w:p>
        </w:tc>
        <w:tc>
          <w:tcPr>
            <w:tcW w:w="8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(3,953)</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(10,523)</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(10,523)</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(10,523)</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(3,024)</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(3,024)</w:t>
            </w:r>
          </w:p>
        </w:tc>
        <w:tc>
          <w:tcPr>
            <w:tcW w:w="220" w:type="dxa"/>
            <w:vAlign w:val="bottom"/>
          </w:tcPr>
          <w:p>
            <w:pPr>
              <w:spacing w:after="0"/>
              <w:rPr>
                <w:sz w:val="10"/>
                <w:szCs w:val="10"/>
                <w:color w:val="auto"/>
              </w:rPr>
            </w:pP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(3,024)</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(873)</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(873)</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78,661</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78,661</w:t>
            </w:r>
          </w:p>
        </w:tc>
        <w:tc>
          <w:tcPr>
            <w:tcW w:w="220" w:type="dxa"/>
            <w:vAlign w:val="bottom"/>
          </w:tcPr>
          <w:p>
            <w:pPr>
              <w:spacing w:after="0"/>
              <w:rPr>
                <w:sz w:val="12"/>
                <w:szCs w:val="12"/>
                <w:color w:val="auto"/>
              </w:rPr>
            </w:pPr>
          </w:p>
        </w:tc>
        <w:tc>
          <w:tcPr>
            <w:tcW w:w="8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78,783</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2024</w:t>
            </w:r>
          </w:p>
        </w:tc>
        <w:tc>
          <w:tcPr>
            <w:tcW w:w="920" w:type="dxa"/>
            <w:vAlign w:val="bottom"/>
            <w:tcBorders>
              <w:top w:val="single" w:sz="8" w:color="auto"/>
              <w:bottom w:val="single" w:sz="8" w:color="auto"/>
            </w:tcBorders>
            <w:shd w:val="clear" w:color="auto" w:fill="CCEEFF"/>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rPr>
              <w:t>61,869</w:t>
            </w:r>
          </w:p>
        </w:tc>
        <w:tc>
          <w:tcPr>
            <w:tcW w:w="660" w:type="dxa"/>
            <w:vAlign w:val="bottom"/>
            <w:tcBorders>
              <w:top w:val="single" w:sz="8" w:color="auto"/>
              <w:bottom w:val="single" w:sz="8" w:color="auto"/>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16,700</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816</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563,604</w:t>
            </w: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(129,415</w:t>
            </w: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1,573,316</w:t>
            </w:r>
          </w:p>
        </w:tc>
        <w:tc>
          <w:tcPr>
            <w:tcW w:w="26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(4,927</w:t>
            </w: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2,003,394</w:t>
            </w:r>
          </w:p>
        </w:tc>
        <w:tc>
          <w:tcPr>
            <w:tcW w:w="22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19,540</w:t>
            </w:r>
          </w:p>
        </w:tc>
        <w:tc>
          <w:tcPr>
            <w:tcW w:w="22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2,022,934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2"/>
                <w:szCs w:val="12"/>
                <w:color w:val="auto"/>
              </w:rPr>
            </w:pPr>
          </w:p>
        </w:tc>
        <w:tc>
          <w:tcPr>
            <w:tcW w:w="80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Rush</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$0.01</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Enterprises,</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9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Treasury</w:t>
            </w: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Retained</w:t>
            </w:r>
          </w:p>
        </w:tc>
        <w:tc>
          <w:tcPr>
            <w:tcW w:w="260" w:type="dxa"/>
            <w:vAlign w:val="bottom"/>
          </w:tcPr>
          <w:p>
            <w:pPr>
              <w:spacing w:after="0"/>
              <w:rPr>
                <w:sz w:val="12"/>
                <w:szCs w:val="12"/>
                <w:color w:val="auto"/>
              </w:rPr>
            </w:pPr>
          </w:p>
        </w:tc>
        <w:tc>
          <w:tcPr>
            <w:tcW w:w="8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80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Noncontrolling</w:t>
            </w: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4"/>
                <w:szCs w:val="14"/>
                <w:color w:val="auto"/>
              </w:rPr>
            </w:pP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Par</w:t>
            </w:r>
          </w:p>
        </w:tc>
        <w:tc>
          <w:tcPr>
            <w:tcW w:w="180" w:type="dxa"/>
            <w:vAlign w:val="bottom"/>
          </w:tcPr>
          <w:p>
            <w:pPr>
              <w:spacing w:after="0"/>
              <w:rPr>
                <w:sz w:val="14"/>
                <w:szCs w:val="14"/>
                <w:color w:val="auto"/>
              </w:rPr>
            </w:pPr>
          </w:p>
        </w:tc>
        <w:tc>
          <w:tcPr>
            <w:tcW w:w="7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1080" w:type="dxa"/>
            <w:vAlign w:val="bottom"/>
            <w:gridSpan w:val="2"/>
            <w:vMerge w:val="continue"/>
          </w:tcPr>
          <w:p>
            <w:pPr>
              <w:spacing w:after="0"/>
              <w:rPr>
                <w:sz w:val="14"/>
                <w:szCs w:val="14"/>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5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97"/>
              </w:rPr>
              <w:t>Class B</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Value</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Stock</w:t>
            </w:r>
          </w:p>
        </w:tc>
        <w:tc>
          <w:tcPr>
            <w:tcW w:w="9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1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2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20" w:type="dxa"/>
            <w:vAlign w:val="bottom"/>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63,518</w:t>
            </w:r>
          </w:p>
        </w:tc>
        <w:tc>
          <w:tcPr>
            <w:tcW w:w="6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18,125</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572</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500,642</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(130,930</w:t>
            </w: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1,378,337</w:t>
            </w:r>
          </w:p>
        </w:tc>
        <w:tc>
          <w:tcPr>
            <w:tcW w:w="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(4,130</w:t>
            </w: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1,744,491</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18,531</w:t>
            </w:r>
          </w:p>
        </w:tc>
        <w:tc>
          <w:tcPr>
            <w:tcW w:w="2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1,763,022</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228</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3,412</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3,414</w:t>
            </w:r>
          </w:p>
        </w:tc>
        <w:tc>
          <w:tcPr>
            <w:tcW w:w="22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3,414</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13,080</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13,080</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13,080</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422</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(6,964)</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(6,961)</w:t>
            </w:r>
          </w:p>
        </w:tc>
        <w:tc>
          <w:tcPr>
            <w:tcW w:w="22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(6,961)</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102</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2,828</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2,828</w:t>
            </w: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(25,280)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(25,280)</w:t>
            </w: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(25,280)</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(8,897)</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(8,897)</w:t>
            </w: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(8,897)</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(2,692)</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(2,692)</w:t>
            </w:r>
          </w:p>
        </w:tc>
        <w:tc>
          <w:tcPr>
            <w:tcW w:w="22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(2,692)</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232</w:t>
            </w: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90,455</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90,455</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90,790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2023</w:t>
            </w:r>
          </w:p>
        </w:tc>
        <w:tc>
          <w:tcPr>
            <w:tcW w:w="920" w:type="dxa"/>
            <w:vAlign w:val="bottom"/>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63,225</w:t>
            </w:r>
          </w:p>
        </w:tc>
        <w:tc>
          <w:tcPr>
            <w:tcW w:w="6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18,463</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577</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512,998</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(156,210</w:t>
            </w: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1,457,203</w:t>
            </w:r>
          </w:p>
        </w:tc>
        <w:tc>
          <w:tcPr>
            <w:tcW w:w="26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(3,898</w:t>
            </w: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1,810,670</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18,866</w:t>
            </w:r>
          </w:p>
        </w:tc>
        <w:tc>
          <w:tcPr>
            <w:tcW w:w="2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1,829,536</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237</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3,479</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3,480</w:t>
            </w:r>
          </w:p>
        </w:tc>
        <w:tc>
          <w:tcPr>
            <w:tcW w:w="22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3,480</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awards</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related to stock options,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shares and</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5,952</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5,952</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5,952</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(890)</w:t>
            </w: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(40,305)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(40,305)</w:t>
            </w: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(40,305)</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(8,812)</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(8,812)</w:t>
            </w: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(8,812)</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w:t>
            </w: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(2,725)</w:t>
            </w:r>
          </w:p>
        </w:tc>
        <w:tc>
          <w:tcPr>
            <w:tcW w:w="26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(2,725)</w:t>
            </w:r>
          </w:p>
        </w:tc>
        <w:tc>
          <w:tcPr>
            <w:tcW w:w="22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(2,725)</w:t>
            </w:r>
          </w:p>
        </w:tc>
        <w:tc>
          <w:tcPr>
            <w:tcW w:w="0" w:type="dxa"/>
            <w:vAlign w:val="bottom"/>
          </w:tcPr>
          <w:p>
            <w:pPr>
              <w:spacing w:after="0"/>
              <w:rPr>
                <w:sz w:val="1"/>
                <w:szCs w:val="1"/>
                <w:color w:val="auto"/>
              </w:rPr>
            </w:pPr>
          </w:p>
        </w:tc>
      </w:tr>
      <w:tr>
        <w:trPr>
          <w:trHeight w:val="171"/>
        </w:trPr>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w:t>
            </w:r>
          </w:p>
        </w:tc>
        <w:tc>
          <w:tcPr>
            <w:tcW w:w="9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2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1,689</w:t>
            </w:r>
          </w:p>
        </w:tc>
        <w:tc>
          <w:tcPr>
            <w:tcW w:w="2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1,689</w:t>
            </w: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1,689</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9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98,275</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98,275</w:t>
            </w:r>
          </w:p>
        </w:tc>
        <w:tc>
          <w:tcPr>
            <w:tcW w:w="22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2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98,524</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2023</w:t>
            </w:r>
          </w:p>
        </w:tc>
        <w:tc>
          <w:tcPr>
            <w:tcW w:w="920" w:type="dxa"/>
            <w:vAlign w:val="bottom"/>
            <w:tcBorders>
              <w:top w:val="single" w:sz="8" w:color="auto"/>
              <w:bottom w:val="single" w:sz="8" w:color="auto"/>
            </w:tcBorders>
            <w:shd w:val="clear" w:color="auto" w:fill="CCEEFF"/>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rPr>
              <w:t>62,572</w:t>
            </w:r>
          </w:p>
        </w:tc>
        <w:tc>
          <w:tcPr>
            <w:tcW w:w="660" w:type="dxa"/>
            <w:vAlign w:val="bottom"/>
            <w:tcBorders>
              <w:top w:val="single" w:sz="8" w:color="auto"/>
              <w:bottom w:val="single" w:sz="8" w:color="auto"/>
            </w:tcBorders>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18,269</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578</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522,375</w:t>
            </w: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(196,515</w:t>
            </w: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1,543,941</w:t>
            </w:r>
          </w:p>
        </w:tc>
        <w:tc>
          <w:tcPr>
            <w:tcW w:w="26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(2,209</w:t>
            </w: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1,868,170</w:t>
            </w:r>
          </w:p>
        </w:tc>
        <w:tc>
          <w:tcPr>
            <w:tcW w:w="22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19,115</w:t>
            </w:r>
          </w:p>
        </w:tc>
        <w:tc>
          <w:tcPr>
            <w:tcW w:w="24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1,887,285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380" w:type="dxa"/>
            <w:vAlign w:val="bottom"/>
            <w:gridSpan w:val="4"/>
          </w:tcPr>
          <w:p>
            <w:pPr>
              <w:jc w:val="center"/>
              <w:ind w:right="380"/>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CASH FLOWS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150,272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189,314</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114,318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108,557</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property and equipment,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 related to employee equity awards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19,032</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2,854</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accounts and notes receivable,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(15,911)</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(174,353)</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(5,057)</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12,813</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(14,868)</w:t>
            </w: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(7,354)</w:t>
            </w: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r>
      <w:tr>
        <w:trPr>
          <w:trHeight w:val="209"/>
        </w:trPr>
        <w:tc>
          <w:tcPr>
            <w:tcW w:w="8000" w:type="dxa"/>
            <w:vAlign w:val="bottom"/>
            <w:tcBorders>
              <w:bottom w:val="single" w:sz="8" w:color="CCEEFF"/>
            </w:tcBorders>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(172,522)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(186,000)</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(4,088)</w:t>
            </w:r>
          </w:p>
        </w:tc>
      </w:tr>
      <w:tr>
        <w:trPr>
          <w:trHeight w:val="20"/>
        </w:trPr>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(188,946)</w:t>
            </w:r>
          </w:p>
        </w:tc>
      </w:tr>
      <w:tr>
        <w:trPr>
          <w:trHeight w:val="210"/>
        </w:trPr>
        <w:tc>
          <w:tcPr>
            <w:tcW w:w="800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Draws on floor plan notes payable – non-trade,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88,404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191,002</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1,184,870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653,445</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(1,200,797)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(684,803)</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(9,341)</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relating to equity awards and employee stock purchases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9,724</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(7,017)</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(23,449)</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(63,857)</w:t>
            </w:r>
          </w:p>
        </w:tc>
      </w:tr>
      <w:tr>
        <w:trPr>
          <w:trHeight w:val="210"/>
        </w:trPr>
        <w:tc>
          <w:tcPr>
            <w:tcW w:w="8000" w:type="dxa"/>
            <w:vAlign w:val="bottom"/>
            <w:tcBorders>
              <w:bottom w:val="single" w:sz="8" w:color="CCEEFF"/>
            </w:tcBorders>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(9,226)</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201,044</w:t>
            </w:r>
          </w:p>
        </w:tc>
        <w:tc>
          <w:tcPr>
            <w:tcW w:w="100" w:type="dxa"/>
            <w:vAlign w:val="bottom"/>
          </w:tcPr>
          <w:p>
            <w:pPr>
              <w:spacing w:after="0"/>
              <w:rPr>
                <w:sz w:val="18"/>
                <w:szCs w:val="18"/>
                <w:color w:val="auto"/>
              </w:rPr>
            </w:pPr>
          </w:p>
        </w:tc>
      </w:tr>
      <w:tr>
        <w:trPr>
          <w:trHeight w:val="25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167,266</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191,897</w:t>
            </w:r>
          </w:p>
        </w:tc>
      </w:tr>
      <w:tr>
        <w:trPr>
          <w:trHeight w:val="197"/>
        </w:trPr>
        <w:tc>
          <w:tcPr>
            <w:tcW w:w="8000" w:type="dxa"/>
            <w:vAlign w:val="bottom"/>
            <w:tcBorders>
              <w:top w:val="single" w:sz="8" w:color="CCEEFF"/>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40,235</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25,033</w:t>
            </w: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37,151</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46,502</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Noncash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19,448</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29,401</w:t>
            </w:r>
          </w:p>
        </w:tc>
      </w:tr>
    </w:tbl>
    <w:p>
      <w:pPr>
        <w:spacing w:after="0" w:line="19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2023. Results of operations for interim periods are not necessarily indicative of results that may be expected for any other interim periods 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May 16, 2023, the Company’s shareholders approved the Certificate of Amendment to the Restated Articles of Incorporation of the Company to increase the number of authorized shares of Class A Common Stock from 60,000,000 to 105,000,000 and Class B Common Stock from 20,000,000 to 35,000,000.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Split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25, 2023, the Company’s Board of Directors declared a three-for-two stock split with respect to both the Company’s Class A and Class B common stock. The stock split was effected in the form of a stock dividend paid on August 28, 2023, to shareholders of record as of August 7, 2023. Holders of the Company’s common stock received an additional one-half share for each share of common stock held as of the record date. All share and per share data in this Form 10-Q have been adjusted to reflect the stock split as if it occurred on the first day of the earliest period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June 30, 2024,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78,661</w:t>
            </w:r>
          </w:p>
        </w:tc>
        <w:tc>
          <w:tcPr>
            <w:tcW w:w="260" w:type="dxa"/>
            <w:vAlign w:val="bottom"/>
          </w:tcPr>
          <w:p>
            <w:pPr>
              <w:spacing w:after="0"/>
              <w:rPr>
                <w:sz w:val="17"/>
                <w:szCs w:val="17"/>
                <w:color w:val="auto"/>
              </w:rPr>
            </w:pP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98,275</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150,269</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188,730</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shareholders</w:t>
            </w: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81,690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78,706</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81,926</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Effect of dilutive securities– Employee stock options and restricted stock</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2,466</w:t>
            </w:r>
          </w:p>
        </w:tc>
        <w:tc>
          <w:tcPr>
            <w:tcW w:w="2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2,761</w:t>
            </w:r>
          </w:p>
        </w:tc>
        <w:tc>
          <w:tcPr>
            <w:tcW w:w="2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8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84,156</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81,467</w:t>
            </w:r>
          </w:p>
        </w:tc>
        <w:tc>
          <w:tcPr>
            <w:tcW w:w="280" w:type="dxa"/>
            <w:vAlign w:val="bottom"/>
          </w:tcPr>
          <w:p>
            <w:pPr>
              <w:spacing w:after="0"/>
              <w:rPr>
                <w:sz w:val="16"/>
                <w:szCs w:val="16"/>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84,501</w:t>
            </w:r>
          </w:p>
        </w:tc>
        <w:tc>
          <w:tcPr>
            <w:tcW w:w="0" w:type="dxa"/>
            <w:vAlign w:val="bottom"/>
          </w:tcPr>
          <w:p>
            <w:pPr>
              <w:spacing w:after="0"/>
              <w:rPr>
                <w:sz w:val="1"/>
                <w:szCs w:val="1"/>
                <w:color w:val="auto"/>
              </w:rPr>
            </w:pPr>
          </w:p>
        </w:tc>
      </w:tr>
      <w:tr>
        <w:trPr>
          <w:trHeight w:val="194"/>
        </w:trPr>
        <w:tc>
          <w:tcPr>
            <w:tcW w:w="598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shares outstanding and assumed conversions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26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and six months ended June 30, 2024, and 2023,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2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June 30,</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June 30,</w:t>
            </w:r>
          </w:p>
        </w:tc>
      </w:tr>
      <w:tr>
        <w:trPr>
          <w:trHeight w:val="209"/>
        </w:trPr>
        <w:tc>
          <w:tcPr>
            <w:tcW w:w="5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r>
      <w:tr>
        <w:trPr>
          <w:trHeight w:val="210"/>
        </w:trPr>
        <w:tc>
          <w:tcPr>
            <w:tcW w:w="6020" w:type="dxa"/>
            <w:vAlign w:val="bottom"/>
            <w:gridSpan w:val="3"/>
            <w:shd w:val="clear" w:color="auto" w:fill="CCEEFF"/>
          </w:tcPr>
          <w:p>
            <w:pPr>
              <w:jc w:val="right"/>
              <w:ind w:right="2730"/>
              <w:spacing w:after="0"/>
              <w:rPr>
                <w:sz w:val="20"/>
                <w:szCs w:val="20"/>
                <w:color w:val="auto"/>
              </w:rPr>
            </w:pPr>
            <w:r>
              <w:rPr>
                <w:rFonts w:ascii="Times New Roman" w:cs="Times New Roman" w:eastAsia="Times New Roman" w:hAnsi="Times New Roman"/>
                <w:sz w:val="18"/>
                <w:szCs w:val="18"/>
                <w:color w:val="auto"/>
                <w:w w:val="98"/>
              </w:rPr>
              <w:t>Weighted average anti-dilutive stock options</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1,700</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Accounting Standards Codification (“ASC”) 718-10,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which requires the measurement and recognition of compensation expense for all share-based payment awards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employees and directors, including employee stock options, restricted stock awards and employee stock purchases related to the Employee Stock Purchase Plan, based on estimated fair values.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calculated using the Black-Scholes option-pricing model for employee stock options and included in selling, general and administrative expense, was $5.5 million for the three months ended June 30, 2024, and $6.0 million for the three months ended June 30, 2023. Stock-based compensation expense, included in selling, general and administrative expense, was $19.6 million for the six months ended June 30, 2024, and was $19.0 million for the six months ended June 30, 2023.</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$15.9 million of unrecognized compensation cost related to non-vested employee stock options to be recognized over a weighted-average period of 2.5 years and $20.0 million of unrecognized compensation cost related to non-vested restricted stock awards to be recognized over a weighted-average period of 1.5 years.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June 30, 2024, and December 31, 2023. The carrying value of current assets and current liabilities approximates the fair value due to the short maturity of these items.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variable interest rates,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network of commercial vehicle dealerships throughout the United States and Ontario, Canada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its performance based on income before income taxes, not including extraordinary items.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revenues, segment income or loss from continuing operations and segment assets for the periods ended June 30, 2024 and 2023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Truck</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Segment</w:t>
            </w:r>
          </w:p>
        </w:tc>
        <w:tc>
          <w:tcPr>
            <w:tcW w:w="260" w:type="dxa"/>
            <w:vAlign w:val="bottom"/>
          </w:tcPr>
          <w:p>
            <w:pPr>
              <w:spacing w:after="0"/>
              <w:rPr>
                <w:sz w:val="20"/>
                <w:szCs w:val="20"/>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June 30, 2024</w:t>
            </w:r>
          </w:p>
        </w:tc>
        <w:tc>
          <w:tcPr>
            <w:tcW w:w="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2,022,756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4,272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2,027,028</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124,553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124,481</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105,133</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105,061</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4,446,418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60,108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4,506,526</w:t>
            </w:r>
          </w:p>
        </w:tc>
      </w:tr>
      <w:tr>
        <w:trPr>
          <w:trHeight w:val="216"/>
        </w:trPr>
        <w:tc>
          <w:tcPr>
            <w:tcW w:w="4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2024</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3,890,803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8,224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3,899,027</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235,340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235,091</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198,124</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197,875</w:t>
            </w:r>
          </w:p>
        </w:tc>
      </w:tr>
      <w:tr>
        <w:trPr>
          <w:trHeight w:val="216"/>
        </w:trPr>
        <w:tc>
          <w:tcPr>
            <w:tcW w:w="4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June 30, 2023</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1,999,028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2,003,052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142,869</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142,859</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130,535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4,070,544</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55,777</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4,126,321</w:t>
            </w:r>
          </w:p>
        </w:tc>
      </w:tr>
      <w:tr>
        <w:trPr>
          <w:trHeight w:val="216"/>
        </w:trPr>
        <w:tc>
          <w:tcPr>
            <w:tcW w:w="4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six months ended June 30, 2023</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3,906,969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3,914,819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270,432</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270,635</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249,462</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249,665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$6.7 million and $5.3 million as a component of accrued liabilities as of June 30, 2024 and December 31, 2023,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$389,000 accrued for the payment of interest as of June 30, 2024 and December 31, 2023. No amounts were accrued for penalties.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June 30, 2024, the tax years ended December 31, 2020 through 2023 remained subject to audit by federal tax authorities, and the tax years ended December 31, 2019 through 2023, remained subject to audit by state tax authorities.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non-lease and rental revenues are primarily generated from the sale of finished products to customers. Those sales predominantly contain a single delivery element and revenues from such sales are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excluding lease and rental revenue, for the three months and six months ended June 30, 2024 and 2023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10"/>
        </w:trPr>
        <w:tc>
          <w:tcPr>
            <w:tcW w:w="4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June 30, 2024</w:t>
            </w: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June 30, 2024</w:t>
            </w: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1,300,308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1,250,794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2,423,627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2,412,519</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revenue</w:t>
            </w: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365,032</w:t>
            </w: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738,458</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764,898</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262,399</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538,169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534,458</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revenue</w:t>
            </w: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2,387</w:t>
            </w: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revenue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6,260</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5,706</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tcPr>
          <w:p>
            <w:pPr>
              <w:spacing w:after="0"/>
              <w:rPr>
                <w:sz w:val="18"/>
                <w:szCs w:val="18"/>
                <w:color w:val="auto"/>
              </w:rPr>
            </w:pPr>
          </w:p>
        </w:tc>
      </w:tr>
      <w:tr>
        <w:trPr>
          <w:trHeight w:val="22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1,939,382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1,914,503</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3,723,460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3,739,604</w:t>
            </w: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and associated revenues are generally transferred to customers at a point in time. The Company did not have any material contract assets or contract liabilities on the balance sheet as of June 30, 2024. Revenues related to commercial vehicle sales, parts sales, commercial vehicle repair service, finance and the majority of other revenues are related to the Truck Segment.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leases commercial vehicles that the Company owns to customers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Lease and rental income during the three and six months ended June 30, 2024 and June 30, 2023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Six Months Ended</w:t>
            </w: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2024</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rental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76,431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153,229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151,591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Nonlease payments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88,549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175,567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175,215</w:t>
            </w:r>
          </w:p>
        </w:tc>
        <w:tc>
          <w:tcPr>
            <w:tcW w:w="480" w:type="dxa"/>
            <w:vAlign w:val="bottom"/>
          </w:tcPr>
          <w:p>
            <w:pPr>
              <w:spacing w:after="0"/>
              <w:rPr>
                <w:sz w:val="21"/>
                <w:szCs w:val="21"/>
                <w:color w:val="auto"/>
              </w:rPr>
            </w:pPr>
          </w:p>
        </w:tc>
      </w:tr>
      <w:tr>
        <w:trPr>
          <w:trHeight w:val="412"/>
        </w:trPr>
        <w:tc>
          <w:tcPr>
            <w:tcW w:w="660" w:type="dxa"/>
            <w:vAlign w:val="bottom"/>
          </w:tcPr>
          <w:p>
            <w:pPr>
              <w:spacing w:after="0"/>
              <w:rPr>
                <w:sz w:val="24"/>
                <w:szCs w:val="24"/>
                <w:color w:val="auto"/>
              </w:rPr>
            </w:pPr>
          </w:p>
        </w:tc>
        <w:tc>
          <w:tcPr>
            <w:tcW w:w="4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income (loss)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(1,891)</w:t>
            </w:r>
          </w:p>
        </w:tc>
      </w:tr>
      <w:tr>
        <w:trPr>
          <w:trHeight w:val="20"/>
        </w:trPr>
        <w:tc>
          <w:tcPr>
            <w:tcW w:w="7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r>
      <w:tr>
        <w:trPr>
          <w:trHeight w:val="20"/>
        </w:trPr>
        <w:tc>
          <w:tcPr>
            <w:tcW w:w="7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(4,927)</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RTC Canada, is its local currency. Results of operations of RTC Canada are translated into USD using the monthly average exchange rates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establishes an allowance for credit losses to present the net amount of accounts receivable expected to be collected. Under Accounting Standards Update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the Company is required to remeasure expected credit losses for financial instruments held on the reporting date based on historical experience, current conditions and reasonable forecasts.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Write offs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Provision for</w:t>
            </w:r>
          </w:p>
        </w:tc>
        <w:tc>
          <w:tcPr>
            <w:tcW w:w="16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Against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Balance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the Six</w:t>
            </w: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Allowance,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Months Ended</w:t>
            </w: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net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Balance</w:t>
            </w:r>
          </w:p>
        </w:tc>
      </w:tr>
      <w:tr>
        <w:trPr>
          <w:trHeight w:val="234"/>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June 30, 2024</w:t>
            </w:r>
          </w:p>
        </w:tc>
        <w:tc>
          <w:tcPr>
            <w:tcW w:w="16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Recoveries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June 30, 2024</w:t>
            </w:r>
          </w:p>
        </w:tc>
      </w:tr>
      <w:tr>
        <w:trPr>
          <w:trHeight w:val="210"/>
        </w:trPr>
        <w:tc>
          <w:tcPr>
            <w:tcW w:w="4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1,447</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w:t>
            </w:r>
          </w:p>
        </w:tc>
      </w:tr>
      <w:tr>
        <w:trPr>
          <w:trHeight w:val="20"/>
        </w:trPr>
        <w:tc>
          <w:tcPr>
            <w:tcW w:w="48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acquisitions, unless otherwise noted, were considered business combinations accounted for under ASC 805 “Business Combinations.” Pro forma information was not included in accordance with ASC 805 because the acquisitions were not considered material.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4, 2023, the Company acquired certain assets of Freeway Ford Truck Sales, Inc., which included real estate and a Ford commercial vehicle franchise in Chicago, Illinois, along with commercial vehicle and parts inventory. The transaction was valued at approximately $16.3 million, with the purchase price paid in cash.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15, 2024, the Company acquired certain assets of Nebraska Peterbilt, which included real estate and a Peterbilt commercial vehicle franchise in Grand Island and North Platte, Nebraska, along with commercial vehicle and parts inventory. The transaction was valued at approximately $16.5 million, with the purchase price paid in cash.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behalf from time to time in other reports,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Use of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words or phrases of similar import, as they relate to the Company or its subsidiaries or Company management,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the year ended December 31, 2023,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Leasing Corporation. Navistar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International, Inc. International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Navistar, Inc. Idealease is a registered trademark of Idealease, Inc. aka Idealease of North America, Inc. Blue Bird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IC Bus, LLC. Hino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Isuzu Motors Limited. 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Dennis Eagle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Dennis Eagle Limited. Cummins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Dennis Eagle,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15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A.C.T. Research Co., LLC (“A.C.T. Research”), a commercial vehicle industry data and forecasting service provider, currently forecasts new U.S. Class 8 retail truck sales to be 228,700 units in 2024, which would represent a 15.8% decrease compared to 2023. As anticipated, we experienced healthy sales growth in the second quarter, compared to the first quarter, due primarily to the timing of deliveries to certain large customers and continued strong demand from vocational fleets. We expect vocational sales to remain strong in the third quarter. However, we also expect that new U.S. Class 8 retail truck sales in the second half of 2024 will be less than in the first half of the year. We expect our U.S. market share of new Class 8 truck sales to range between 5.7% and 6.1% in 2024. This market share percentage would result in the sale of approximately 13,000 to 14,000 new Class 8 trucks in 2024. Additionally, we expect to sell approximately 450 new Class 8 trucks in Canada in 2024.</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new U.S. Class 4 through 7 retail commercial vehicle sales, A.C.T. Research currently forecasts sales to be 262,000 units in 2024, which would represent a 3.7% increase compared to 2023. As we look forward, production continues to increase and delivery lead times have improved. However, we continue to monitor delays at body manufacturers that could impact deliveries to customers. Currently, we believe Class 4 through 7 commercial vehicle sales in third quarter will be consistent with our second quarter results. We expect our U.S. market share of new Class 4 through 7 commercial vehicle sales to range between 4.9% and 5.3% in 2024. This market share percentage would result in the sale of approximately 13,000 to 14,000 new Class 4 through 7 commercial vehicles in 2024. Additionally, we expect to sell approximately 500 new Class 5 through 7 commercial vehicles in Canada in 2024.</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sell approximately 1,800 to 2,000 light-duty vehicles and approximately 6,500 to 7,500 used commercial vehicles in 2024. In addition, we expect lease and rental revenues to remain flat during 2024.</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our parts, service, and collision center (collectively referred to herein as “Aftermarket Products and Services”) operations, we expect that the sluggish freight market and persistent high interest rates will continue to negatively impact our over-the-road customers, including both small carriers and larger fleets. Despite the challenging operating environment that is impacting the industry, we believe that the strategic decisions we made several years ago to diversify our customer base and focus on supporting large national fleets, along with the operating expense reduction measures we undertook at the beginning of the second quarter, will allow us to successfully navigate this difficult market cycle. We also believe that our Aftermarket Products and Services revenues will remain flat to slightly down in 2024, compared to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the three months and six months periods ended June 30, 2024 and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10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 sales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79.9</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r>
      <w:tr>
        <w:trPr>
          <w:trHeight w:val="20"/>
        </w:trPr>
        <w:tc>
          <w:tcPr>
            <w:tcW w:w="5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59.9</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 sales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r>
      <w:tr>
        <w:trPr>
          <w:trHeight w:val="426"/>
        </w:trPr>
        <w:tc>
          <w:tcPr>
            <w:tcW w:w="340" w:type="dxa"/>
            <w:vAlign w:val="bottom"/>
          </w:tcPr>
          <w:p>
            <w:pPr>
              <w:spacing w:after="0"/>
              <w:rPr>
                <w:sz w:val="24"/>
                <w:szCs w:val="24"/>
                <w:color w:val="auto"/>
              </w:rPr>
            </w:pPr>
          </w:p>
        </w:tc>
        <w:tc>
          <w:tcPr>
            <w:tcW w:w="5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5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revenues for new heavy-duty, new medium-duty, new light-duty and used commercial vehicles and the absorption ratio (revenues in millions):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7"/>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38"/>
        </w:trPr>
        <w:tc>
          <w:tcPr>
            <w:tcW w:w="3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4,300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8,665</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3,477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6,513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8,229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16,134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773.9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1,510.6</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619.7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1,133.6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2,185.2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Other vehicle revenue</w:t>
            </w:r>
            <w:r>
              <w:rPr>
                <w:rFonts w:ascii="Times New Roman" w:cs="Times New Roman" w:eastAsia="Times New Roman" w:hAnsi="Times New Roman"/>
                <w:sz w:val="23"/>
                <w:szCs w:val="23"/>
                <w:color w:val="auto"/>
                <w:vertAlign w:val="superscript"/>
              </w:rPr>
              <w:t>(1)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134.0% absorption ratio for the second quarter of 2024 and a 139.7% absorption ratio for the second quarter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revenues increased $24.0 million, or 1.2%, in the second quarter of 2024, compared to the second quarter of 2023. This increase was primarily due to strong truck sales during the quarter.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Aftermarket Products and Services revenues decreased $23.7 million, or 3.6%, in the second quarter of 2024, compared to the second quarter of 2023. The decrease in Aftermarket Parts and Services revenues was primarily a result of weaker demand caused by the ongoing freight recession and high interest rates impacting our over-the-road customers.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sales of new and used commercial vehicles increased $49.5 million, or 4.0%, in the second quarter of 2024, compared to the second quarter of 2023. This increase was primarily due to the timing of deliveries to certain large fleet customers and continued strong demand from vocational fleets.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4,128 new Class 8 trucks in the second quarter of 2024, a 4.0% decrease compared to 4,300 new Class 8 trucks in the second quarter of 2023. The decrease in new Class 8 truck sales was primarily due to new truck production having caught up to the prior pent-up market demand.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3,691 new Class 4 through 7 commercial vehicles, including 343 buses, in the second quarter of 2024, a 6.2% increase compared to 3,477 new medium-duty commercial vehicles, including 462 buses, in the second quarter of 2023. The increase in new Class 4 through 7 commercial vehicle sales was primarily a result of strong demand and increased production of commercial vehicles from the manufacturers we represent.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sold 537 light-duty vehicles in the second quarter of 2024, an 18.8% increase compared to 452 light-duty vehicles sold in the second quarter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1,723 used commercial vehicles in the second quarter of 2024, a 7.8% decrease compared to 1,869 used commercial vehicles sold in the second quarter of 2023. We experienced a decline in used commercial vehicle sales year-over-year due to low freight rates, more readily available new truck alternatives and elevated interest rates.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 vehicle lease and rental revenues decreased $0.9 million, or 1.0%, in the second quarter of 2024, compared to the second quarter of 2023. This decrease in commercial vehicle lease and rental revenues was primarily a result of decreased rental vehicle utilization.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Finance and insurance revenues decreased $0.3 million, or 4.1%, in the second quarter of 2024, compared to the second quarter of 2023. This decrease is primarily due to the mix of purchasers of commercial vehicles. During the second quarter of 2024, most of our sales were to larger fleets, which usually arrange their own financing. We are more likely to provide financing to owner-operators and smaller fleets, which comprised a smaller percentage of commercial vehicle sales during the second quarter of 2024. Finance and insurance revenues have limited direct costs and, therefore, contribute a disproportionate share of our operating profits.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decreased $21.5 million, or 5.2%, in the second quarter of 2024, compared to the second quarter of 2023. Gross profit as a percentage of sales decreased to 19.4% in the second quarter of 2024, from 20.7% in the second quarter of 2023. This decrease in gross profit as a percentage of sales is a result of a change in our product sales mix. Commercial vehicle sales, a lower margin revenue item, increased as a percentage of total revenues to 64.1% in the second quarter of 2024, from 62.4% in the second quarter of 2023. Aftermarket Products and Services revenues, a higher margin revenue item, decreased as a percentage of total revenues to 31.0% in the second quarter of 2024, from 32.5% in the second quarter of 2023.</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decreased to 37.5% in the second quarter of 2024, from 38.1% in the second quarter of 2023. Gross profit from our Aftermarket Products and Services operations decreased to $235.3 million in the second quarter of 2024, from $247.8 million in the second quarter of 2023. This decrease is primarily related to decreased demand resulting from the current freight recession and high interest rates. Historically, gross margins on parts sales range from 28% to 30% and gross margins on service and collision center operations range from 66% to 68%. Gross profits from parts sales represented 58.4% of total gross profit from Aftermarket Products and Services operations in the second quarter of 2024 and 60.5% in the second quarter of 2023. Service and collision center operations represented 38.8% of total gross profit from Aftermarket Products and Services operations in the second quarter of 2024 and 39.5% in the second quarter of 2023. We expect blended gross margins on Aftermarket Products and Services operations to range from 36.0% to 38.0% in 2024.</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8 truck sales decreased to 8.6% in the second quarter of 2024, from 10.3% in the second quarter of 2023. This decrease was primarily due to weak demand and elevated new truck inventory valuation reserves. In 2024, we expect overall gross margins from new heavy-duty truck sales of approximately 8.5% to 9.5%.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19.2% in the second quarter of 2024, from 11.8% in the second quarter of 2023. This increase was primarily due to the successful execution of our used truck inventory and sales strategy. We expect margins on used commercial vehicles to range between 15.0% and 20.0% in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Margins from truck lease and rental sales decreased to 28.5% in the second quarter of 2024 from 30.5% in the second quarter of 2023. This decrease was primarily related to lower rental utilization. We expect gross margins from lease and rental sales of approximately 28.0% to 30.0% during 2024. Our policy is to depreciate our lease and rental fleet using a straight-line method over each customer’s contractual lease term. The lease unit is depreciated to a residual value that approximates fair value at the expiration of the lease term.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Margins from truck lease and rental sales decreased to 28.5% in the second quarter of 2024 from 30.5% in the second quarter of 2023. This decrease was primarily related to lower rental utilization. We expect gross margins from lease and rental sales of approximately 28.0% to 30.0% during 2024. We expect rental utilization to increase slightly in the third quarter and will be in line with historical utilization rates. As the age of our leasing and rental fleet continues to decrease with new vehicle production increasing, we expect our operating costs to continue to moderate. Our policy is to depreciate our lease and rental fleet using a straight-line method over each customer’s contractual lease term. The lease unit is depreciated to a residual value that approximates fair value at the expiration of the lease term.</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revenues,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$5.3 million, or 2.1%, in the second quarter of 2024, compared to the second quarter of 2023. This decrease primarily resulted from reductions to our operating expenses. SG&amp;A expenses as a percentage of total revenues decreased to 12.4% in the second quarter of 2024, from 12.8% in the second quarter of 2023.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2024, we expect SG&amp;A expenses as a percentage of total revenues to range from 12.0% to 14.0%. For 2024, we expect the selling portion of SG&amp;A expenses to be approximately 25.0% to 30.0% of new and used commercial vehicle gross profit.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845"/>
        <w:spacing w:after="0" w:line="258" w:lineRule="auto"/>
        <w:rPr>
          <w:sz w:val="20"/>
          <w:szCs w:val="20"/>
          <w:color w:val="auto"/>
        </w:rPr>
      </w:pPr>
      <w:r>
        <w:rPr>
          <w:rFonts w:ascii="Times New Roman" w:cs="Times New Roman" w:eastAsia="Times New Roman" w:hAnsi="Times New Roman"/>
          <w:sz w:val="18"/>
          <w:szCs w:val="18"/>
          <w:color w:val="auto"/>
        </w:rPr>
        <w:t>Net interest expense increased $7.2 million, or 59.1%, in the second quarter of 2024, compared to the second quarter of 2023. This increase in interest expense is a result of an increase in our vehicle inventory levels and elevated interest rates on our variable rate debt compared to the second quarter of 2023. We expect net interest expense in 2024, compared to 2023, to increase due to increased borrowings and interest related to our working capital lines of credit and floor plan debt, but the amount of the increase will depend on inventory levels, interest rate fluctuations and the amount of cash available to make prepayments on our floor plan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before income taxes decreased $25.5 million, or 19.5%, in the second quarter of 2024, compared to the second quarter of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taxes decreased $5.7 million, or 17.9%, in the second quarter of 2024, compared to the second quarter of 2023. We provided for taxes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effective rate in the second quarter of 2024 and 24.5% in the second quarter of 2023. We expect our effective tax rate to be approximately 24.0%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of pretax income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below, our variance explanations and future expectations with regards to the items discussed in this section are set forth in the discussion of the “Three Months Ended June 30, 2024, Compared to Three Months Ended June 30,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decreased $15.8 million, or 0.4%, in the first six months of 2024, compared to the first six months of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of new and used commercial vehicles increased $11.1 million, or 0.5%, in the first six months of 2024, compared to the first six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Aftermarket Products and Services revenues decreased $22.7 million, or 1.7%, in the first six months of 2024, compared to the first six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7,391 new Class 8 heavy-duty trucks in the first six months of 2024 in the United States, an 11.7% decrease compared to 8,368 new Class 8 heavy-duty trucks in the first six months of 2023. According to A.C.T. Research, retail sales in the U.S. Class 8 truck market decreased 16.0% in the first six months of 2024, compared to the first six months of 2023. We sold 231 new Class 8 heavy-duty trucks in the first six months of 2024 in Canada, a 22.2% decrease compared to 297 new Class 8 heavy-duty trucks in the first six months of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6,829 new Class 4 through 7 medium-duty commercial vehicles, including 734 buses, in the United States in the first six months of 2024. This represented a 4.9% increase compared to 6,513 new Class 4 through 7 medium-duty commercial vehicles, including 805 buses, in the first six months of 2023. A.C.T. Research estimates that unit sales of new Class 4 through 7 commercial vehicles in the U.S. increased approximately 1.4% in the first six months of 2024, compared to the first six months of 2023. We sold 193 new Class 5 through 7 medium-duty commercial vehicles in the first six months of 2024 in Canada, a 6.6% increase compared to 181 new Class 5 through 7 medium-duty commercial vehicles in the first six months of 2023.</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993 new light-duty vehicles in the first six months of 2024, a 3.9% increase compared to 956 new light-duty vehicles sold in the first six months of 2023.</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sold 3,541 used commercial vehicles in the first six months of 2024, a 0.3% decrease compared to 3,553 used commercial vehicles in the first six months of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Truck lease and rental revenues increased $0.4 million, or 0.2%, in the first six months of 2024, compared to the first six months of 2023.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and insurance revenues decreased $1.4 million, or 11.2%, in the first six months of 2024, compared to the first six months of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decreased $30.4 million, or 3.7%, in the first six months of 2024, compared to the first six months of 2023. Gross profit as a percentage of sales was 20.1% in the first six months of 2024 and 20.8% in the first six months of 2023.</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Aftermarket Products and Services operations decreased to 37.0% in the first six months of 2024, from 38.0% in the first six months of 2023. Gross profit for Aftermarket Products and Services was $472.2 million in the first six months of 2024, compared to $493.9 million in the first six months of 2023. Gross profit from parts sales represented 58.1% of the total gross profit for Aftermarket Products and Services operations in the first six months of 2024 and 61.0% in the first six months of 2023. Service and collision center operations represented 41.9% of the total gross profit for Aftermarket Products and Services operations in the first six months of 2024 and 39.0% in the first six months of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new Class 8 heavy-duty truck sales decreased to 9.1% in the first six months of 2024, from 10.1% in the first six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4 through 7 medium-duty commercial vehicle sales remained flat at 8.8% in the first six months of 2024, compared to the first six months of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used commercial vehicle sales increased to 20.5% in the first six months of 2024, from 10.5% in the first six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from truck lease and rental sales decreased to 28.0% in the first six months of 2024, from 30.4% in the first six months of 2023.</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SG&amp;A expenses increased $1.5 million, or 0.3%, in the first six months of 2024, compared to the first six months of 2023. SG&amp;A expenses equaled 13.2% of total revenue in the first six months of 2024, compared to 13.1% in the first six months of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expense increased $14.2 million, or 61.2%, in the first six months of 2024, compared to the first six months of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decreased $51.8 million, or 20.7%, in the first six months of 2024, compared to the first six months of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Income taxes decreased $12.7 million, or 21.1%, in the first six months of 2024, compared to the first six months of 2023. We provided for taxes at a 24.1% rate in the first six months of 2024 and a 24.2% rate in the first six months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June 30, 2024, we had working capital of approximately $673.0 million, including $167.3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 The resulting interest earned on the floor plan credit agreement with BMO Harris Bank N.A. (“BMO Harris”) (the “Floor Plan Credit Agreement”) is recognized as an offset to our interest expense.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$25.0 million. There were no advances outstanding under this secured line of credit on June 30, 2024, however, $18.9 million was pledged to secure various letters of credit related to self-insurance products, leaving $6.1 million available for future borrowings as of June 30,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long-term debt, floor plan financing agreements and our credit agreement with Wells Fargo Bank, National Association the (“WF Credit Agreement”) require us to satisfy various financial ratios such as the leverage ratio, the asset coverage ratio, and the fixed charge coverage ratio. As of June 30, 2024, we were in compliance with all debt covenants related to debt secured by lease and rental units, our floor plan credit agreements and the WF Credit Agreement. We do not anticipate any breach of these covenants in the foreseeable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commercial vehicles worth approximately $170.0 million to $180.0 million for our leasing operations during 2024, depending on customer demand. We also expect to make capital expenditures for the purchase of recurring items such as computers, shop tools and equipment and company vehicles of approximately $35.0 million to $40.0 million during 2024.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2024, we paid a cash dividend of $13.5 million. Additionally, on July 31, 2024, our Board of Directors declared a cash dividend of $0.18 per share of Class A and Class B common stock, to be paid on September 10, 2024, to all shareholders of record as of August 13, 2024, which represents a 5.6% increase compared to the cash dividend we paid in the first quarter of 2024.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6, 2023,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2023.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June 30, 2024, we had repurchased $77.2 million of our shares of common stock under the current stock repurchase program. The current stock repurchase program expires on December 31, 2024, and may be suspended or discontinued at any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June 30, 2024.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115,525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114,016</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(161,128)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(188,946)</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29,180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65,704</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(9,226)</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six months of 2024, operating activities resulted in net cash provided by operations of $115.5 million. Net cash provided by operating activities primarily consisted of $150.3 million in net income, as well as non-cash adjustments related to depreciation and amortization of $114.3 million, stock-based compensation of $19.6 million and cash inflows for deferred income tax expense of $1.5 million. Cash provided by operating activities included an aggregate of $169.7 million net change in operating assets and liabilities. Included in the net change in operating assets and liabilities were cash inflows of $3.9 million from the increase in accounts payable, which were offset by cash outflows of $34.0 million from the increase in accounts receivable, $63.4 million from the increase in inventories, $7.6 million from the increase in other assets, $49.2 million from the decrease in customer deposits and $19.4 million from the increase in accrued expenses. Most of our commercial vehicle inventory is financed through our floor plan credit agreements.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six months of 2023, cash used in investing activities was $188.9 million. Cash flows used in investing activities consist primarily of cash used for the acquisition of property and equipment. Acquisition of property and equipment totaled $186.0 million during the first six months of 2023 and consisted primarily of purchases of machine and shop equipment, furniture and fixtures, real estate and facilities, improvements to our existing dealership facilities and $138.6 million for purchases of rental and lease vehicles for our rental and leasing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six months of 2024, cash used in investing activities was $161.1 million. Cash flows used in investing activities consist primarily of cash used for the acquisition of property and equipment. Acquisition of property and equipment totaled $172.5 million during the first six months of 2024 and consisted primarily of purchases of machine and shop equipment, furniture and fixtures, real estate and facilities, improvements to our existing dealership facilities and $140.1 million for purchases of rental and lease vehicles for our rental and leasing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six months of 2023, cash used in investing activities was $188.9 million. Cash flows used in investing activities consist primarily of cash used for the acquisition of property and equipment. Acquisition of property and equipment totaled $186.0 million during the first six months of 2024 and consisted primarily of purchases of machine and shop equipment, furniture and fixtures, real estate and facilities, improvements to our existing dealership facilities and $138.6 million for purchases of rental and lease vehicles for our rental and leasing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six months of 2024, financing activities resulted in net cash provided by financing activities of $29.2 million, primarily related to cash inflows of $11.5 million from the issuance of shares related to equity compensation plans, $88.4 million from net draws on floor plan notes payable, non-trade and borrowings of $1.2 billion of long-term debt. These cash inflows were offset by $1.2 billion used for principal repayments of long-term debt and capital lease obligations, $9.5 million for taxes related to net share settlement of equity awards, $9.5 million used for repurchases of common stock and $27.2 million used for payment of cash dividends. The borrowings of long-term debt were primarily related to purchasing units for the rental and leasing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six months of 2023, financing activities resulted in net cash provided by financing activities of $65.7 million, primarily related to cash inflows of $9.7 million from the issuance of shares related to equity compensation plans, $191.0 million from net draws on floor plan notes payable, non-trade and borrowings of $653.4 million of long-term debt. These cash inflows were offset by $694.1 million used for principal repayments of long-term debt and capital lease obligations, $7.0 million for taxes related to net share settlement of equity awards, $63.9 million used for repurchases of common stock and $23.4 million used for payment of cash dividends. The borrowings of long-term debt were primarily related to purchasing units for the rental and leasing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the WF Credit Agreement with the lenders signatory thereto (the “WF Lenders”) and Wells Fargo Bank, National Association (“WF”), as Administrative Agent (in such capacity, the “WF Agent”).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Simple, secured overnight financing rate (“SOFR”) plus (i) 1.25% or (ii) 1.5%, depending on our consolidated leverage ratio or (B) on or after the SOFR transition date, the SOFR plus (i) 1.25% or (ii) 1.5%, depending on our consolidated leverage ratio. The WF Credit Agreement expires on September 14, 2026,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June 30, 2024, we had approximately $164.6 million outstanding under the WF Credit Agreement.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we entered into certain Second Amended and Restated Inventory Financing and Purchase Money Security Agreement with PACCAR Leasing Company, (“PLC”), a division of PACCAR Financial Corp., as amended on April 9, 2024 (the “PLC Agreement”). Pursuant to the terms of the PLC Agreement, PLC agreed to make up to $375.0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$190.0 million. Advances under the PLC Agreement bear interest per annum, payable on the fifth day of the following month, at our option, at either (A) the prime rate, minus 1.95%, provided that the floating rate of interest is subject to a floor of 0%, or (B) a fixed rate, to be determined between us and PLC in each instance of borrowing at a fixed rate. The PLC Agreement expires on December 1, 2025, although either party has the right to terminate the PLC Agreement at any time upon 180 days written notice. On June 30, 2024, we had approximately $133.2 million outstanding under the PLC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 On September 14, 2021, we entered into Floor Plan Credit Agreement with BMO Harris and the lenders signatory thereto. The Floor Plan Credit Agreement includes an aggregate loan commitment of $1.0 billion. Prior to June 1, 2023, borrowings under the Floor Plan Credit Agreement bore interest at an annual rate equal to (A) the greater of (i) zero and (ii) one month London Interbank Offered Rate (“LIBOR”), determined on the last day of the prior month, plus (B) 1.10% and were payable monthly. On May 31, 2023, we entered into the First Amendment to the Floor Plan Credit Agreement that changed the benchmark interest rate to SOFR. Effective June 1, 2023, borrowings under the Floor Plan Credit Agreement now bear interest per annum, payable monthly, at (A) the greater of (i) zero and (ii) SOFR, plus</w:t>
      </w:r>
    </w:p>
    <w:p>
      <w:pPr>
        <w:spacing w:after="0" w:line="6" w:lineRule="exact"/>
        <w:rPr>
          <w:sz w:val="20"/>
          <w:szCs w:val="20"/>
          <w:color w:val="auto"/>
        </w:rPr>
      </w:pPr>
    </w:p>
    <w:p>
      <w:pPr>
        <w:jc w:val="both"/>
        <w:ind w:firstLine="8"/>
        <w:spacing w:after="0" w:line="252" w:lineRule="auto"/>
        <w:tabs>
          <w:tab w:leader="none" w:pos="3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Borrowings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June 30, 2024, we had approximately $1.0 billion outstanding under the Floor Plan Credit Agreement. The average daily outstanding borrowings under the Floor Plan Credit Agreement were $972.8 million during the six months ended June 30, 2024.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31, 2022, RTC Canada entered into that certain BMO Revolving Lease and Rental Credit Agreement (the “RTC Canada Revolving Credit Agreement”) with Bank of Montreal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Prior to June 1, 2024, advances under the RTC Canada Revolving Credit Agreement bore interest per annum, payable on the first business day of each calendar month, at the Canadian Offered Dollar Rate (“CDOR”), plus 1.35%. On June 1, 2024, RTC Canada entered into the First Amendment to the RTC Revolving Credit Agreement that changed the benchmark interest rate to the Canadian Overnight Repo Rate (“CORRA”). Effective June 1, 2024, borrowing under the RTC Revolving Credit Agreement now bear interest per annum payable monthly at CORRA, plus 1.72%. The RTC Canada Revolving Credit Agreement expires September 14, 2026. On June 30, 2024, we had approximately $57.4 million CAD outstanding under the RTC Canada Revolving Credit Agreement.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15, 2022, RTC Canada entered into that certain Amended and Restated BMO Wholesale Financing and Security Agreement (the “RTC Canada Floor Plan Agreement”) with BMO. Pursuant to the terms of the Agreement as amended,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Prior to June 1, 2024, borrowings with respect to advances required to be made in CAD dollars bore interest per annum, payable monthly, at CDOR, plus 0.90%. On June 1, 2024, we entered into the Second Amendment to the RTC Canada Floor Plan Agreement that changed the benchmark interest rate with respect to advances required to be made in CAD dollars to CORRA. Effective June 1, 2024, advances required to be made in CAD dollars under the RTC Canada Floor Plan Agreement now bear interest per annum, payable monthly, at CORRA, plus 1.27%. In addition, prior to June 1, 2023, advances required to be made in USD dollars bore interest, payable monthly, at LIBOR, plus 1.10%. On June 1, 2023, RTC Canada entered into the First Amendment to the RTC Canada Floor Plan Agreement that changed the benchmark interest rate in the case of an advances required to be made in USD dollars to SOFR. Effective June 1, 2023, advances required to be made in USD dollars under the RTC Canada Floor Plan Agreement bear interest per annum, payable monthly, at SOFR, plus 1.20%. The RTC Canada Floor Plan Agreement expires September 14, 2026. On June 30, 2024, we had approximately $72.3 million CAD outstanding under the RTC Canada Floor Plan Agreement. The average daily outstanding borrowings under the RTC Canada Floor Plan Credit Agreement were $62.2 million during the six months ended June 30, 2024.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30, 2024, our backlog of commercial vehicle orders was approximately $1,812.1 million, as compared to a backlog of commercial vehicle orders of approximately $4,041.6 million on June 30, 2023. The decrease in our backlog primarily reflects the decreased demand for new Class 8 trucks resulting from production catching up to pent-up demand, low freight rates and high interest rates.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the majority of our new heavy-duty commercial vehicles by customer special order and we sell the majority of our medium- and light-duty commercial vehicles out of inventory. Orders from several of our major fleet customers are included in our backlog as of June 30, 2024, and we expect to fill most of our backlog orders during 2024. Given the difficult industry environment caused by freight rates and high interest rates, which are negatively impacting industry demand for new commercial vehicles, we believe that the longer it takes to fill our backlog, the greater the risk that a significant amount of commercial vehicle orders currently reflected in our backlog could be cancelled.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freight rates,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total U.S. retail sales of new Class 8 commercial vehicles have ranged from a low of approximately 187,600 in 2013,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47" w:lineRule="exact"/>
        <w:rPr>
          <w:sz w:val="20"/>
          <w:szCs w:val="20"/>
          <w:color w:val="auto"/>
        </w:rPr>
      </w:pPr>
    </w:p>
    <w:p>
      <w:pPr>
        <w:jc w:val="both"/>
        <w:ind w:firstLine="648"/>
        <w:spacing w:after="0" w:line="225" w:lineRule="exact"/>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March 2024, the EPA issued additional rules associated with reducing GHG emissions from medium and heavy-duty trucks and buses for model years 2027 through 2032.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(“CARB”) adopted a final rule that is intended to phase out the sale of internal combustion engine commercial vehicles over time by requiring a certain percentage of each manufacturer’s commercial vehicles sold within the state to be “zero-emission vehicles,” or “near-zero emission vehicles,” starting in model year 2024. In July 2023, CARB and various manufacturers of heavy-duty commercial vehicles and engines, including PACCAR, Navistar,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In addition, CARB agreed to align its nitrogen oxide emissions rules with the EPA’s, which go into effect starting in model year 2027, and modify certain of its 2024 nitrogen oxide emissions regulations currently in effect, with respect to which manufacturers may provide certain offsets to meet CARB’s emission target in exchange for the ability to sell legacy engines. Since July 2020, a group of seventeen U.S. states and the District of Columbia have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Attaining these goals would likely require the adoption of new laws and regulations and we cannot predict at this time whether such laws and regulations would have an adverse impact on our business. Additional regulations, or CARB’s enforcement of its existing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our floor plan financing agreements, the WF Credit Agreement, the PLC Agreement and discount rates related to finance sales. Our floor plan debt is based on SOFR and CORRA, the WF Credit Agreement is based on SOFR, the RTC Canada Revolving Agreement is based on CORRA and the PLC Agreement is based on the prime rate. As of June 30, 2024, we had floor plan borrowings and borrowings from BMO Harris, WF, PLC and BMO in the amount of $1,385.2 million. Assuming an increase or decrease in SOFR, CORRA or the prime rate of 100 basis points, annual interest expense could correspondingly increase or decrease by approximately $13.8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June 30, 2024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June 30, 2024 that has materially affected, or is reasonably likely to materially affect, our internal control over financial reporting.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through self-insurance and third party excess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June 30, 2024,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2023 Annual Report on Form 10-K (the “2023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2023 Annual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unregistered sales of equity securities during the second quarter of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second quarter of 2024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7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8"/>
                <w:szCs w:val="18"/>
                <w:color w:val="auto"/>
              </w:rPr>
            </w:pPr>
          </w:p>
        </w:tc>
        <w:tc>
          <w:tcPr>
            <w:tcW w:w="17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40" w:type="dxa"/>
            <w:vAlign w:val="bottom"/>
          </w:tcPr>
          <w:p>
            <w:pPr>
              <w:spacing w:after="0"/>
              <w:rPr>
                <w:sz w:val="18"/>
                <w:szCs w:val="18"/>
                <w:color w:val="auto"/>
              </w:rPr>
            </w:pPr>
          </w:p>
        </w:tc>
        <w:tc>
          <w:tcPr>
            <w:tcW w:w="17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2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(1)</w:t>
            </w:r>
          </w:p>
        </w:tc>
        <w:tc>
          <w:tcPr>
            <w:tcW w:w="36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or Programs (3)</w:t>
            </w:r>
          </w:p>
        </w:tc>
        <w:tc>
          <w:tcPr>
            <w:tcW w:w="10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 2024</w:t>
            </w:r>
          </w:p>
        </w:tc>
        <w:tc>
          <w:tcPr>
            <w:tcW w:w="1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43.32 </w:t>
            </w:r>
            <w:r>
              <w:rPr>
                <w:rFonts w:ascii="Times New Roman" w:cs="Times New Roman" w:eastAsia="Times New Roman" w:hAnsi="Times New Roman"/>
                <w:sz w:val="18"/>
                <w:szCs w:val="18"/>
                <w:b w:val="1"/>
                <w:bCs w:val="1"/>
                <w:color w:val="auto"/>
              </w:rPr>
              <w:t>(4)</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76,755,627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2024</w:t>
            </w:r>
          </w:p>
        </w:tc>
        <w:tc>
          <w:tcPr>
            <w:tcW w:w="1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10,432</w:t>
            </w:r>
          </w:p>
        </w:tc>
        <w:tc>
          <w:tcPr>
            <w:tcW w:w="2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42.52 </w:t>
            </w:r>
            <w:r>
              <w:rPr>
                <w:rFonts w:ascii="Times New Roman" w:cs="Times New Roman" w:eastAsia="Times New Roman" w:hAnsi="Times New Roman"/>
                <w:sz w:val="18"/>
                <w:szCs w:val="18"/>
                <w:b w:val="1"/>
                <w:bCs w:val="1"/>
                <w:color w:val="auto"/>
              </w:rPr>
              <w:t>(5)</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10,432</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76,311,727</w:t>
            </w:r>
          </w:p>
        </w:tc>
      </w:tr>
      <w:tr>
        <w:trPr>
          <w:trHeight w:val="216"/>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2024</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42.34 </w:t>
            </w:r>
            <w:r>
              <w:rPr>
                <w:rFonts w:ascii="Times New Roman" w:cs="Times New Roman" w:eastAsia="Times New Roman" w:hAnsi="Times New Roman"/>
                <w:sz w:val="18"/>
                <w:szCs w:val="18"/>
                <w:b w:val="1"/>
                <w:bCs w:val="1"/>
                <w:color w:val="auto"/>
              </w:rPr>
              <w:t>(6)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72,839,543</w:t>
            </w: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left="660" w:hanging="652"/>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Common Stock and Class B Common Stock repurchased by the Company.</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6, 2023, we announced the approval of a new stock repurchase program, effective December 5, 2023, authorizing management to repurchase, from time to time, up to an aggregate of $150.0 million of our shares of Class A common stock and/or Class B common stock.</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867 shares of Class B Common Stock at an average price paid per share of $43.32.</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5,810 shares of Class A Common Stock at an average price paid per share of $42.98 and 4,622 shares of Class B Common Stock at an average price paid per share of $41.95.</w:t>
      </w:r>
    </w:p>
    <w:p>
      <w:pPr>
        <w:ind w:left="660" w:hanging="652"/>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72,557 shares of Class A Common Stock at an average price paid per share of $42.71 and 9,396 shares of Class B Common Stock at an average price paid per share of $39.47.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i w:val="1"/>
          <w:iCs w:val="1"/>
          <w:color w:val="auto"/>
        </w:rPr>
        <w:t>Exhibit Title</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wp:posOffset>
            </wp:positionV>
            <wp:extent cx="64122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ind w:left="1140" w:hanging="678"/>
        <w:spacing w:after="0" w:line="260"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31">
        <w:r>
          <w:rPr>
            <w:rFonts w:ascii="Times New Roman" w:cs="Times New Roman" w:eastAsia="Times New Roman" w:hAnsi="Times New Roman"/>
            <w:sz w:val="18"/>
            <w:szCs w:val="18"/>
            <w:u w:val="single" w:color="auto"/>
            <w:color w:val="0000EE"/>
          </w:rPr>
          <w:t>Restated Articles of Incorporation of Rush Enterprises, Inc. (incorporated herein by reference to Exhibit 3.1 of the Company’s Quarterly</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Report on Form 10-Q (File No. 000-20797) for the quarter ended June 30, 2008)</w:t>
        </w:r>
      </w:hyperlink>
    </w:p>
    <w:p>
      <w:pPr>
        <w:spacing w:after="0" w:line="181" w:lineRule="exact"/>
        <w:rPr>
          <w:sz w:val="20"/>
          <w:szCs w:val="20"/>
          <w:color w:val="auto"/>
        </w:rPr>
      </w:pPr>
    </w:p>
    <w:p>
      <w:pPr>
        <w:ind w:left="460"/>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32">
        <w:r>
          <w:rPr>
            <w:rFonts w:ascii="Times New Roman" w:cs="Times New Roman" w:eastAsia="Times New Roman" w:hAnsi="Times New Roman"/>
            <w:sz w:val="18"/>
            <w:szCs w:val="18"/>
            <w:u w:val="single" w:color="auto"/>
            <w:color w:val="0000EE"/>
          </w:rPr>
          <w:t>Certificate of Amendment to the Restated Articles of Incorporation of Rush Enterprises, Inc. (incorporated herein by reference to Exhibit</w:t>
        </w:r>
      </w:hyperlink>
    </w:p>
    <w:p>
      <w:pPr>
        <w:spacing w:after="0" w:line="27"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3.2 of the Company’s Quarterly Report on Form 10-Q (File No. 000-20797) for the quarter ended June 30, 2023)</w:t>
        </w:r>
      </w:hyperlink>
    </w:p>
    <w:p>
      <w:pPr>
        <w:spacing w:after="0" w:line="207" w:lineRule="exact"/>
        <w:rPr>
          <w:sz w:val="20"/>
          <w:szCs w:val="20"/>
          <w:color w:val="auto"/>
        </w:rPr>
      </w:pPr>
    </w:p>
    <w:p>
      <w:pPr>
        <w:ind w:left="1140" w:hanging="678"/>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33">
        <w:r>
          <w:rPr>
            <w:rFonts w:ascii="Times New Roman" w:cs="Times New Roman" w:eastAsia="Times New Roman" w:hAnsi="Times New Roman"/>
            <w:sz w:val="18"/>
            <w:szCs w:val="18"/>
            <w:u w:val="single" w:color="auto"/>
            <w:color w:val="0000EE"/>
          </w:rPr>
          <w:t>Rush Enterprises, Inc. Amended and Restated Bylaws (incorporated herein by reference to Exhibit 3.1 of the Company’s Current Report on</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Form 8-K (File No. 000-20797) filed May 21, 2013)</w:t>
        </w:r>
      </w:hyperlink>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3.4</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First Amendment to Amended and Restated Bylaws of Rush Enterprises, Inc. (incorporated herein by reference to Exhibit 3.1 of the</w:t>
              </w:r>
            </w:hyperlink>
          </w:p>
        </w:tc>
      </w:tr>
      <w:tr>
        <w:trPr>
          <w:trHeight w:val="196"/>
        </w:trPr>
        <w:tc>
          <w:tcPr>
            <w:tcW w:w="960" w:type="dxa"/>
            <w:vAlign w:val="bottom"/>
          </w:tcPr>
          <w:p>
            <w:pPr>
              <w:spacing w:after="0"/>
              <w:rPr>
                <w:sz w:val="17"/>
                <w:szCs w:val="17"/>
                <w:color w:val="auto"/>
              </w:rPr>
            </w:pPr>
          </w:p>
        </w:tc>
        <w:tc>
          <w:tcPr>
            <w:tcW w:w="6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Company’s Current Report on Form 8-K (File No. 000-20797) filed May 24, 2021)</w:t>
              </w:r>
            </w:hyperlink>
          </w:p>
        </w:tc>
        <w:tc>
          <w:tcPr>
            <w:tcW w:w="4100" w:type="dxa"/>
            <w:vAlign w:val="bottom"/>
            <w:gridSpan w:val="7"/>
          </w:tcPr>
          <w:p>
            <w:pPr>
              <w:spacing w:after="0"/>
              <w:rPr>
                <w:sz w:val="17"/>
                <w:szCs w:val="17"/>
                <w:color w:val="auto"/>
              </w:rPr>
            </w:pPr>
          </w:p>
        </w:tc>
      </w:tr>
      <w:tr>
        <w:trPr>
          <w:trHeight w:val="412"/>
        </w:trPr>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First Amendment to Second Amended and Restated Inventory Financing and Purchase Money Security Agreement, dated as of April 9,</w:t>
              </w:r>
            </w:hyperlink>
          </w:p>
        </w:tc>
      </w:tr>
      <w:tr>
        <w:trPr>
          <w:trHeight w:val="196"/>
        </w:trPr>
        <w:tc>
          <w:tcPr>
            <w:tcW w:w="96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2024, by and between Rush Truck Leasing, Inc. and PACCAR Leasing Company (incorporated herein by reference to Exhibit 10.1 of the</w:t>
              </w:r>
            </w:hyperlink>
          </w:p>
        </w:tc>
      </w:tr>
      <w:tr>
        <w:trPr>
          <w:trHeight w:val="196"/>
        </w:trPr>
        <w:tc>
          <w:tcPr>
            <w:tcW w:w="96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Company’s Current Report on Form 8-K (File No. 000-20797) filed April 15, 2024)</w:t>
              </w:r>
            </w:hyperlink>
          </w:p>
        </w:tc>
      </w:tr>
      <w:tr>
        <w:trPr>
          <w:trHeight w:val="20"/>
        </w:trPr>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Second Amended and Restated Promissory Note dated April 9, 2024 (incorporated herein by reference to Exhibit 10.2 of the Company’s</w:t>
              </w:r>
            </w:hyperlink>
          </w:p>
        </w:tc>
      </w:tr>
      <w:tr>
        <w:trPr>
          <w:trHeight w:val="196"/>
        </w:trPr>
        <w:tc>
          <w:tcPr>
            <w:tcW w:w="96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Current Report on Form 8-K (File No. 000-20797) filed April 15, 2024)</w:t>
              </w:r>
            </w:hyperlink>
          </w:p>
        </w:tc>
      </w:tr>
      <w:tr>
        <w:trPr>
          <w:trHeight w:val="20"/>
        </w:trPr>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11"/>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First Amendment to the BMO Lease and Rental Credit Agreement, dated as of June 1, 2024, by and among RTC-Canada, the Company and</w:t>
              </w:r>
            </w:hyperlink>
          </w:p>
        </w:tc>
      </w:tr>
      <w:tr>
        <w:trPr>
          <w:trHeight w:val="20"/>
        </w:trPr>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7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BMO (incorporated herein by reference to Exhibit 10.1 of the Company’s Current Report on Form 8-K (File No. 000-20797) filed June 6,</w:t>
              </w:r>
            </w:hyperlink>
          </w:p>
        </w:tc>
      </w:tr>
      <w:tr>
        <w:trPr>
          <w:trHeight w:val="196"/>
        </w:trPr>
        <w:tc>
          <w:tcPr>
            <w:tcW w:w="9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8">
              <w:r>
                <w:rPr>
                  <w:rFonts w:ascii="Times New Roman" w:cs="Times New Roman" w:eastAsia="Times New Roman" w:hAnsi="Times New Roman"/>
                  <w:sz w:val="18"/>
                  <w:szCs w:val="18"/>
                  <w:color w:val="0000EE"/>
                  <w:w w:val="95"/>
                </w:rPr>
                <w:t>2024)</w:t>
              </w:r>
            </w:hyperlink>
          </w:p>
        </w:tc>
        <w:tc>
          <w:tcPr>
            <w:tcW w:w="182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Second Amendment to the Amended and Restated BMO Wholesale Financing and Security Agreement, dated as of June 1, 2024, by and</w:t>
              </w:r>
            </w:hyperlink>
          </w:p>
        </w:tc>
      </w:tr>
      <w:tr>
        <w:trPr>
          <w:trHeight w:val="196"/>
        </w:trPr>
        <w:tc>
          <w:tcPr>
            <w:tcW w:w="96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among RTC-Canada and BMO (incorporated herein by reference to Exhibit 10.2 of the Company’s Current Report on Form 8-K (File No.</w:t>
              </w:r>
            </w:hyperlink>
          </w:p>
        </w:tc>
      </w:tr>
      <w:tr>
        <w:trPr>
          <w:trHeight w:val="196"/>
        </w:trPr>
        <w:tc>
          <w:tcPr>
            <w:tcW w:w="960" w:type="dxa"/>
            <w:vAlign w:val="bottom"/>
          </w:tcPr>
          <w:p>
            <w:pPr>
              <w:spacing w:after="0"/>
              <w:rPr>
                <w:sz w:val="17"/>
                <w:szCs w:val="17"/>
                <w:color w:val="auto"/>
              </w:rPr>
            </w:pPr>
          </w:p>
        </w:tc>
        <w:tc>
          <w:tcPr>
            <w:tcW w:w="2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000-20797) filed June 6, 2024)</w:t>
              </w:r>
            </w:hyperlink>
          </w:p>
        </w:tc>
        <w:tc>
          <w:tcPr>
            <w:tcW w:w="7860" w:type="dxa"/>
            <w:vAlign w:val="bottom"/>
            <w:gridSpan w:val="9"/>
          </w:tcPr>
          <w:p>
            <w:pPr>
              <w:spacing w:after="0"/>
              <w:rPr>
                <w:sz w:val="17"/>
                <w:szCs w:val="17"/>
                <w:color w:val="auto"/>
              </w:rPr>
            </w:pPr>
          </w:p>
        </w:tc>
      </w:tr>
      <w:tr>
        <w:trPr>
          <w:trHeight w:val="412"/>
        </w:trPr>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31.1*</w:t>
            </w:r>
          </w:p>
        </w:tc>
        <w:tc>
          <w:tcPr>
            <w:tcW w:w="9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CEO pursuant to Rules 13a-14(a) and 15d-14(a) adopted pursuant to Section 302 of the Sarbanes-Oxley Act of 2002.</w:t>
            </w:r>
          </w:p>
        </w:tc>
        <w:tc>
          <w:tcPr>
            <w:tcW w:w="500" w:type="dxa"/>
            <w:vAlign w:val="bottom"/>
            <w:gridSpan w:val="2"/>
          </w:tcPr>
          <w:p>
            <w:pPr>
              <w:spacing w:after="0"/>
              <w:rPr>
                <w:sz w:val="24"/>
                <w:szCs w:val="24"/>
                <w:color w:val="auto"/>
              </w:rPr>
            </w:pPr>
          </w:p>
        </w:tc>
      </w:tr>
      <w:tr>
        <w:trPr>
          <w:trHeight w:val="412"/>
        </w:trPr>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31.2*</w:t>
            </w:r>
          </w:p>
        </w:tc>
        <w:tc>
          <w:tcPr>
            <w:tcW w:w="9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CFO pursuant to Rules 13a-14(a) and 15d-14(a) adopted pursuant to Section 302 of the Sarbanes-Oxley Act of 2002.</w:t>
            </w:r>
          </w:p>
        </w:tc>
        <w:tc>
          <w:tcPr>
            <w:tcW w:w="520" w:type="dxa"/>
            <w:vAlign w:val="bottom"/>
            <w:gridSpan w:val="3"/>
          </w:tcPr>
          <w:p>
            <w:pPr>
              <w:spacing w:after="0"/>
              <w:rPr>
                <w:sz w:val="24"/>
                <w:szCs w:val="24"/>
                <w:color w:val="auto"/>
              </w:rPr>
            </w:pPr>
          </w:p>
        </w:tc>
      </w:tr>
      <w:tr>
        <w:trPr>
          <w:trHeight w:val="412"/>
        </w:trPr>
        <w:tc>
          <w:tcPr>
            <w:tcW w:w="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32.1**</w:t>
            </w:r>
          </w:p>
        </w:tc>
        <w:tc>
          <w:tcPr>
            <w:tcW w:w="9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CEO pursuant to 18 U.S.C. Section 1350 as adopted pursuant to Section 906 of the Sarbanes-Oxley Act of 2002.</w:t>
            </w:r>
          </w:p>
        </w:tc>
        <w:tc>
          <w:tcPr>
            <w:tcW w:w="820" w:type="dxa"/>
            <w:vAlign w:val="bottom"/>
            <w:gridSpan w:val="4"/>
          </w:tcPr>
          <w:p>
            <w:pPr>
              <w:spacing w:after="0"/>
              <w:rPr>
                <w:sz w:val="24"/>
                <w:szCs w:val="24"/>
                <w:color w:val="auto"/>
              </w:rPr>
            </w:pPr>
          </w:p>
        </w:tc>
      </w:tr>
      <w:tr>
        <w:trPr>
          <w:trHeight w:val="412"/>
        </w:trPr>
        <w:tc>
          <w:tcPr>
            <w:tcW w:w="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w:t>
            </w:r>
          </w:p>
        </w:tc>
        <w:tc>
          <w:tcPr>
            <w:tcW w:w="9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CFO pursuant to 18 U.S.C. Section 1350 as adopted pursuant to Section 906 of the Sarbanes-Oxley Act of 2002.</w:t>
            </w:r>
          </w:p>
        </w:tc>
        <w:tc>
          <w:tcPr>
            <w:tcW w:w="840" w:type="dxa"/>
            <w:vAlign w:val="bottom"/>
            <w:gridSpan w:val="5"/>
          </w:tcPr>
          <w:p>
            <w:pPr>
              <w:spacing w:after="0"/>
              <w:rPr>
                <w:sz w:val="24"/>
                <w:szCs w:val="24"/>
                <w:color w:val="auto"/>
              </w:rPr>
            </w:pPr>
          </w:p>
        </w:tc>
      </w:tr>
      <w:tr>
        <w:trPr>
          <w:trHeight w:val="4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16"/>
        </w:trPr>
        <w:tc>
          <w:tcPr>
            <w:tcW w:w="96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140" w:hanging="970"/>
        <w:spacing w:after="0"/>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8"/>
          <w:szCs w:val="18"/>
          <w:color w:val="auto"/>
        </w:rPr>
      </w:pPr>
    </w:p>
    <w:p>
      <w:pPr>
        <w:ind w:left="660" w:right="100" w:hanging="652"/>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9, 2024</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W.M. “RUSTY” RUSH</w:t>
            </w:r>
          </w:p>
        </w:tc>
      </w:tr>
      <w:tr>
        <w:trPr>
          <w:trHeight w:val="218"/>
        </w:trPr>
        <w:tc>
          <w:tcPr>
            <w:tcW w:w="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12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6"/>
        </w:trPr>
        <w:tc>
          <w:tcPr>
            <w:tcW w:w="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2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9, 2024</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STEVEN L. KELLER</w:t>
            </w:r>
          </w:p>
        </w:tc>
      </w:tr>
      <w:tr>
        <w:trPr>
          <w:trHeight w:val="218"/>
        </w:trPr>
        <w:tc>
          <w:tcPr>
            <w:tcW w:w="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gridSpan w:val="2"/>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648"/>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600" w:hanging="592"/>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5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518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3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8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r>
      <w:tr>
        <w:trPr>
          <w:trHeight w:val="216"/>
        </w:trPr>
        <w:tc>
          <w:tcPr>
            <w:tcW w:w="3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600" w:hanging="592"/>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5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9, 2024</w:t>
            </w:r>
          </w:p>
        </w:tc>
        <w:tc>
          <w:tcPr>
            <w:tcW w:w="56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June 30,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W.M. “RUSTY” RUSH</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W.M. “Rusty” Rush</w:t>
      </w:r>
    </w:p>
    <w:p>
      <w:pPr>
        <w:spacing w:after="0" w:line="9"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9, 2024</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June 30,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Steven L. Keller</w:t>
      </w:r>
    </w:p>
    <w:p>
      <w:pPr>
        <w:spacing w:after="0" w:line="9"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9"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9, 2024</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lvl w:ilvl="1">
      <w:lvlJc w:val="left"/>
      <w:lvlText w:val="%2"/>
      <w:numFmt w:val="decimal"/>
      <w:start w:val="104"/>
    </w:lvl>
  </w:abstractNum>
  <w:abstractNum w:abstractNumId="5">
    <w:nsid w:val="7545E146"/>
    <w:multiLevelType w:val="hybridMultilevel"/>
    <w:lvl w:ilvl="0">
      <w:lvlJc w:val="left"/>
      <w:lvlText w:val="**"/>
      <w:numFmt w:val="bullet"/>
      <w:start w:val="1"/>
    </w:lvl>
    <w:lvl w:ilvl="1">
      <w:lvlJc w:val="left"/>
      <w:lvlText w:val="%2"/>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4" Type="http://schemas.openxmlformats.org/officeDocument/2006/relationships/image" Target="media/image24.png"/><Relationship Id="rId40" Type="http://schemas.openxmlformats.org/officeDocument/2006/relationships/image" Target="media/image25.png"/><Relationship Id="rId31" Type="http://schemas.openxmlformats.org/officeDocument/2006/relationships/hyperlink" Target="http://www.sec.gov/Archives/edgar/data/1012019/000110465908051789/a08-18770_1ex3d1.htm" TargetMode="External"/><Relationship Id="rId32" Type="http://schemas.openxmlformats.org/officeDocument/2006/relationships/hyperlink" Target="http://www.sec.gov/Archives/edgar/data/1012019/000143774923022761/ex_553893.htm" TargetMode="External"/><Relationship Id="rId33" Type="http://schemas.openxmlformats.org/officeDocument/2006/relationships/hyperlink" Target="http://www.sec.gov/Archives/edgar/data/1012019/000143774913006455/rusha20130517_8kex3-1.htm" TargetMode="External"/><Relationship Id="rId35" Type="http://schemas.openxmlformats.org/officeDocument/2006/relationships/hyperlink" Target="http://www.sec.gov/Archives/edgar/data/1012019/000143774921013172/ex_252719.htm" TargetMode="External"/><Relationship Id="rId36" Type="http://schemas.openxmlformats.org/officeDocument/2006/relationships/hyperlink" Target="http://www.sec.gov/Archives/edgar/data/1012019/000143774924012083/ex_654030.htm" TargetMode="External"/><Relationship Id="rId37" Type="http://schemas.openxmlformats.org/officeDocument/2006/relationships/hyperlink" Target="http://www.sec.gov/Archives/edgar/data/1012019/000143774924012083/ex_654031.htm" TargetMode="External"/><Relationship Id="rId38" Type="http://schemas.openxmlformats.org/officeDocument/2006/relationships/hyperlink" Target="http://www.sec.gov/Archives/edgar/data/1012019/000143774924019483/ex_684779.htm" TargetMode="External"/><Relationship Id="rId39" Type="http://schemas.openxmlformats.org/officeDocument/2006/relationships/hyperlink" Target="http://www.sec.gov/Archives/edgar/data/1012019/000143774924019483/ex_68478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2024-08-09T16:28:32Z</dcterms:created>
  <dcterms:modified xsi:type="dcterms:W3CDTF">2024-08-09T16:28:32Z</dcterms:modified>
</cp:coreProperties>
</file>