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480" w:hanging="472"/>
        <w:spacing w:after="0"/>
        <w:tabs>
          <w:tab w:leader="none" w:pos="4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2014</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205" w:lineRule="exact"/>
        <w:rPr>
          <w:sz w:val="24"/>
          <w:szCs w:val="24"/>
          <w:color w:val="auto"/>
        </w:rPr>
      </w:pPr>
    </w:p>
    <w:p>
      <w:pPr>
        <w:ind w:right="2400" w:firstLine="8"/>
        <w:spacing w:after="0" w:line="499" w:lineRule="auto"/>
        <w:tabs>
          <w:tab w:leader="none" w:pos="1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00" w:lineRule="exact"/>
        <w:rPr>
          <w:sz w:val="24"/>
          <w:szCs w:val="24"/>
          <w:color w:val="auto"/>
        </w:rPr>
      </w:pPr>
    </w:p>
    <w:p>
      <w:pPr>
        <w:spacing w:after="0" w:line="23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60"/>
          </w:cols>
          <w:pgMar w:left="240" w:top="225" w:right="199" w:bottom="977" w:gutter="0" w:footer="0" w:header="0"/>
        </w:sectPr>
      </w:pPr>
    </w:p>
    <w:p>
      <w:pPr>
        <w:spacing w:after="0" w:line="205"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74-1733016</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415" w:lineRule="exact"/>
        <w:rPr>
          <w:sz w:val="24"/>
          <w:szCs w:val="24"/>
          <w:color w:val="auto"/>
        </w:rPr>
      </w:pPr>
    </w:p>
    <w:p>
      <w:pPr>
        <w:sectPr>
          <w:pgSz w:w="11900" w:h="16838" w:orient="portrait"/>
          <w:cols w:equalWidth="0" w:num="2">
            <w:col w:w="7000" w:space="720"/>
            <w:col w:w="3740"/>
          </w:cols>
          <w:pgMar w:left="240" w:top="225" w:right="199" w:bottom="977"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(Zip Code)</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(830) 626-5200</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460"/>
          </w:cols>
          <w:pgMar w:left="240" w:top="225" w:right="199" w:bottom="977" w:gutter="0" w:footer="0" w:header="0"/>
          <w:type w:val="continuous"/>
        </w:sectPr>
      </w:pPr>
    </w:p>
    <w:p>
      <w:pPr>
        <w:spacing w:after="0" w:line="200" w:lineRule="exact"/>
        <w:rPr>
          <w:sz w:val="24"/>
          <w:szCs w:val="24"/>
          <w:color w:val="auto"/>
        </w:rPr>
      </w:pPr>
    </w:p>
    <w:p>
      <w:pPr>
        <w:spacing w:after="0" w:line="232" w:lineRule="exact"/>
        <w:rPr>
          <w:sz w:val="24"/>
          <w:szCs w:val="24"/>
          <w:color w:val="auto"/>
        </w:rPr>
      </w:pPr>
    </w:p>
    <w:p>
      <w:pPr>
        <w:jc w:val="both"/>
        <w:ind w:right="40" w:firstLine="969"/>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940"/>
        <w:spacing w:after="0"/>
        <w:tabs>
          <w:tab w:leader="none" w:pos="632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05" w:lineRule="exact"/>
        <w:rPr>
          <w:sz w:val="24"/>
          <w:szCs w:val="24"/>
          <w:color w:val="auto"/>
        </w:rPr>
      </w:pPr>
    </w:p>
    <w:p>
      <w:pPr>
        <w:jc w:val="both"/>
        <w:ind w:right="340" w:firstLine="646"/>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76" w:lineRule="exact"/>
        <w:rPr>
          <w:sz w:val="24"/>
          <w:szCs w:val="24"/>
          <w:color w:val="auto"/>
        </w:rPr>
      </w:pPr>
    </w:p>
    <w:p>
      <w:pPr>
        <w:ind w:left="4940"/>
        <w:spacing w:after="0"/>
        <w:tabs>
          <w:tab w:leader="none" w:pos="632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2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60"/>
          </w:cols>
          <w:pgMar w:left="240" w:top="225" w:right="199" w:bottom="977" w:gutter="0" w:footer="0" w:header="0"/>
          <w:type w:val="continuous"/>
        </w:sectPr>
      </w:pPr>
    </w:p>
    <w:p>
      <w:pPr>
        <w:spacing w:after="0" w:line="177" w:lineRule="exact"/>
        <w:rPr>
          <w:sz w:val="24"/>
          <w:szCs w:val="24"/>
          <w:color w:val="auto"/>
        </w:rPr>
      </w:pPr>
    </w:p>
    <w:p>
      <w:pPr>
        <w:ind w:left="5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3">
            <w:col w:w="6900" w:space="720"/>
            <w:col w:w="1200" w:space="120"/>
            <w:col w:w="2520"/>
          </w:cols>
          <w:pgMar w:left="240" w:top="225" w:right="199" w:bottom="977" w:gutter="0" w:footer="0" w:header="0"/>
          <w:type w:val="continuous"/>
        </w:sectPr>
      </w:pPr>
    </w:p>
    <w:p>
      <w:pPr>
        <w:spacing w:after="0" w:line="7" w:lineRule="exact"/>
        <w:rPr>
          <w:sz w:val="24"/>
          <w:szCs w:val="24"/>
          <w:color w:val="auto"/>
        </w:rPr>
      </w:pPr>
    </w:p>
    <w:p>
      <w:pPr>
        <w:ind w:left="50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8"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3">
            <w:col w:w="6900" w:space="720"/>
            <w:col w:w="1960" w:space="80"/>
            <w:col w:w="1800"/>
          </w:cols>
          <w:pgMar w:left="240" w:top="225" w:right="199" w:bottom="977" w:gutter="0" w:footer="0" w:header="0"/>
          <w:type w:val="continuous"/>
        </w:sectPr>
      </w:pPr>
    </w:p>
    <w:p>
      <w:pPr>
        <w:ind w:left="500"/>
        <w:spacing w:after="0"/>
        <w:rPr>
          <w:sz w:val="20"/>
          <w:szCs w:val="20"/>
          <w:color w:val="auto"/>
        </w:rPr>
      </w:pPr>
      <w:r>
        <w:rPr>
          <w:rFonts w:ascii="Times New Roman" w:cs="Times New Roman" w:eastAsia="Times New Roman" w:hAnsi="Times New Roman"/>
          <w:sz w:val="18"/>
          <w:szCs w:val="18"/>
          <w:color w:val="auto"/>
        </w:rPr>
        <w:t>(Do not check if a smaller reporting</w:t>
      </w:r>
    </w:p>
    <w:p>
      <w:pPr>
        <w:ind w:left="500"/>
        <w:spacing w:after="0"/>
        <w:rPr>
          <w:sz w:val="20"/>
          <w:szCs w:val="20"/>
          <w:color w:val="auto"/>
        </w:rPr>
      </w:pPr>
      <w:r>
        <w:rPr>
          <w:rFonts w:ascii="Times New Roman" w:cs="Times New Roman" w:eastAsia="Times New Roman" w:hAnsi="Times New Roman"/>
          <w:sz w:val="18"/>
          <w:szCs w:val="18"/>
          <w:color w:val="auto"/>
        </w:rPr>
        <w:t>company)</w:t>
      </w:r>
    </w:p>
    <w:p>
      <w:pPr>
        <w:spacing w:after="0" w:line="20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38" w:lineRule="exact"/>
        <w:rPr>
          <w:sz w:val="24"/>
          <w:szCs w:val="24"/>
          <w:color w:val="auto"/>
        </w:rPr>
      </w:pPr>
    </w:p>
    <w:p>
      <w:pPr>
        <w:ind w:left="4960"/>
        <w:spacing w:after="0"/>
        <w:tabs>
          <w:tab w:leader="none" w:pos="626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[X]</w:t>
      </w:r>
    </w:p>
    <w:p>
      <w:pPr>
        <w:sectPr>
          <w:pgSz w:w="11900" w:h="16838" w:orient="portrait"/>
          <w:cols w:equalWidth="0" w:num="1">
            <w:col w:w="11460"/>
          </w:cols>
          <w:pgMar w:left="240" w:top="225" w:right="199" w:bottom="977" w:gutter="0" w:footer="0" w:header="0"/>
          <w:type w:val="continuous"/>
        </w:sectPr>
      </w:pPr>
    </w:p>
    <w:p>
      <w:pPr>
        <w:spacing w:after="0" w:line="20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May 2, 2014.</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8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5"/>
        </w:trPr>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880" w:type="dxa"/>
            <w:vAlign w:val="bottom"/>
            <w:gridSpan w:val="2"/>
          </w:tcPr>
          <w:p>
            <w:pPr>
              <w:jc w:val="center"/>
              <w:ind w:right="2000"/>
              <w:spacing w:after="0"/>
              <w:rPr>
                <w:sz w:val="20"/>
                <w:szCs w:val="20"/>
                <w:color w:val="auto"/>
              </w:rPr>
            </w:pPr>
            <w:r>
              <w:rPr>
                <w:rFonts w:ascii="Times New Roman" w:cs="Times New Roman" w:eastAsia="Times New Roman" w:hAnsi="Times New Roman"/>
                <w:sz w:val="18"/>
                <w:szCs w:val="18"/>
                <w:color w:val="auto"/>
                <w:w w:val="99"/>
              </w:rPr>
              <w:t>Shares</w:t>
            </w:r>
          </w:p>
        </w:tc>
      </w:tr>
      <w:tr>
        <w:trPr>
          <w:trHeight w:val="193"/>
        </w:trPr>
        <w:tc>
          <w:tcPr>
            <w:tcW w:w="1420" w:type="dxa"/>
            <w:vAlign w:val="bottom"/>
          </w:tcPr>
          <w:p>
            <w:pPr>
              <w:spacing w:after="0"/>
              <w:rPr>
                <w:sz w:val="16"/>
                <w:szCs w:val="16"/>
                <w:color w:val="auto"/>
              </w:rPr>
            </w:pPr>
          </w:p>
        </w:tc>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Title of Class</w:t>
            </w:r>
          </w:p>
        </w:tc>
        <w:tc>
          <w:tcPr>
            <w:tcW w:w="6200" w:type="dxa"/>
            <w:vAlign w:val="bottom"/>
          </w:tcPr>
          <w:p>
            <w:pPr>
              <w:spacing w:after="0"/>
              <w:rPr>
                <w:sz w:val="16"/>
                <w:szCs w:val="16"/>
                <w:color w:val="auto"/>
              </w:rPr>
            </w:pPr>
          </w:p>
        </w:tc>
        <w:tc>
          <w:tcPr>
            <w:tcW w:w="2880" w:type="dxa"/>
            <w:vAlign w:val="bottom"/>
            <w:gridSpan w:val="2"/>
          </w:tcPr>
          <w:p>
            <w:pPr>
              <w:jc w:val="center"/>
              <w:ind w:right="2000"/>
              <w:spacing w:after="0" w:line="194" w:lineRule="exact"/>
              <w:rPr>
                <w:sz w:val="20"/>
                <w:szCs w:val="20"/>
                <w:color w:val="auto"/>
              </w:rPr>
            </w:pPr>
            <w:r>
              <w:rPr>
                <w:rFonts w:ascii="Times New Roman" w:cs="Times New Roman" w:eastAsia="Times New Roman" w:hAnsi="Times New Roman"/>
                <w:sz w:val="18"/>
                <w:szCs w:val="18"/>
                <w:color w:val="auto"/>
                <w:w w:val="99"/>
              </w:rPr>
              <w:t>Outstanding</w:t>
            </w:r>
          </w:p>
        </w:tc>
      </w:tr>
      <w:tr>
        <w:trPr>
          <w:trHeight w:val="20"/>
        </w:trPr>
        <w:tc>
          <w:tcPr>
            <w:tcW w:w="1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17"/>
        </w:trPr>
        <w:tc>
          <w:tcPr>
            <w:tcW w:w="8580" w:type="dxa"/>
            <w:vAlign w:val="bottom"/>
            <w:gridSpan w:val="3"/>
          </w:tcPr>
          <w:p>
            <w:pPr>
              <w:jc w:val="center"/>
              <w:ind w:right="4840"/>
              <w:spacing w:after="0"/>
              <w:rPr>
                <w:sz w:val="20"/>
                <w:szCs w:val="20"/>
                <w:color w:val="auto"/>
              </w:rPr>
            </w:pPr>
            <w:r>
              <w:rPr>
                <w:rFonts w:ascii="Times New Roman" w:cs="Times New Roman" w:eastAsia="Times New Roman" w:hAnsi="Times New Roman"/>
                <w:sz w:val="18"/>
                <w:szCs w:val="18"/>
                <w:color w:val="auto"/>
                <w:w w:val="98"/>
              </w:rPr>
              <w:t>Class A Common Stock, $.01 Par 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29,458,141</w:t>
            </w:r>
          </w:p>
        </w:tc>
        <w:tc>
          <w:tcPr>
            <w:tcW w:w="2000" w:type="dxa"/>
            <w:vAlign w:val="bottom"/>
          </w:tcPr>
          <w:p>
            <w:pPr>
              <w:spacing w:after="0"/>
              <w:rPr>
                <w:sz w:val="18"/>
                <w:szCs w:val="18"/>
                <w:color w:val="auto"/>
              </w:rPr>
            </w:pPr>
          </w:p>
        </w:tc>
      </w:tr>
      <w:tr>
        <w:trPr>
          <w:trHeight w:val="234"/>
        </w:trPr>
        <w:tc>
          <w:tcPr>
            <w:tcW w:w="8580" w:type="dxa"/>
            <w:vAlign w:val="bottom"/>
            <w:gridSpan w:val="3"/>
          </w:tcPr>
          <w:p>
            <w:pPr>
              <w:jc w:val="center"/>
              <w:ind w:right="4840"/>
              <w:spacing w:after="0"/>
              <w:rPr>
                <w:sz w:val="20"/>
                <w:szCs w:val="20"/>
                <w:color w:val="auto"/>
              </w:rPr>
            </w:pPr>
            <w:r>
              <w:rPr>
                <w:rFonts w:ascii="Times New Roman" w:cs="Times New Roman" w:eastAsia="Times New Roman" w:hAnsi="Times New Roman"/>
                <w:sz w:val="18"/>
                <w:szCs w:val="18"/>
                <w:color w:val="auto"/>
                <w:w w:val="98"/>
              </w:rPr>
              <w:t>Class B Common Stock, $.01 Par Value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10,235,222</w:t>
            </w:r>
          </w:p>
        </w:tc>
        <w:tc>
          <w:tcPr>
            <w:tcW w:w="2000" w:type="dxa"/>
            <w:vAlign w:val="bottom"/>
          </w:tcPr>
          <w:p>
            <w:pPr>
              <w:spacing w:after="0"/>
              <w:rPr>
                <w:sz w:val="20"/>
                <w:szCs w:val="20"/>
                <w:color w:val="auto"/>
              </w:rPr>
            </w:pPr>
          </w:p>
        </w:tc>
      </w:tr>
      <w:tr>
        <w:trPr>
          <w:trHeight w:val="992"/>
        </w:trPr>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60"/>
        </w:trPr>
        <w:tc>
          <w:tcPr>
            <w:tcW w:w="1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2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5" w:right="199" w:bottom="977" w:gutter="0" w:footer="0" w:header="0"/>
          <w:type w:val="continuous"/>
        </w:sectPr>
      </w:pPr>
    </w:p>
    <w:bookmarkStart w:id="1" w:name="page2"/>
    <w:bookmarkEnd w:id="1"/>
    <w:p>
      <w:pPr>
        <w:jc w:val="center"/>
        <w:ind w:left="1360"/>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2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725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08" w:lineRule="exact"/>
        <w:rPr>
          <w:sz w:val="20"/>
          <w:szCs w:val="20"/>
          <w:color w:val="auto"/>
        </w:rPr>
      </w:pPr>
    </w:p>
    <w:p>
      <w:pPr>
        <w:ind w:left="500"/>
        <w:spacing w:after="0"/>
        <w:tabs>
          <w:tab w:leader="none" w:pos="12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7255" cy="136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Consolidated Balance Sheets - March 31, 2014 (unaudited) and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7255" cy="136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04" w:lineRule="exact"/>
        <w:rPr>
          <w:sz w:val="20"/>
          <w:szCs w:val="20"/>
          <w:color w:val="auto"/>
        </w:rPr>
      </w:pPr>
    </w:p>
    <w:p>
      <w:pPr>
        <w:ind w:left="1280" w:right="60"/>
        <w:spacing w:after="0" w:line="280" w:lineRule="auto"/>
        <w:rPr>
          <w:sz w:val="20"/>
          <w:szCs w:val="20"/>
          <w:color w:val="auto"/>
        </w:rPr>
      </w:pPr>
      <w:r>
        <w:rPr>
          <w:rFonts w:ascii="Times New Roman" w:cs="Times New Roman" w:eastAsia="Times New Roman" w:hAnsi="Times New Roman"/>
          <w:sz w:val="18"/>
          <w:szCs w:val="18"/>
          <w:color w:val="auto"/>
        </w:rPr>
        <w:t>Consolidated Statements of Income and Comprehensive Income - For the Three Months Ended March 31, 2014 and 2013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7255" cy="273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273685"/>
                    </a:xfrm>
                    <a:prstGeom prst="rect">
                      <a:avLst/>
                    </a:prstGeom>
                    <a:noFill/>
                  </pic:spPr>
                </pic:pic>
              </a:graphicData>
            </a:graphic>
          </wp:anchor>
        </w:drawing>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Consolidated Statements of Cash Flows - For the Three Months Ended March 31, 2014 and 2013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7255" cy="136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7255" cy="13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04" w:lineRule="exact"/>
        <w:rPr>
          <w:sz w:val="20"/>
          <w:szCs w:val="20"/>
          <w:color w:val="auto"/>
        </w:rPr>
      </w:pPr>
    </w:p>
    <w:p>
      <w:pPr>
        <w:ind w:left="500" w:right="2360"/>
        <w:spacing w:after="0" w:line="514" w:lineRule="auto"/>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 Item 3. Quantitative and Qualitative Disclosures About Market Risk 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-832485</wp:posOffset>
            </wp:positionV>
            <wp:extent cx="7247255" cy="136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-558800</wp:posOffset>
            </wp:positionV>
            <wp:extent cx="7247255" cy="136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7255" cy="136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247255" cy="136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7247255" cy="136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7255" cy="136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Item 1.</w:t>
            </w:r>
          </w:p>
        </w:tc>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0" w:type="dxa"/>
            <w:vAlign w:val="bottom"/>
          </w:tcPr>
          <w:p>
            <w:pPr>
              <w:spacing w:after="0"/>
              <w:rPr>
                <w:sz w:val="1"/>
                <w:szCs w:val="1"/>
                <w:color w:val="auto"/>
              </w:rPr>
            </w:pPr>
          </w:p>
        </w:tc>
      </w:tr>
      <w:tr>
        <w:trPr>
          <w:trHeight w:val="412"/>
        </w:trPr>
        <w:tc>
          <w:tcPr>
            <w:tcW w:w="1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Item</w:t>
            </w:r>
          </w:p>
        </w:tc>
        <w:tc>
          <w:tcPr>
            <w:tcW w:w="4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0" w:type="dxa"/>
            <w:vAlign w:val="bottom"/>
          </w:tcPr>
          <w:p>
            <w:pPr>
              <w:spacing w:after="0"/>
              <w:rPr>
                <w:sz w:val="1"/>
                <w:szCs w:val="1"/>
                <w:color w:val="auto"/>
              </w:rPr>
            </w:pPr>
          </w:p>
        </w:tc>
      </w:tr>
      <w:tr>
        <w:trPr>
          <w:trHeight w:val="126"/>
        </w:trPr>
        <w:tc>
          <w:tcPr>
            <w:tcW w:w="12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1A.</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1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Item</w:t>
            </w:r>
          </w:p>
        </w:tc>
        <w:tc>
          <w:tcPr>
            <w:tcW w:w="4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Unregistered Sales of Equity Securities and Use of Proceeds</w:t>
            </w:r>
          </w:p>
        </w:tc>
        <w:tc>
          <w:tcPr>
            <w:tcW w:w="0" w:type="dxa"/>
            <w:vAlign w:val="bottom"/>
          </w:tcPr>
          <w:p>
            <w:pPr>
              <w:spacing w:after="0"/>
              <w:rPr>
                <w:sz w:val="1"/>
                <w:szCs w:val="1"/>
                <w:color w:val="auto"/>
              </w:rPr>
            </w:pPr>
          </w:p>
        </w:tc>
      </w:tr>
      <w:tr>
        <w:trPr>
          <w:trHeight w:val="126"/>
        </w:trPr>
        <w:tc>
          <w:tcPr>
            <w:tcW w:w="12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2.</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1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Item 3.</w:t>
            </w:r>
          </w:p>
        </w:tc>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0" w:type="dxa"/>
            <w:vAlign w:val="bottom"/>
          </w:tcPr>
          <w:p>
            <w:pPr>
              <w:spacing w:after="0"/>
              <w:rPr>
                <w:sz w:val="1"/>
                <w:szCs w:val="1"/>
                <w:color w:val="auto"/>
              </w:rPr>
            </w:pPr>
          </w:p>
        </w:tc>
      </w:tr>
      <w:tr>
        <w:trPr>
          <w:trHeight w:val="412"/>
        </w:trPr>
        <w:tc>
          <w:tcPr>
            <w:tcW w:w="1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Item</w:t>
            </w:r>
          </w:p>
        </w:tc>
        <w:tc>
          <w:tcPr>
            <w:tcW w:w="4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0" w:type="dxa"/>
            <w:vAlign w:val="bottom"/>
          </w:tcPr>
          <w:p>
            <w:pPr>
              <w:spacing w:after="0"/>
              <w:rPr>
                <w:sz w:val="1"/>
                <w:szCs w:val="1"/>
                <w:color w:val="auto"/>
              </w:rPr>
            </w:pPr>
          </w:p>
        </w:tc>
      </w:tr>
      <w:tr>
        <w:trPr>
          <w:trHeight w:val="126"/>
        </w:trPr>
        <w:tc>
          <w:tcPr>
            <w:tcW w:w="12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4.</w:t>
            </w: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vMerge w:val="continue"/>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1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Item 5.</w:t>
            </w:r>
          </w:p>
        </w:tc>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0" w:type="dxa"/>
            <w:vAlign w:val="bottom"/>
          </w:tcPr>
          <w:p>
            <w:pPr>
              <w:spacing w:after="0"/>
              <w:rPr>
                <w:sz w:val="1"/>
                <w:szCs w:val="1"/>
                <w:color w:val="auto"/>
              </w:rPr>
            </w:pPr>
          </w:p>
        </w:tc>
      </w:tr>
      <w:tr>
        <w:trPr>
          <w:trHeight w:val="431"/>
        </w:trPr>
        <w:tc>
          <w:tcPr>
            <w:tcW w:w="1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Item 6.</w:t>
            </w:r>
          </w:p>
        </w:tc>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431"/>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-2324100</wp:posOffset>
            </wp:positionV>
            <wp:extent cx="7247255" cy="136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-1913890</wp:posOffset>
            </wp:positionV>
            <wp:extent cx="7247255" cy="13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-1503680</wp:posOffset>
            </wp:positionV>
            <wp:extent cx="7247255" cy="136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-1229995</wp:posOffset>
            </wp:positionV>
            <wp:extent cx="724725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247255" cy="136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247255" cy="136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wp:posOffset>
            </wp:positionV>
            <wp:extent cx="7247255" cy="13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w:t>
      </w:r>
    </w:p>
    <w:p>
      <w:pPr>
        <w:spacing w:after="0" w:line="3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4</w:t>
      </w:r>
    </w:p>
    <w:p>
      <w:pPr>
        <w:spacing w:after="0" w:line="3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5</w:t>
      </w:r>
    </w:p>
    <w:p>
      <w:pPr>
        <w:spacing w:after="0" w:line="2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6</w:t>
      </w:r>
    </w:p>
    <w:p>
      <w:pPr>
        <w:spacing w:after="0" w:line="2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13</w:t>
      </w:r>
    </w:p>
    <w:p>
      <w:pPr>
        <w:spacing w:after="0" w:line="2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24</w:t>
      </w:r>
    </w:p>
    <w:p>
      <w:pPr>
        <w:spacing w:after="0" w:line="2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25</w:t>
      </w:r>
    </w:p>
    <w:p>
      <w:pPr>
        <w:spacing w:after="0" w:line="3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25</w:t>
      </w: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25</w:t>
      </w:r>
    </w:p>
    <w:p>
      <w:pPr>
        <w:spacing w:after="0" w:line="3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26</w:t>
      </w:r>
    </w:p>
    <w:p>
      <w:pPr>
        <w:spacing w:after="0" w:line="3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26</w:t>
      </w:r>
    </w:p>
    <w:p>
      <w:pPr>
        <w:spacing w:after="0" w:line="3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26</w:t>
      </w:r>
    </w:p>
    <w:p>
      <w:pPr>
        <w:spacing w:after="0" w:line="2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27</w:t>
      </w:r>
    </w:p>
    <w:p>
      <w:pPr>
        <w:spacing w:after="0" w:line="2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2">
            <w:col w:w="10080" w:space="720"/>
            <w:col w:w="360"/>
          </w:cols>
          <w:pgMar w:left="240" w:top="817"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300" w:type="dxa"/>
            <w:vAlign w:val="bottom"/>
            <w:gridSpan w:val="7"/>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gridSpan w:val="3"/>
          </w:tcPr>
          <w:p>
            <w:pPr>
              <w:jc w:val="center"/>
              <w:ind w:right="460"/>
              <w:spacing w:after="0" w:line="195" w:lineRule="exact"/>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60" w:type="dxa"/>
            <w:vAlign w:val="bottom"/>
            <w:tcBorders>
              <w:bottom w:val="single" w:sz="8" w:color="auto"/>
            </w:tcBorders>
            <w:gridSpan w:val="3"/>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MARCH 31, 2014 AND DECEMBER 31, 2013</w:t>
            </w:r>
          </w:p>
        </w:tc>
        <w:tc>
          <w:tcPr>
            <w:tcW w:w="5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4"/>
              </w:rPr>
              <w:t>2014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94,369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135,855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865,685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802,220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Borders>
              <w:bottom w:val="single" w:sz="8" w:color="CCEEFF"/>
            </w:tcBorders>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1,124,543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819,704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739,663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262,889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52,607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2,263,720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80" w:type="dxa"/>
            <w:vAlign w:val="bottom"/>
            <w:gridSpan w:val="2"/>
          </w:tcPr>
          <w:p>
            <w:pPr>
              <w:spacing w:after="0"/>
              <w:rPr>
                <w:sz w:val="17"/>
                <w:szCs w:val="17"/>
                <w:color w:val="auto"/>
              </w:rPr>
            </w:pPr>
          </w:p>
        </w:tc>
        <w:tc>
          <w:tcPr>
            <w:tcW w:w="2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000" w:type="dxa"/>
            <w:vAlign w:val="bottom"/>
            <w:gridSpan w:val="9"/>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Floor plan notes payable</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659,289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593,649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112,356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Borders>
              <w:bottom w:val="single" w:sz="8" w:color="CCEEFF"/>
            </w:tcBorders>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61,751</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979,067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929,175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416,011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385,538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Capital lease obligations, net of current maturities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gridSpan w:val="9"/>
          </w:tcPr>
          <w:p>
            <w:pPr>
              <w:ind w:left="140"/>
              <w:spacing w:after="0" w:line="197"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2014 and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2013</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00" w:type="dxa"/>
            <w:vAlign w:val="bottom"/>
            <w:gridSpan w:val="9"/>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 B shares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authorized; 29,100,940 class A shares and 10,289,460 class B shares outstanding in 2014; and 28,910,505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gridSpan w:val="9"/>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Class A shares and 10,304,518 Class B shares outstanding in 2013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250,216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243,154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2,270,052 class B shares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(33,447)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465,850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453,836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Borders>
              <w:top w:val="single" w:sz="8" w:color="CCEEFF"/>
            </w:tcBorders>
            <w:gridSpan w:val="9"/>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681,948</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665,381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2,263,720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817" w:right="239" w:bottom="1440" w:gutter="0" w:footer="0" w:header="0"/>
        </w:sectPr>
      </w:pPr>
    </w:p>
    <w:bookmarkStart w:id="3" w:name="page4"/>
    <w:bookmarkEnd w:id="3"/>
    <w:p>
      <w:pPr>
        <w:jc w:val="center"/>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RUSH ENTERPRISES, INC. AND SUBSIDIARIES CONSOLIDATED STATEMENTS OF INCOME AND COMPREHENSIVE INCOME </w:t>
      </w:r>
      <w:r>
        <w:rPr>
          <w:rFonts w:ascii="Times New Roman" w:cs="Times New Roman" w:eastAsia="Times New Roman" w:hAnsi="Times New Roman"/>
          <w:sz w:val="18"/>
          <w:szCs w:val="18"/>
          <w:b w:val="1"/>
          <w:bCs w:val="1"/>
          <w:color w:val="auto"/>
        </w:rPr>
        <w:t>(In Thousands, Except Per Share Amounts) (Unaudited)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600,900</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489,610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Parts and service sales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308,974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and rental</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and insurance</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958,667</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r>
              <w:rPr>
                <w:rFonts w:ascii="Times New Roman" w:cs="Times New Roman" w:eastAsia="Times New Roman" w:hAnsi="Times New Roman"/>
                <w:sz w:val="18"/>
                <w:szCs w:val="18"/>
                <w:color w:val="auto"/>
              </w:rPr>
              <w:t>:</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558,142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452,574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Parts and service sales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198,703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and rental</w:t>
            </w:r>
          </w:p>
        </w:tc>
        <w:tc>
          <w:tcPr>
            <w:tcW w:w="2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35,897</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792,742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165,925</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2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2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40,269</w:t>
            </w:r>
          </w:p>
        </w:tc>
        <w:tc>
          <w:tcPr>
            <w:tcW w:w="0" w:type="dxa"/>
            <w:vAlign w:val="bottom"/>
          </w:tcPr>
          <w:p>
            <w:pPr>
              <w:spacing w:after="0"/>
              <w:rPr>
                <w:sz w:val="1"/>
                <w:szCs w:val="1"/>
                <w:color w:val="auto"/>
              </w:rPr>
            </w:pPr>
          </w:p>
        </w:tc>
      </w:tr>
      <w:tr>
        <w:trPr>
          <w:trHeight w:val="215"/>
        </w:trPr>
        <w:tc>
          <w:tcPr>
            <w:tcW w:w="5580" w:type="dxa"/>
            <w:vAlign w:val="bottom"/>
            <w:gridSpan w:val="2"/>
          </w:tcPr>
          <w:p>
            <w:pPr>
              <w:spacing w:after="0"/>
              <w:rPr>
                <w:sz w:val="18"/>
                <w:szCs w:val="18"/>
                <w:color w:val="auto"/>
              </w:rPr>
            </w:pPr>
          </w:p>
        </w:tc>
        <w:tc>
          <w:tcPr>
            <w:tcW w:w="28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79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5"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5158105</wp:posOffset>
            </wp:positionH>
            <wp:positionV relativeFrom="paragraph">
              <wp:posOffset>5080</wp:posOffset>
            </wp:positionV>
            <wp:extent cx="20256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25650"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 related to employee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(benefit) for deferred income tax expense</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(1,021)</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(25,387)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inventories, net</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(24,282)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draws on floor plan notes payable – trade,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(27,432)</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(7,089)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(53,202)</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(143,050)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(194,226)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draws on floor plan notes payable – non-trade,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(24,813)</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shares relating to employee stock options and employee stock purchases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(3,796)</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78,379</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(122,936)</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217,305</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94,369</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205,049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top w:val="single" w:sz="8" w:color="CCEEFF"/>
            </w:tcBorders>
          </w:tcPr>
          <w:p>
            <w:pPr>
              <w:ind w:left="320"/>
              <w:spacing w:after="0" w:line="195" w:lineRule="exact"/>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tcBorders>
              <w:top w:val="single" w:sz="8" w:color="auto"/>
              <w:bottom w:val="single" w:sz="8" w:color="auto"/>
            </w:tcBorders>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1,578</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Goodwill related to business acquisition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320"/>
              <w:spacing w:after="0" w:line="195" w:lineRule="exact"/>
              <w:rPr>
                <w:sz w:val="20"/>
                <w:szCs w:val="20"/>
                <w:color w:val="auto"/>
              </w:rPr>
            </w:pPr>
            <w:r>
              <w:rPr>
                <w:rFonts w:ascii="Times New Roman" w:cs="Times New Roman" w:eastAsia="Times New Roman" w:hAnsi="Times New Roman"/>
                <w:sz w:val="18"/>
                <w:szCs w:val="18"/>
                <w:color w:val="auto"/>
              </w:rPr>
              <w:t>Assets acquired under capital leases</w:t>
            </w:r>
          </w:p>
        </w:tc>
        <w:tc>
          <w:tcPr>
            <w:tcW w:w="340" w:type="dxa"/>
            <w:vAlign w:val="bottom"/>
            <w:tcBorders>
              <w:bottom w:val="single" w:sz="8" w:color="auto"/>
            </w:tcBorders>
            <w:shd w:val="clear" w:color="auto" w:fill="CCEEFF"/>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3,562</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79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Principles of Consolidation and Basis of Presentation</w:t>
      </w:r>
    </w:p>
    <w:p>
      <w:pPr>
        <w:spacing w:after="0" w:line="228" w:lineRule="exact"/>
        <w:rPr>
          <w:sz w:val="20"/>
          <w:szCs w:val="20"/>
          <w:color w:val="auto"/>
        </w:rPr>
      </w:pPr>
    </w:p>
    <w:p>
      <w:pPr>
        <w:jc w:val="both"/>
        <w:ind w:right="20" w:firstLine="646"/>
        <w:spacing w:after="0" w:line="271" w:lineRule="auto"/>
        <w:rPr>
          <w:sz w:val="20"/>
          <w:szCs w:val="20"/>
          <w:color w:val="auto"/>
        </w:rPr>
      </w:pPr>
      <w:r>
        <w:rPr>
          <w:rFonts w:ascii="Times New Roman" w:cs="Times New Roman" w:eastAsia="Times New Roman" w:hAnsi="Times New Roman"/>
          <w:sz w:val="17"/>
          <w:szCs w:val="17"/>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2013. Results of operations for interim periods are not necessarily indicative of results that may be expected for any other interim periods or the full fiscal year.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 Other Assets</w:t>
      </w:r>
    </w:p>
    <w:p>
      <w:pPr>
        <w:spacing w:after="0" w:line="228"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The total capitalized costs of the SAP enterprise software and SAP dealership management system of $39.8 million, including capitalized interest, are recorded on the Consolidated Balance Sheet in Other Assets, net of accumulated amortization of $7.9 million. The SAP software is being amortized over a period of 15 years. The Company is currently operating 55 Rush Truck Centers and most of its leasing operations on the SAP enterprise software and SAP dealership management system, which represent approximately 60% of total revenue for the three months ended March 31, 2014. The Company plans to convert all of its locations to the SAP enterprise software and SAP dealership management system by the end of the second quarter of 2015.</w:t>
      </w:r>
    </w:p>
    <w:p>
      <w:pPr>
        <w:spacing w:after="0" w:line="188"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Amortization expense relating to the SAP software, which is recognized in depreciation and amortization expense in the Consolidated Statement of Income, was $0.8 million for the three months ended March 31, 2014, and $0.7 million for the three months ended March 31, 2013. The Company estimates that amortization expense relating to intangible assets will be approximately $3.3 million for each of the next five succeeding years.</w:t>
      </w:r>
    </w:p>
    <w:p>
      <w:pPr>
        <w:spacing w:after="0" w:line="176"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$4.5 million at March 31, 2014 and December 31, 2013,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Due to the fact that manufacturer franchise rights are specific to geographic region, the Company has determined that the geographic region is the appropriate level for purposes of testing franchise rights for impairment. The Company does not amortize manufacturer franchise rights.</w:t>
      </w:r>
    </w:p>
    <w:p>
      <w:pPr>
        <w:spacing w:after="0" w:line="190"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Management reviews indefinite lived manufacturer franchise rights for impairment annually during the fourth quarter, or more often if events or circumstances indicate that impairment may have occurred. The Company is subject to financial statement risk to the extent that manufacturer franchise rights become impaired due to decreases in fair market value of its individual franchises.</w:t>
      </w:r>
    </w:p>
    <w:p>
      <w:pPr>
        <w:spacing w:after="0" w:line="176"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significant estimates and assumptions used by management in assessing the recoverability of manufacturer franchise rights are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40"/>
          </w:cols>
          <w:pgMar w:left="240" w:top="817" w:right="619" w:bottom="1440" w:gutter="0" w:footer="0" w:header="0"/>
        </w:sectPr>
      </w:pPr>
    </w:p>
    <w:bookmarkStart w:id="6" w:name="page7"/>
    <w:bookmarkEnd w:id="6"/>
    <w:p>
      <w:pPr>
        <w:ind w:firstLine="646"/>
        <w:spacing w:after="0" w:line="280" w:lineRule="auto"/>
        <w:rPr>
          <w:sz w:val="20"/>
          <w:szCs w:val="20"/>
          <w:color w:val="auto"/>
        </w:rPr>
      </w:pPr>
      <w:r>
        <w:rPr>
          <w:rFonts w:ascii="Times New Roman" w:cs="Times New Roman" w:eastAsia="Times New Roman" w:hAnsi="Times New Roman"/>
          <w:sz w:val="18"/>
          <w:szCs w:val="18"/>
          <w:color w:val="auto"/>
        </w:rPr>
        <w:t>No impairment write down was required in the fourth quarter of 2013. However, the Company cannot predict the occurrence of certain events that might adversely affect the reported value of manufacturer franchise rights in the future.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Commitments and Contingencies</w:t>
      </w:r>
    </w:p>
    <w:p>
      <w:pPr>
        <w:spacing w:after="0" w:line="228" w:lineRule="exact"/>
        <w:rPr>
          <w:sz w:val="20"/>
          <w:szCs w:val="20"/>
          <w:color w:val="auto"/>
        </w:rPr>
      </w:pPr>
    </w:p>
    <w:p>
      <w:pPr>
        <w:jc w:val="both"/>
        <w:ind w:right="20" w:firstLine="646"/>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Earnings Per Share</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amounts):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40"/>
              <w:spacing w:after="0" w:line="190" w:lineRule="exact"/>
              <w:rPr>
                <w:sz w:val="20"/>
                <w:szCs w:val="20"/>
                <w:color w:val="auto"/>
              </w:rPr>
            </w:pPr>
            <w:r>
              <w:rPr>
                <w:rFonts w:ascii="Times New Roman" w:cs="Times New Roman" w:eastAsia="Times New Roman" w:hAnsi="Times New Roman"/>
                <w:sz w:val="18"/>
                <w:szCs w:val="18"/>
                <w:color w:val="auto"/>
              </w:rPr>
              <w:t>March 31,</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90"/>
              <w:spacing w:after="0" w:line="190" w:lineRule="exact"/>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13,547</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Denominator for basic earnings per share, weighted average shares outstanding</w:t>
            </w:r>
          </w:p>
        </w:tc>
        <w:tc>
          <w:tcPr>
            <w:tcW w:w="2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39,332</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39,119</w:t>
            </w:r>
          </w:p>
        </w:tc>
        <w:tc>
          <w:tcPr>
            <w:tcW w:w="0" w:type="dxa"/>
            <w:vAlign w:val="bottom"/>
          </w:tcPr>
          <w:p>
            <w:pPr>
              <w:spacing w:after="0"/>
              <w:rPr>
                <w:sz w:val="1"/>
                <w:szCs w:val="1"/>
                <w:color w:val="auto"/>
              </w:rPr>
            </w:pPr>
          </w:p>
        </w:tc>
      </w:tr>
      <w:tr>
        <w:trPr>
          <w:trHeight w:val="215"/>
        </w:trPr>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and Director stock options and restricted stock awards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80" w:type="dxa"/>
            <w:vAlign w:val="bottom"/>
            <w:shd w:val="clear" w:color="auto" w:fill="CCEEFF"/>
          </w:tcPr>
          <w:p>
            <w:pPr>
              <w:ind w:left="160"/>
              <w:spacing w:after="0" w:line="190" w:lineRule="exact"/>
              <w:rPr>
                <w:sz w:val="20"/>
                <w:szCs w:val="20"/>
                <w:color w:val="auto"/>
              </w:rPr>
            </w:pPr>
            <w:r>
              <w:rPr>
                <w:rFonts w:ascii="Times New Roman" w:cs="Times New Roman" w:eastAsia="Times New Roman" w:hAnsi="Times New Roman"/>
                <w:sz w:val="18"/>
                <w:szCs w:val="18"/>
                <w:color w:val="auto"/>
              </w:rPr>
              <w:t>Denominator for diluted earnings per share, adjusted weighted average shares and assumed</w:t>
            </w:r>
          </w:p>
        </w:tc>
        <w:tc>
          <w:tcPr>
            <w:tcW w:w="2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40,511</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40,269</w:t>
            </w:r>
          </w:p>
        </w:tc>
        <w:tc>
          <w:tcPr>
            <w:tcW w:w="0" w:type="dxa"/>
            <w:vAlign w:val="bottom"/>
          </w:tcPr>
          <w:p>
            <w:pPr>
              <w:spacing w:after="0"/>
              <w:rPr>
                <w:sz w:val="1"/>
                <w:szCs w:val="1"/>
                <w:color w:val="auto"/>
              </w:rPr>
            </w:pPr>
          </w:p>
        </w:tc>
      </w:tr>
      <w:tr>
        <w:trPr>
          <w:trHeight w:val="220"/>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conversions</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68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646"/>
        <w:spacing w:after="0" w:line="280"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ended March 31, 2014 and 2013 that were not included in the computation of diluted earnings per share because the effect would have been anti-dilutive are as follows (in thousands):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12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March 31,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31,</w:t>
            </w:r>
          </w:p>
        </w:tc>
        <w:tc>
          <w:tcPr>
            <w:tcW w:w="100" w:type="dxa"/>
            <w:vAlign w:val="bottom"/>
          </w:tcPr>
          <w:p>
            <w:pPr>
              <w:spacing w:after="0"/>
              <w:rPr>
                <w:sz w:val="18"/>
                <w:szCs w:val="18"/>
                <w:color w:val="auto"/>
              </w:rPr>
            </w:pPr>
          </w:p>
        </w:tc>
      </w:tr>
      <w:tr>
        <w:trPr>
          <w:trHeight w:val="234"/>
        </w:trPr>
        <w:tc>
          <w:tcPr>
            <w:tcW w:w="7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2014</w:t>
            </w:r>
          </w:p>
        </w:tc>
        <w:tc>
          <w:tcPr>
            <w:tcW w:w="340" w:type="dxa"/>
            <w:vAlign w:val="bottom"/>
          </w:tcPr>
          <w:p>
            <w:pPr>
              <w:spacing w:after="0"/>
              <w:rPr>
                <w:sz w:val="20"/>
                <w:szCs w:val="20"/>
                <w:color w:val="auto"/>
              </w:rPr>
            </w:pPr>
          </w:p>
        </w:tc>
        <w:tc>
          <w:tcPr>
            <w:tcW w:w="17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r>
      <w:tr>
        <w:trPr>
          <w:trHeight w:val="209"/>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options</w:t>
            </w: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 Stock Options and Restricted Stock Awards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accounts for stock-based compensation in accordance with Accounting Standards Codification (“ASC”) 718-10, “Compensation</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for employee stock options, and included in selling, general and administrative expense, was $3.3 million for the three months ended March 31, 2014, and 2013. As of March 31, 2014, there was $22.9 million of total unrecognized compensation cost related to non-vested share-based compensation arrangements to be recognized over a weighted-average period of 3.2 years.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40"/>
          </w:cols>
          <w:pgMar w:left="240" w:top="821" w:right="6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6 – Financial Instruments and Fair Value</w:t>
      </w:r>
    </w:p>
    <w:p>
      <w:pPr>
        <w:spacing w:after="0" w:line="228"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March 31, 2014, and 2013. The carrying value of current assets and current liabilities approximates the fair value due to the short maturity of these items.</w:t>
      </w:r>
    </w:p>
    <w:p>
      <w:pPr>
        <w:spacing w:after="0" w:line="184" w:lineRule="exact"/>
        <w:rPr>
          <w:sz w:val="20"/>
          <w:szCs w:val="20"/>
          <w:color w:val="auto"/>
        </w:rPr>
      </w:pPr>
    </w:p>
    <w:p>
      <w:pPr>
        <w:jc w:val="both"/>
        <w:ind w:right="20" w:firstLine="646"/>
        <w:spacing w:after="0" w:line="257"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the valuation measurement inputs of its long-term debt to represent, at its lowest level, current market interest rates available to the Company for similar debt and the Company’s current credit standing and has categorized such debt within Level 2 of the hierarchy framework. The carrying amount approximates fair value.</w:t>
      </w:r>
    </w:p>
    <w:p>
      <w:pPr>
        <w:spacing w:after="0" w:line="184" w:lineRule="exact"/>
        <w:rPr>
          <w:sz w:val="20"/>
          <w:szCs w:val="20"/>
          <w:color w:val="auto"/>
        </w:rPr>
      </w:pPr>
    </w:p>
    <w:p>
      <w:pPr>
        <w:jc w:val="both"/>
        <w:ind w:right="20" w:firstLine="646"/>
        <w:spacing w:after="0" w:line="265" w:lineRule="auto"/>
        <w:rPr>
          <w:sz w:val="20"/>
          <w:szCs w:val="20"/>
          <w:color w:val="auto"/>
        </w:rPr>
      </w:pPr>
      <w:r>
        <w:rPr>
          <w:rFonts w:ascii="Times New Roman" w:cs="Times New Roman" w:eastAsia="Times New Roman" w:hAnsi="Times New Roman"/>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w:t>
      </w:r>
    </w:p>
    <w:p>
      <w:pPr>
        <w:spacing w:after="0" w:line="176" w:lineRule="exact"/>
        <w:rPr>
          <w:sz w:val="20"/>
          <w:szCs w:val="20"/>
          <w:color w:val="auto"/>
        </w:rPr>
      </w:pPr>
    </w:p>
    <w:p>
      <w:pPr>
        <w:jc w:val="both"/>
        <w:ind w:right="20" w:firstLine="646"/>
        <w:spacing w:after="0" w:line="260" w:lineRule="auto"/>
        <w:rPr>
          <w:sz w:val="20"/>
          <w:szCs w:val="20"/>
          <w:color w:val="auto"/>
        </w:rPr>
      </w:pPr>
      <w:r>
        <w:rPr>
          <w:rFonts w:ascii="Times New Roman" w:cs="Times New Roman" w:eastAsia="Times New Roman" w:hAnsi="Times New Roman"/>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80" w:lineRule="exact"/>
        <w:rPr>
          <w:sz w:val="20"/>
          <w:szCs w:val="20"/>
          <w:color w:val="auto"/>
        </w:rPr>
      </w:pPr>
    </w:p>
    <w:p>
      <w:pPr>
        <w:jc w:val="both"/>
        <w:ind w:right="20" w:firstLine="646"/>
        <w:spacing w:after="0" w:line="257" w:lineRule="auto"/>
        <w:rPr>
          <w:sz w:val="20"/>
          <w:szCs w:val="20"/>
          <w:color w:val="auto"/>
        </w:rPr>
      </w:pPr>
      <w:r>
        <w:rPr>
          <w:rFonts w:ascii="Times New Roman" w:cs="Times New Roman" w:eastAsia="Times New Roman" w:hAnsi="Times New Roman"/>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4"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As of March 31, 2014, and 2013, the Company held auction rate securities with underlying tax-exempt municipal bonds that mature in 2030 that have a fair value of $6.6 million and a cost basis of $7.6 million. These bonds have credit wrap insurance and a credit rating of A2 by a major credit rating agency.</w:t>
      </w:r>
    </w:p>
    <w:p>
      <w:pPr>
        <w:spacing w:after="0" w:line="176"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The Company valued the auction rate securities at March 31, 2014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190"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The Company recorded a pre-tax impairment charge of $1.0 million on these investments in 2011. The Company believes that the impairment is temporary and has included the impairment in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40"/>
          </w:cols>
          <w:pgMar w:left="240" w:top="817" w:right="619" w:bottom="1440" w:gutter="0" w:footer="0" w:header="0"/>
        </w:sectPr>
      </w:pPr>
    </w:p>
    <w:bookmarkStart w:id="8" w:name="page9"/>
    <w:bookmarkEnd w:id="8"/>
    <w:p>
      <w:pPr>
        <w:ind w:right="420" w:firstLine="646"/>
        <w:spacing w:after="0" w:line="280" w:lineRule="auto"/>
        <w:rPr>
          <w:sz w:val="20"/>
          <w:szCs w:val="20"/>
          <w:color w:val="auto"/>
        </w:rPr>
      </w:pPr>
      <w:r>
        <w:rPr>
          <w:rFonts w:ascii="Times New Roman" w:cs="Times New Roman" w:eastAsia="Times New Roman" w:hAnsi="Times New Roman"/>
          <w:sz w:val="18"/>
          <w:szCs w:val="18"/>
          <w:color w:val="auto"/>
        </w:rPr>
        <w:t>The table below presents disclosures about the auction rate securities measured at fair value on a recurring basis in the Company’s financial statements as follows (in thousands):</w:t>
      </w:r>
    </w:p>
    <w:p>
      <w:pPr>
        <w:sectPr>
          <w:pgSz w:w="11900" w:h="16838" w:orient="portrait"/>
          <w:cols w:equalWidth="0" w:num="1">
            <w:col w:w="11460"/>
          </w:cols>
          <w:pgMar w:left="240" w:top="848" w:right="199" w:bottom="1440" w:gutter="0" w:footer="0" w:header="0"/>
        </w:sectPr>
      </w:pPr>
    </w:p>
    <w:p>
      <w:pPr>
        <w:spacing w:after="0" w:line="15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At March 31, 2014</w:t>
      </w:r>
    </w:p>
    <w:p>
      <w:pPr>
        <w:spacing w:after="0" w:line="31" w:lineRule="exact"/>
        <w:rPr>
          <w:sz w:val="20"/>
          <w:szCs w:val="20"/>
          <w:color w:val="auto"/>
        </w:rPr>
      </w:pPr>
    </w:p>
    <w:tbl>
      <w:tblPr>
        <w:tblLayout w:type="fixed"/>
        <w:tblInd w:w="3340" w:type="dxa"/>
        <w:tblCellMar>
          <w:top w:w="0" w:type="dxa"/>
          <w:left w:w="0" w:type="dxa"/>
          <w:bottom w:w="0" w:type="dxa"/>
          <w:right w:w="0" w:type="dxa"/>
        </w:tblCellMar>
      </w:tblPr>
      <w:tr>
        <w:trPr>
          <w:trHeight w:val="186"/>
        </w:trPr>
        <w:tc>
          <w:tcPr>
            <w:tcW w:w="1280" w:type="dxa"/>
            <w:vAlign w:val="bottom"/>
            <w:tcBorders>
              <w:top w:val="single" w:sz="8" w:color="auto"/>
            </w:tcBorders>
          </w:tcPr>
          <w:p>
            <w:pPr>
              <w:jc w:val="center"/>
              <w:ind w:right="50"/>
              <w:spacing w:after="0" w:line="187" w:lineRule="exact"/>
              <w:rPr>
                <w:sz w:val="20"/>
                <w:szCs w:val="20"/>
                <w:color w:val="auto"/>
              </w:rPr>
            </w:pPr>
            <w:r>
              <w:rPr>
                <w:rFonts w:ascii="Times New Roman" w:cs="Times New Roman" w:eastAsia="Times New Roman" w:hAnsi="Times New Roman"/>
                <w:sz w:val="18"/>
                <w:szCs w:val="18"/>
                <w:b w:val="1"/>
                <w:bCs w:val="1"/>
                <w:color w:val="auto"/>
                <w:w w:val="97"/>
              </w:rPr>
              <w:t>Level 1</w:t>
            </w:r>
          </w:p>
        </w:tc>
        <w:tc>
          <w:tcPr>
            <w:tcW w:w="138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1280" w:type="dxa"/>
            <w:vAlign w:val="bottom"/>
            <w:tcBorders>
              <w:top w:val="single" w:sz="8" w:color="auto"/>
            </w:tcBorders>
          </w:tcPr>
          <w:p>
            <w:pPr>
              <w:jc w:val="center"/>
              <w:ind w:left="30"/>
              <w:spacing w:after="0" w:line="187"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38"/>
        </w:trPr>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At December 31, 2013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tcBorders>
              <w:top w:val="single" w:sz="8" w:color="auto"/>
            </w:tcBorders>
          </w:tcPr>
          <w:p>
            <w:pPr>
              <w:jc w:val="center"/>
              <w:ind w:right="10"/>
              <w:spacing w:after="0" w:line="187"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36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240" w:type="dxa"/>
            <w:vAlign w:val="bottom"/>
            <w:tcBorders>
              <w:top w:val="single" w:sz="8" w:color="auto"/>
            </w:tcBorders>
          </w:tcPr>
          <w:p>
            <w:pPr>
              <w:jc w:val="center"/>
              <w:ind w:left="10"/>
              <w:spacing w:after="0" w:line="187" w:lineRule="exact"/>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38"/>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bl>
    <w:p>
      <w:pPr>
        <w:spacing w:after="0" w:line="20" w:lineRule="exact"/>
        <w:rPr>
          <w:sz w:val="20"/>
          <w:szCs w:val="20"/>
          <w:color w:val="auto"/>
        </w:rPr>
      </w:pPr>
    </w:p>
    <w:p>
      <w:pPr>
        <w:sectPr>
          <w:pgSz w:w="11900" w:h="16838" w:orient="portrait"/>
          <w:cols w:equalWidth="0" w:num="2">
            <w:col w:w="7280" w:space="220"/>
            <w:col w:w="3960"/>
          </w:cols>
          <w:pgMar w:left="240" w:top="848" w:right="19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Investment in auction rate securities</w:t>
            </w:r>
          </w:p>
        </w:tc>
        <w:tc>
          <w:tcPr>
            <w:tcW w:w="520" w:type="dxa"/>
            <w:vAlign w:val="bottom"/>
            <w:shd w:val="clear" w:color="auto" w:fill="CCEEFF"/>
          </w:tcPr>
          <w:p>
            <w:pPr>
              <w:jc w:val="right"/>
              <w:ind w:right="3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6,628</w:t>
            </w:r>
          </w:p>
        </w:tc>
        <w:tc>
          <w:tcPr>
            <w:tcW w:w="500" w:type="dxa"/>
            <w:vAlign w:val="bottom"/>
            <w:gridSpan w:val="3"/>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4"/>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6,628</w:t>
            </w:r>
          </w:p>
        </w:tc>
      </w:tr>
      <w:tr>
        <w:trPr>
          <w:trHeight w:val="624"/>
        </w:trPr>
        <w:tc>
          <w:tcPr>
            <w:tcW w:w="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Loss In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Cost Basis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OCI</w:t>
            </w:r>
          </w:p>
        </w:tc>
        <w:tc>
          <w:tcPr>
            <w:tcW w:w="200" w:type="dxa"/>
            <w:vAlign w:val="bottom"/>
          </w:tcPr>
          <w:p>
            <w:pPr>
              <w:spacing w:after="0"/>
              <w:rPr>
                <w:sz w:val="20"/>
                <w:szCs w:val="20"/>
                <w:color w:val="auto"/>
              </w:rPr>
            </w:pPr>
          </w:p>
        </w:tc>
        <w:tc>
          <w:tcPr>
            <w:tcW w:w="17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3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2014</w:t>
            </w: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226" w:lineRule="exact"/>
        <w:rPr>
          <w:sz w:val="20"/>
          <w:szCs w:val="20"/>
          <w:color w:val="auto"/>
        </w:rPr>
      </w:pPr>
    </w:p>
    <w:p>
      <w:pPr>
        <w:jc w:val="both"/>
        <w:ind w:right="420" w:firstLine="646"/>
        <w:spacing w:after="0" w:line="255" w:lineRule="auto"/>
        <w:rPr>
          <w:sz w:val="20"/>
          <w:szCs w:val="20"/>
          <w:color w:val="auto"/>
        </w:rPr>
      </w:pPr>
      <w:r>
        <w:rPr>
          <w:rFonts w:ascii="Times New Roman" w:cs="Times New Roman" w:eastAsia="Times New Roman" w:hAnsi="Times New Roman"/>
          <w:sz w:val="18"/>
          <w:szCs w:val="18"/>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88" w:lineRule="exact"/>
        <w:rPr>
          <w:sz w:val="20"/>
          <w:szCs w:val="20"/>
          <w:color w:val="auto"/>
        </w:rPr>
      </w:pPr>
    </w:p>
    <w:p>
      <w:pPr>
        <w:jc w:val="both"/>
        <w:ind w:right="420" w:firstLine="646"/>
        <w:spacing w:after="0" w:line="255" w:lineRule="auto"/>
        <w:rPr>
          <w:sz w:val="20"/>
          <w:szCs w:val="20"/>
          <w:color w:val="auto"/>
        </w:rPr>
      </w:pPr>
      <w:r>
        <w:rPr>
          <w:rFonts w:ascii="Times New Roman" w:cs="Times New Roman" w:eastAsia="Times New Roman" w:hAnsi="Times New Roman"/>
          <w:sz w:val="18"/>
          <w:szCs w:val="18"/>
          <w:color w:val="auto"/>
        </w:rPr>
        <w:t>At March 31, 2014, the Company had an aggregate $37.5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three months ended March 31, 2014 and 2013.</w:t>
      </w:r>
    </w:p>
    <w:p>
      <w:pPr>
        <w:spacing w:after="0" w:line="188" w:lineRule="exact"/>
        <w:rPr>
          <w:sz w:val="20"/>
          <w:szCs w:val="20"/>
          <w:color w:val="auto"/>
        </w:rPr>
      </w:pPr>
    </w:p>
    <w:p>
      <w:pPr>
        <w:jc w:val="both"/>
        <w:ind w:right="420" w:firstLine="646"/>
        <w:spacing w:after="0" w:line="260" w:lineRule="auto"/>
        <w:rPr>
          <w:sz w:val="20"/>
          <w:szCs w:val="20"/>
          <w:color w:val="auto"/>
        </w:rPr>
      </w:pPr>
      <w:r>
        <w:rPr>
          <w:rFonts w:ascii="Times New Roman" w:cs="Times New Roman" w:eastAsia="Times New Roman" w:hAnsi="Times New Roman"/>
          <w:sz w:val="18"/>
          <w:szCs w:val="18"/>
          <w:color w:val="auto"/>
        </w:rPr>
        <w:t>The fair value of cash flow hedges is calculated as the present value of expected future cash flows, determined on the basis of forward interest rates and present value factors. As such, the carrying amounts for these swaps are designated to be Level 2 fair values and totaled a liability of $0.8 million as of March 31, 2014. The carrying value of these swaps is included in Other Long-Term Liabilities on the accompanying Consolidated Balance Sheet as of March 31, 2014.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2014 the Company was party to derivative financial instruments, as described in the following table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Fixed</w:t>
            </w: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1400" w:type="dxa"/>
            <w:vAlign w:val="bottom"/>
            <w:gridSpan w:val="2"/>
          </w:tcPr>
          <w:p>
            <w:pPr>
              <w:jc w:val="center"/>
              <w:ind w:right="180"/>
              <w:spacing w:after="0" w:line="202" w:lineRule="exact"/>
              <w:rPr>
                <w:sz w:val="20"/>
                <w:szCs w:val="20"/>
                <w:color w:val="auto"/>
              </w:rPr>
            </w:pPr>
            <w:r>
              <w:rPr>
                <w:rFonts w:ascii="Times New Roman" w:cs="Times New Roman" w:eastAsia="Times New Roman" w:hAnsi="Times New Roman"/>
                <w:sz w:val="18"/>
                <w:szCs w:val="18"/>
                <w:b w:val="1"/>
                <w:bCs w:val="1"/>
                <w:color w:val="auto"/>
                <w:w w:val="96"/>
              </w:rPr>
              <w:t>Interest</w:t>
            </w:r>
          </w:p>
        </w:tc>
        <w:tc>
          <w:tcPr>
            <w:tcW w:w="3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00" w:type="dxa"/>
            <w:vAlign w:val="bottom"/>
            <w:gridSpan w:val="3"/>
          </w:tcPr>
          <w:p>
            <w:pPr>
              <w:jc w:val="center"/>
              <w:ind w:right="176"/>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Rate Swap</w:t>
            </w: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80" w:type="dxa"/>
            <w:vAlign w:val="bottom"/>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month LIBOR</w:t>
            </w:r>
          </w:p>
        </w:tc>
        <w:tc>
          <w:tcPr>
            <w:tcW w:w="120" w:type="dxa"/>
            <w:vAlign w:val="bottom"/>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1, 2015</w:t>
            </w: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gridSpan w:val="3"/>
          </w:tcPr>
          <w:p>
            <w:pPr>
              <w:jc w:val="center"/>
              <w:ind w:right="176"/>
              <w:spacing w:after="0"/>
              <w:rPr>
                <w:sz w:val="20"/>
                <w:szCs w:val="20"/>
                <w:color w:val="auto"/>
              </w:rPr>
            </w:pPr>
            <w:r>
              <w:rPr>
                <w:rFonts w:ascii="Times New Roman" w:cs="Times New Roman" w:eastAsia="Times New Roman" w:hAnsi="Times New Roman"/>
                <w:sz w:val="18"/>
                <w:szCs w:val="18"/>
                <w:color w:val="auto"/>
                <w:w w:val="98"/>
              </w:rPr>
              <w:t>Interest Rate Swap</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3,780</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5.075%</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month LIBOR</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gridSpan w:val="3"/>
            <w:shd w:val="clear" w:color="auto" w:fill="CCEEFF"/>
          </w:tcPr>
          <w:p>
            <w:pPr>
              <w:jc w:val="center"/>
              <w:ind w:right="176"/>
              <w:spacing w:after="0"/>
              <w:rPr>
                <w:sz w:val="20"/>
                <w:szCs w:val="20"/>
                <w:color w:val="auto"/>
              </w:rPr>
            </w:pPr>
            <w:r>
              <w:rPr>
                <w:rFonts w:ascii="Times New Roman" w:cs="Times New Roman" w:eastAsia="Times New Roman" w:hAnsi="Times New Roman"/>
                <w:sz w:val="18"/>
                <w:szCs w:val="18"/>
                <w:color w:val="auto"/>
                <w:w w:val="98"/>
              </w:rPr>
              <w:t>Interest Rate Swap</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6,539</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5.39%</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month LIBOR</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gridSpan w:val="3"/>
          </w:tcPr>
          <w:p>
            <w:pPr>
              <w:jc w:val="center"/>
              <w:ind w:right="176"/>
              <w:spacing w:after="0"/>
              <w:rPr>
                <w:sz w:val="20"/>
                <w:szCs w:val="20"/>
                <w:color w:val="auto"/>
              </w:rPr>
            </w:pPr>
            <w:r>
              <w:rPr>
                <w:rFonts w:ascii="Times New Roman" w:cs="Times New Roman" w:eastAsia="Times New Roman" w:hAnsi="Times New Roman"/>
                <w:sz w:val="18"/>
                <w:szCs w:val="18"/>
                <w:color w:val="auto"/>
                <w:w w:val="98"/>
              </w:rPr>
              <w:t>Interest Rate Swap</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1,264</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month LIBOR</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gridSpan w:val="3"/>
            <w:shd w:val="clear" w:color="auto" w:fill="CCEEFF"/>
          </w:tcPr>
          <w:p>
            <w:pPr>
              <w:jc w:val="center"/>
              <w:ind w:right="176"/>
              <w:spacing w:after="0"/>
              <w:rPr>
                <w:sz w:val="20"/>
                <w:szCs w:val="20"/>
                <w:color w:val="auto"/>
              </w:rPr>
            </w:pPr>
            <w:r>
              <w:rPr>
                <w:rFonts w:ascii="Times New Roman" w:cs="Times New Roman" w:eastAsia="Times New Roman" w:hAnsi="Times New Roman"/>
                <w:sz w:val="18"/>
                <w:szCs w:val="18"/>
                <w:color w:val="auto"/>
                <w:w w:val="98"/>
              </w:rPr>
              <w:t>Interest Rate Swap</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2,250</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5.39%</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month LIBOR</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gridSpan w:val="3"/>
          </w:tcPr>
          <w:p>
            <w:pPr>
              <w:jc w:val="center"/>
              <w:ind w:right="176"/>
              <w:spacing w:after="0"/>
              <w:rPr>
                <w:sz w:val="20"/>
                <w:szCs w:val="20"/>
                <w:color w:val="auto"/>
              </w:rPr>
            </w:pPr>
            <w:r>
              <w:rPr>
                <w:rFonts w:ascii="Times New Roman" w:cs="Times New Roman" w:eastAsia="Times New Roman" w:hAnsi="Times New Roman"/>
                <w:sz w:val="18"/>
                <w:szCs w:val="18"/>
                <w:color w:val="auto"/>
                <w:w w:val="98"/>
              </w:rPr>
              <w:t>Interest Rate Swap</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5,091</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month LIBOR</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gridSpan w:val="3"/>
            <w:shd w:val="clear" w:color="auto" w:fill="CCEEFF"/>
          </w:tcPr>
          <w:p>
            <w:pPr>
              <w:jc w:val="center"/>
              <w:ind w:right="176"/>
              <w:spacing w:after="0"/>
              <w:rPr>
                <w:sz w:val="20"/>
                <w:szCs w:val="20"/>
                <w:color w:val="auto"/>
              </w:rPr>
            </w:pPr>
            <w:r>
              <w:rPr>
                <w:rFonts w:ascii="Times New Roman" w:cs="Times New Roman" w:eastAsia="Times New Roman" w:hAnsi="Times New Roman"/>
                <w:sz w:val="18"/>
                <w:szCs w:val="18"/>
                <w:color w:val="auto"/>
                <w:w w:val="98"/>
              </w:rPr>
              <w:t>Interest Rate Swap</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4,680</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5.38%</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month LIBOR</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29, 2015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gridSpan w:val="3"/>
          </w:tcPr>
          <w:p>
            <w:pPr>
              <w:jc w:val="center"/>
              <w:ind w:right="176"/>
              <w:spacing w:after="0"/>
              <w:rPr>
                <w:sz w:val="20"/>
                <w:szCs w:val="20"/>
                <w:color w:val="auto"/>
              </w:rPr>
            </w:pPr>
            <w:r>
              <w:rPr>
                <w:rFonts w:ascii="Times New Roman" w:cs="Times New Roman" w:eastAsia="Times New Roman" w:hAnsi="Times New Roman"/>
                <w:sz w:val="18"/>
                <w:szCs w:val="18"/>
                <w:color w:val="auto"/>
                <w:w w:val="98"/>
              </w:rPr>
              <w:t>Interest Rate Swap</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5.29%</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month LIBOR</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gridSpan w:val="3"/>
            <w:shd w:val="clear" w:color="auto" w:fill="CCEEFF"/>
          </w:tcPr>
          <w:p>
            <w:pPr>
              <w:jc w:val="center"/>
              <w:ind w:right="176"/>
              <w:spacing w:after="0"/>
              <w:rPr>
                <w:sz w:val="20"/>
                <w:szCs w:val="20"/>
                <w:color w:val="auto"/>
              </w:rPr>
            </w:pPr>
            <w:r>
              <w:rPr>
                <w:rFonts w:ascii="Times New Roman" w:cs="Times New Roman" w:eastAsia="Times New Roman" w:hAnsi="Times New Roman"/>
                <w:sz w:val="18"/>
                <w:szCs w:val="18"/>
                <w:color w:val="auto"/>
                <w:w w:val="98"/>
              </w:rPr>
              <w:t>Interest Rate Swap</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1,380</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month LIBOR</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30, 2015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gridSpan w:val="3"/>
          </w:tcPr>
          <w:p>
            <w:pPr>
              <w:jc w:val="center"/>
              <w:ind w:right="176"/>
              <w:spacing w:after="0"/>
              <w:rPr>
                <w:sz w:val="20"/>
                <w:szCs w:val="20"/>
                <w:color w:val="auto"/>
              </w:rPr>
            </w:pPr>
            <w:r>
              <w:rPr>
                <w:rFonts w:ascii="Times New Roman" w:cs="Times New Roman" w:eastAsia="Times New Roman" w:hAnsi="Times New Roman"/>
                <w:sz w:val="18"/>
                <w:szCs w:val="18"/>
                <w:color w:val="auto"/>
                <w:w w:val="98"/>
              </w:rPr>
              <w:t>Interest Rate Swap</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6,960</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5.29%</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month LIBOR</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0" w:type="dxa"/>
            <w:vAlign w:val="bottom"/>
            <w:gridSpan w:val="3"/>
            <w:shd w:val="clear" w:color="auto" w:fill="CCEEFF"/>
          </w:tcPr>
          <w:p>
            <w:pPr>
              <w:jc w:val="center"/>
              <w:ind w:right="176"/>
              <w:spacing w:after="0"/>
              <w:rPr>
                <w:sz w:val="20"/>
                <w:szCs w:val="20"/>
                <w:color w:val="auto"/>
              </w:rPr>
            </w:pPr>
            <w:r>
              <w:rPr>
                <w:rFonts w:ascii="Times New Roman" w:cs="Times New Roman" w:eastAsia="Times New Roman" w:hAnsi="Times New Roman"/>
                <w:sz w:val="18"/>
                <w:szCs w:val="18"/>
                <w:color w:val="auto"/>
                <w:w w:val="98"/>
              </w:rPr>
              <w:t>Interest Rate Swap</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w:t>
            </w:r>
          </w:p>
        </w:tc>
        <w:tc>
          <w:tcPr>
            <w:tcW w:w="3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month LIBOR</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30, 2015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gridSpan w:val="3"/>
          </w:tcPr>
          <w:p>
            <w:pPr>
              <w:jc w:val="center"/>
              <w:ind w:right="176"/>
              <w:spacing w:after="0"/>
              <w:rPr>
                <w:sz w:val="20"/>
                <w:szCs w:val="20"/>
                <w:color w:val="auto"/>
              </w:rPr>
            </w:pPr>
            <w:r>
              <w:rPr>
                <w:rFonts w:ascii="Times New Roman" w:cs="Times New Roman" w:eastAsia="Times New Roman" w:hAnsi="Times New Roman"/>
                <w:sz w:val="18"/>
                <w:szCs w:val="18"/>
                <w:color w:val="auto"/>
                <w:w w:val="98"/>
              </w:rPr>
              <w:t>Interest Rate Swap</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2,412</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5.29%</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month LIBOR</w:t>
            </w:r>
          </w:p>
        </w:tc>
        <w:tc>
          <w:tcPr>
            <w:tcW w:w="1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2015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0"/>
        </w:trPr>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2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7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48" w:right="199" w:bottom="1440" w:gutter="0" w:footer="0" w:header="0"/>
          <w:type w:val="continuous"/>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Fair values of derivative instruments are on the accompanying Consolidated Balance Sheet (in thousands):</w:t>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7"/>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Fair Value at</w:t>
            </w:r>
          </w:p>
        </w:tc>
      </w:tr>
      <w:tr>
        <w:trPr>
          <w:trHeight w:val="186"/>
        </w:trPr>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180"/>
              <w:spacing w:after="0" w:line="187"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r>
      <w:tr>
        <w:trPr>
          <w:trHeight w:val="238"/>
        </w:trPr>
        <w:tc>
          <w:tcPr>
            <w:tcW w:w="4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 Designated as Hedging Instruments</w:t>
            </w: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r>
      <w:tr>
        <w:trPr>
          <w:trHeight w:val="215"/>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r>
      <w:tr>
        <w:trPr>
          <w:trHeight w:val="624"/>
        </w:trPr>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 Reclassified</w:t>
            </w:r>
          </w:p>
        </w:tc>
      </w:tr>
      <w:tr>
        <w:trPr>
          <w:trHeight w:val="215"/>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Gain (Loss) Recognized in</w:t>
            </w: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from Accumulated</w:t>
            </w:r>
          </w:p>
        </w:tc>
      </w:tr>
      <w:tr>
        <w:trPr>
          <w:trHeight w:val="215"/>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OCI on Derivatives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OCI into Income</w:t>
            </w:r>
          </w:p>
        </w:tc>
      </w:tr>
      <w:tr>
        <w:trPr>
          <w:trHeight w:val="215"/>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(Effective Portion)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(Effective Portion)</w:t>
            </w:r>
          </w:p>
        </w:tc>
      </w:tr>
      <w:tr>
        <w:trPr>
          <w:trHeight w:val="215"/>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r>
      <w:tr>
        <w:trPr>
          <w:trHeight w:val="245"/>
        </w:trPr>
        <w:tc>
          <w:tcPr>
            <w:tcW w:w="2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193"/>
        </w:trPr>
        <w:tc>
          <w:tcPr>
            <w:tcW w:w="25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400"/>
              <w:spacing w:after="0" w:line="193"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300" w:type="dxa"/>
            <w:vAlign w:val="bottom"/>
            <w:tcBorders>
              <w:top w:val="single" w:sz="8" w:color="auto"/>
            </w:tcBorders>
            <w:gridSpan w:val="3"/>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6"/>
                <w:szCs w:val="16"/>
                <w:color w:val="auto"/>
              </w:rPr>
            </w:pPr>
          </w:p>
        </w:tc>
        <w:tc>
          <w:tcPr>
            <w:tcW w:w="226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rPr>
              <w:t>Reclassified into</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260"/>
              <w:spacing w:after="0" w:line="193"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0"/>
              <w:spacing w:after="0" w:line="193"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gridSpan w:val="2"/>
          </w:tcPr>
          <w:p>
            <w:pPr>
              <w:spacing w:after="0"/>
              <w:rPr>
                <w:sz w:val="16"/>
                <w:szCs w:val="16"/>
                <w:color w:val="auto"/>
              </w:rPr>
            </w:pPr>
          </w:p>
        </w:tc>
      </w:tr>
      <w:tr>
        <w:trPr>
          <w:trHeight w:val="238"/>
        </w:trPr>
        <w:tc>
          <w:tcPr>
            <w:tcW w:w="2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Interest Expense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gridSpan w:val="2"/>
            <w:shd w:val="clear" w:color="auto" w:fill="CCEEFF"/>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 Segment Information</w:t>
      </w:r>
    </w:p>
    <w:p>
      <w:pPr>
        <w:spacing w:after="0" w:line="228" w:lineRule="exact"/>
        <w:rPr>
          <w:sz w:val="20"/>
          <w:szCs w:val="20"/>
          <w:color w:val="auto"/>
        </w:rPr>
      </w:pPr>
    </w:p>
    <w:p>
      <w:pPr>
        <w:jc w:val="both"/>
        <w:ind w:right="460" w:firstLine="646"/>
        <w:spacing w:after="0" w:line="255" w:lineRule="auto"/>
        <w:rPr>
          <w:sz w:val="20"/>
          <w:szCs w:val="20"/>
          <w:color w:val="auto"/>
        </w:rPr>
      </w:pPr>
      <w:r>
        <w:rPr>
          <w:rFonts w:ascii="Times New Roman" w:cs="Times New Roman" w:eastAsia="Times New Roman" w:hAnsi="Times New Roman"/>
          <w:sz w:val="18"/>
          <w:szCs w:val="18"/>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Company’s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88" w:lineRule="exact"/>
        <w:rPr>
          <w:sz w:val="20"/>
          <w:szCs w:val="20"/>
          <w:color w:val="auto"/>
        </w:rPr>
      </w:pPr>
    </w:p>
    <w:p>
      <w:pPr>
        <w:jc w:val="both"/>
        <w:ind w:right="460" w:firstLine="646"/>
        <w:spacing w:after="0" w:line="260"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income from continuing operations before income taxes not including extraordinary items.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w:t>
      </w:r>
    </w:p>
    <w:p>
      <w:pPr>
        <w:spacing w:after="0" w:line="8" w:lineRule="exact"/>
        <w:rPr>
          <w:sz w:val="20"/>
          <w:szCs w:val="20"/>
          <w:color w:val="auto"/>
        </w:rPr>
      </w:pPr>
    </w:p>
    <w:p>
      <w:pPr>
        <w:jc w:val="both"/>
        <w:ind w:right="460"/>
        <w:spacing w:after="0" w:line="259" w:lineRule="auto"/>
        <w:rPr>
          <w:sz w:val="20"/>
          <w:szCs w:val="20"/>
          <w:color w:val="auto"/>
        </w:rPr>
      </w:pPr>
      <w:r>
        <w:rPr>
          <w:rFonts w:ascii="Times New Roman" w:cs="Times New Roman" w:eastAsia="Times New Roman" w:hAnsi="Times New Roman"/>
          <w:sz w:val="18"/>
          <w:szCs w:val="18"/>
          <w:color w:val="auto"/>
        </w:rPr>
        <w:t>following table contains summarized information about reportable segment revenue, segment income or loss from continuing operations and segment assets for the periods ended March 31, 2014 and 2013 (in thousands):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Truck</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4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2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Totals</w:t>
            </w:r>
          </w:p>
        </w:tc>
      </w:tr>
      <w:tr>
        <w:trPr>
          <w:trHeight w:val="209"/>
        </w:trPr>
        <w:tc>
          <w:tcPr>
            <w:tcW w:w="5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March 31, 2014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954,407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4,260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958,667</w:t>
            </w:r>
          </w:p>
        </w:tc>
      </w:tr>
      <w:tr>
        <w:trPr>
          <w:trHeight w:val="21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2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19,759</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19,615</w:t>
            </w:r>
          </w:p>
        </w:tc>
      </w:tr>
      <w:tr>
        <w:trPr>
          <w:trHeight w:val="21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2,233,510</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30,210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2,263,720</w:t>
            </w:r>
          </w:p>
        </w:tc>
      </w:tr>
      <w:tr>
        <w:trPr>
          <w:trHeight w:val="215"/>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March 31, 2013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752,230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756,788</w:t>
            </w:r>
          </w:p>
        </w:tc>
      </w:tr>
      <w:tr>
        <w:trPr>
          <w:trHeight w:val="21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(loss) before taxes</w:t>
            </w:r>
          </w:p>
        </w:tc>
        <w:tc>
          <w:tcPr>
            <w:tcW w:w="2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22,148</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22,100</w:t>
            </w:r>
          </w:p>
        </w:tc>
      </w:tr>
      <w:tr>
        <w:trPr>
          <w:trHeight w:val="21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1,835,123</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26,192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1,861,315</w:t>
            </w:r>
          </w:p>
        </w:tc>
      </w:tr>
    </w:tbl>
    <w:p>
      <w:pPr>
        <w:spacing w:after="0" w:line="197" w:lineRule="exact"/>
        <w:rPr>
          <w:sz w:val="20"/>
          <w:szCs w:val="20"/>
          <w:color w:val="auto"/>
        </w:rPr>
      </w:pPr>
    </w:p>
    <w:p>
      <w:pPr>
        <w:jc w:val="both"/>
        <w:ind w:right="460" w:firstLine="646"/>
        <w:spacing w:after="0" w:line="265" w:lineRule="auto"/>
        <w:rPr>
          <w:sz w:val="20"/>
          <w:szCs w:val="20"/>
          <w:color w:val="auto"/>
        </w:rPr>
      </w:pPr>
      <w:r>
        <w:rPr>
          <w:rFonts w:ascii="Times New Roman" w:cs="Times New Roman" w:eastAsia="Times New Roman" w:hAnsi="Times New Roman"/>
          <w:sz w:val="18"/>
          <w:szCs w:val="18"/>
          <w:color w:val="auto"/>
        </w:rPr>
        <w:t>Revenues from segments below the quantitative thresholds are attributable to three operating segments of the Company and are included in the All Other column. Those segments include a retail tire company, an insurance agency and a guest ranch operation. None of those segments has ever met any of the quantitative thresholds for determining reportable segments.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500"/>
          </w:cols>
          <w:pgMar w:left="240" w:top="794" w:right="1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8 – Income Taxes</w:t>
      </w:r>
    </w:p>
    <w:p>
      <w:pPr>
        <w:spacing w:after="0" w:line="228" w:lineRule="exact"/>
        <w:rPr>
          <w:sz w:val="20"/>
          <w:szCs w:val="20"/>
          <w:color w:val="auto"/>
        </w:rPr>
      </w:pPr>
    </w:p>
    <w:p>
      <w:pPr>
        <w:jc w:val="both"/>
        <w:ind w:right="360" w:firstLine="646"/>
        <w:spacing w:after="0" w:line="257" w:lineRule="auto"/>
        <w:rPr>
          <w:sz w:val="20"/>
          <w:szCs w:val="20"/>
          <w:color w:val="auto"/>
        </w:rPr>
      </w:pPr>
      <w:r>
        <w:rPr>
          <w:rFonts w:ascii="Times New Roman" w:cs="Times New Roman" w:eastAsia="Times New Roman" w:hAnsi="Times New Roman"/>
          <w:sz w:val="18"/>
          <w:szCs w:val="18"/>
          <w:color w:val="auto"/>
        </w:rPr>
        <w:t>The Company included accruals for unrecognized income tax benefits totaling $1.5 million as a component of accrued liabilities as of March 31, 2014, and $1.4 million as of March 31, 2013. The unrecognized tax benefits, if recognized, would impact the Company’s effective tax rate. An unfavorable settlement would require a charge to income tax expense and a favorable resolution would be recognized as a reduction to income tax expense. The Company records interest and penalties related to unrecognized income tax benefits in income tax expense. The Company had accrued interest of $81,000 at March 31, 2014 and $49,000 at March 31, 2013 related to unrecognized tax benefits. No amounts were accrued for penalties.</w:t>
      </w:r>
    </w:p>
    <w:p>
      <w:pPr>
        <w:spacing w:after="0" w:line="184" w:lineRule="exact"/>
        <w:rPr>
          <w:sz w:val="20"/>
          <w:szCs w:val="20"/>
          <w:color w:val="auto"/>
        </w:rPr>
      </w:pPr>
    </w:p>
    <w:p>
      <w:pPr>
        <w:jc w:val="both"/>
        <w:ind w:right="360" w:firstLine="646"/>
        <w:spacing w:after="0" w:line="265"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March 31, 2014, the tax years ended December 31, 2010 through 2013 remained subject to audit by federal tax authorities and the tax years ended December 31, 2009 through 2013, remained subject to audit by state tax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Accumulated Other Comprehensive Income</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loss, net of tax, (in thousands):</w:t>
      </w:r>
    </w:p>
    <w:p>
      <w:pPr>
        <w:spacing w:after="0" w:line="200" w:lineRule="exact"/>
        <w:rPr>
          <w:sz w:val="20"/>
          <w:szCs w:val="20"/>
          <w:color w:val="auto"/>
        </w:rPr>
      </w:pPr>
    </w:p>
    <w:p>
      <w:pPr>
        <w:spacing w:after="0" w:line="2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color w:val="auto"/>
                <w:w w:val="99"/>
              </w:rPr>
              <w:t>Three Months Ended March 31, 2014</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right"/>
              <w:ind w:right="600"/>
              <w:spacing w:after="0" w:line="190" w:lineRule="exact"/>
              <w:rPr>
                <w:sz w:val="20"/>
                <w:szCs w:val="20"/>
                <w:color w:val="auto"/>
              </w:rPr>
            </w:pPr>
            <w:r>
              <w:rPr>
                <w:rFonts w:ascii="Times New Roman" w:cs="Times New Roman" w:eastAsia="Times New Roman" w:hAnsi="Times New Roman"/>
                <w:sz w:val="18"/>
                <w:szCs w:val="18"/>
                <w:color w:val="auto"/>
              </w:rPr>
              <w:t>Available</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Cash Flow</w:t>
            </w:r>
          </w:p>
        </w:tc>
        <w:tc>
          <w:tcPr>
            <w:tcW w:w="26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for Sale</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Swaps</w:t>
            </w:r>
          </w:p>
        </w:tc>
        <w:tc>
          <w:tcPr>
            <w:tcW w:w="26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Securities</w:t>
            </w:r>
          </w:p>
        </w:tc>
        <w:tc>
          <w:tcPr>
            <w:tcW w:w="460" w:type="dxa"/>
            <w:vAlign w:val="bottom"/>
          </w:tcPr>
          <w:p>
            <w:pPr>
              <w:spacing w:after="0"/>
              <w:rPr>
                <w:sz w:val="20"/>
                <w:szCs w:val="20"/>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8"/>
                <w:szCs w:val="18"/>
                <w:color w:val="auto"/>
              </w:rPr>
            </w:pPr>
          </w:p>
        </w:tc>
      </w:tr>
      <w:tr>
        <w:trPr>
          <w:trHeight w:val="21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deferred</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7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w:t>
            </w: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1"/>
        </w:trPr>
        <w:tc>
          <w:tcPr>
            <w:tcW w:w="5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color w:val="auto"/>
                <w:w w:val="99"/>
              </w:rPr>
              <w:t>Three Months Ended March 31, 2013</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right"/>
              <w:ind w:right="600"/>
              <w:spacing w:after="0" w:line="190" w:lineRule="exact"/>
              <w:rPr>
                <w:sz w:val="20"/>
                <w:szCs w:val="20"/>
                <w:color w:val="auto"/>
              </w:rPr>
            </w:pPr>
            <w:r>
              <w:rPr>
                <w:rFonts w:ascii="Times New Roman" w:cs="Times New Roman" w:eastAsia="Times New Roman" w:hAnsi="Times New Roman"/>
                <w:sz w:val="18"/>
                <w:szCs w:val="18"/>
                <w:color w:val="auto"/>
              </w:rPr>
              <w:t>Available</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Cash Flow</w:t>
            </w:r>
          </w:p>
        </w:tc>
        <w:tc>
          <w:tcPr>
            <w:tcW w:w="260" w:type="dxa"/>
            <w:vAlign w:val="bottom"/>
          </w:tcPr>
          <w:p>
            <w:pPr>
              <w:spacing w:after="0"/>
              <w:rPr>
                <w:sz w:val="18"/>
                <w:szCs w:val="18"/>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for Sale</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Swaps</w:t>
            </w:r>
          </w:p>
        </w:tc>
        <w:tc>
          <w:tcPr>
            <w:tcW w:w="26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Securities</w:t>
            </w:r>
          </w:p>
        </w:tc>
        <w:tc>
          <w:tcPr>
            <w:tcW w:w="460" w:type="dxa"/>
            <w:vAlign w:val="bottom"/>
          </w:tcPr>
          <w:p>
            <w:pPr>
              <w:spacing w:after="0"/>
              <w:rPr>
                <w:sz w:val="20"/>
                <w:szCs w:val="20"/>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2012</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CEEFF"/>
          </w:tcPr>
          <w:p>
            <w:pPr>
              <w:spacing w:after="0"/>
              <w:rPr>
                <w:sz w:val="18"/>
                <w:szCs w:val="18"/>
                <w:color w:val="auto"/>
              </w:rPr>
            </w:pPr>
          </w:p>
        </w:tc>
      </w:tr>
      <w:tr>
        <w:trPr>
          <w:trHeight w:val="21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r>
        <w:trPr>
          <w:trHeight w:val="215"/>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deferred</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57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2013</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(1,585)</w:t>
            </w: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amount of loss reclassified from accumulated other comprehensive loss into earnings (in thousands):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6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March 31,</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March 31,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2013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cash flow swaps to:</w:t>
            </w: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114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15"/>
        </w:trPr>
        <w:tc>
          <w:tcPr>
            <w:tcW w:w="2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1100" w:type="dxa"/>
            <w:vAlign w:val="bottom"/>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114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Acquisitions</w:t>
      </w:r>
    </w:p>
    <w:p>
      <w:pPr>
        <w:spacing w:after="0" w:line="228" w:lineRule="exact"/>
        <w:rPr>
          <w:sz w:val="20"/>
          <w:szCs w:val="20"/>
          <w:color w:val="auto"/>
        </w:rPr>
      </w:pPr>
    </w:p>
    <w:p>
      <w:pPr>
        <w:jc w:val="both"/>
        <w:ind w:right="280" w:firstLine="646"/>
        <w:spacing w:after="0" w:line="260" w:lineRule="auto"/>
        <w:rPr>
          <w:sz w:val="20"/>
          <w:szCs w:val="20"/>
          <w:color w:val="auto"/>
        </w:rPr>
      </w:pPr>
      <w:r>
        <w:rPr>
          <w:rFonts w:ascii="Times New Roman" w:cs="Times New Roman" w:eastAsia="Times New Roman" w:hAnsi="Times New Roman"/>
          <w:sz w:val="18"/>
          <w:szCs w:val="18"/>
          <w:color w:val="auto"/>
        </w:rPr>
        <w:t>On January 13, 2014, the Company acquired certain assets of CIT, Inc., which did business as Chicago International Trucks, Mcgrenho L.L.C., which did business as Indy Truck Sales, and Indiana Mack Leasing, LLC; and the membership interests of Idealease of Chicago, LLC. The acquisition included International commercial truck dealerships and Idealease commercial vehicle rental and leasing businesses in Carol Stream, Chicago, Grayslake, Huntley, Joliet, Kankakee and Ottawa, Illinois, and Brazil, Gary and Indianapolis, Indiana.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00"/>
          </w:cols>
          <w:pgMar w:left="240" w:top="790" w:right="259" w:bottom="1440" w:gutter="0" w:footer="0" w:header="0"/>
        </w:sectPr>
      </w:pPr>
    </w:p>
    <w:bookmarkStart w:id="11" w:name="page12"/>
    <w:bookmarkEnd w:id="11"/>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The purchase price for the assets, membership interests, goodwill and dealership properties was approximately $145.1 million, which was paid in cash and 83,091 shares of the Company’s Class B Common Stock with a total value of $2.0 million on the date of acquisition. The operations of CIT, Inc. are included in the accompanying consolidated financial statements from the date of the acquisition. The preliminary purchase price was allocated based on the fair values of the assets at the date of acquisition as follows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60,066</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47,425</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30,850</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w:t>
            </w:r>
          </w:p>
        </w:tc>
      </w:tr>
      <w:tr>
        <w:trPr>
          <w:trHeight w:val="209"/>
        </w:trPr>
        <w:tc>
          <w:tcPr>
            <w:tcW w:w="20" w:type="dxa"/>
            <w:vAlign w:val="bottom"/>
          </w:tcPr>
          <w:p>
            <w:pPr>
              <w:spacing w:after="0"/>
              <w:rPr>
                <w:sz w:val="18"/>
                <w:szCs w:val="18"/>
                <w:color w:val="auto"/>
              </w:rPr>
            </w:pPr>
          </w:p>
        </w:tc>
        <w:tc>
          <w:tcPr>
            <w:tcW w:w="7480" w:type="dxa"/>
            <w:vAlign w:val="bottom"/>
            <w:tcBorders>
              <w:top w:val="single" w:sz="8" w:color="CCEEFF"/>
            </w:tcBorders>
          </w:tcPr>
          <w:p>
            <w:pPr>
              <w:ind w:left="128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145,063</w:t>
            </w:r>
          </w:p>
        </w:tc>
        <w:tc>
          <w:tcPr>
            <w:tcW w:w="8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As the value of certain assets and liabilities are preliminary in nature, they are subject to adjustment as additional information is obtained about the facts and circumstances that existed at the acquisition date. Pro forma information is not included in accordance with ASC 805 because the acquisition was not considered material.</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120"/>
          </w:cols>
          <w:pgMar w:left="240" w:top="821"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6" w:lineRule="exact"/>
        <w:rPr>
          <w:sz w:val="20"/>
          <w:szCs w:val="20"/>
          <w:color w:val="auto"/>
        </w:rPr>
      </w:pPr>
    </w:p>
    <w:p>
      <w:pPr>
        <w:jc w:val="both"/>
        <w:ind w:right="20" w:firstLine="646"/>
        <w:spacing w:after="0" w:line="251"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2013,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191" w:lineRule="exact"/>
        <w:rPr>
          <w:sz w:val="20"/>
          <w:szCs w:val="20"/>
          <w:color w:val="auto"/>
        </w:rPr>
      </w:pPr>
    </w:p>
    <w:p>
      <w:pPr>
        <w:jc w:val="both"/>
        <w:ind w:right="40" w:firstLine="646"/>
        <w:spacing w:after="0" w:line="280"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Company’s Filings</w:t>
      </w:r>
    </w:p>
    <w:p>
      <w:pPr>
        <w:spacing w:after="0" w:line="202" w:lineRule="exact"/>
        <w:rPr>
          <w:sz w:val="20"/>
          <w:szCs w:val="20"/>
          <w:color w:val="auto"/>
        </w:rPr>
      </w:pPr>
    </w:p>
    <w:p>
      <w:pPr>
        <w:jc w:val="both"/>
        <w:ind w:right="20" w:firstLine="646"/>
        <w:spacing w:after="0" w:line="183"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PACCAR, Inc. PacLease</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PACCAR Leasing Corporation. Navistar</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Navistar International Corporation. International</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Navistar International Transportation Corp. Idealease is a registered trademark of Idealease, Inc. aka Idealease of North America, Inc.. Blue Bird</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Blue Bird Investment Corporation. IC Bus</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IC Bus, LLC. Fuso</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Mitsubishi Fuso Truck and Bus Corporation. Hino</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Isuzu Motors Limited. Ford Motor Credit Company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Ford Motor Company. Mack</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Mack Trucks, Inc. Ford</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Ford Motor Company. SAP</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SAP Aktiengesellschaft.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8"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176"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790" w:right="599" w:bottom="1440" w:gutter="0" w:footer="0" w:header="0"/>
        </w:sectPr>
      </w:pPr>
    </w:p>
    <w:bookmarkStart w:id="13" w:name="page14"/>
    <w:bookmarkEnd w:id="13"/>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Company’s Rush Truck Centers are principally located in high traffic areas throughout the United States. Since commencing operations as a Peterbilt heavy-duty truck dealer in 1966, the Company has grown to operate 106 Rush Truck Centers in 20 states.</w:t>
      </w:r>
    </w:p>
    <w:p>
      <w:pPr>
        <w:spacing w:after="0" w:line="163"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8" w:lineRule="exact"/>
        <w:rPr>
          <w:sz w:val="20"/>
          <w:szCs w:val="20"/>
          <w:color w:val="auto"/>
        </w:rPr>
      </w:pPr>
    </w:p>
    <w:p>
      <w:pPr>
        <w:jc w:val="both"/>
        <w:ind w:right="40" w:firstLine="646"/>
        <w:spacing w:after="0" w:line="255" w:lineRule="auto"/>
        <w:rPr>
          <w:sz w:val="20"/>
          <w:szCs w:val="20"/>
          <w:color w:val="auto"/>
        </w:rPr>
      </w:pPr>
      <w:r>
        <w:rPr>
          <w:rFonts w:ascii="Times New Roman" w:cs="Times New Roman" w:eastAsia="Times New Roman" w:hAnsi="Times New Roman"/>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6"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plus a reasonable profit margin.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6"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by reporting unit utilizing a two-step process at least annually, or more frequently when events or changes in circumstances indicate that the asset might be impaired. The first step requires the Company to compare the fair value of the reporting unit, which is the same as the segment, to the respective carrying value. The Company considers its Truck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89"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 to materialize, the resulting decline in its estimated fair value could result in a material impairment charge to the goodwill associated with the reporting unit.</w:t>
      </w:r>
    </w:p>
    <w:p>
      <w:pPr>
        <w:spacing w:after="0" w:line="189"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strategic decisions made in response to economic and competitive conditions or the impact of the current economic environment.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821" w:right="599" w:bottom="1440" w:gutter="0" w:footer="0" w:header="0"/>
        </w:sectPr>
      </w:pPr>
    </w:p>
    <w:bookmarkStart w:id="14" w:name="page15"/>
    <w:bookmarkEnd w:id="14"/>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Goodwill was tested for impairment during the fourth quarter of 2013 and no impairment was required. The fair value of our reporting unit exceeded the carrying value of its net assets. As a result, we were not required to conduct the second step of the impairment test. The Company does not believe its reporting unit is at risk of failing step one of the impairment test.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Accruals</w:t>
      </w:r>
    </w:p>
    <w:p>
      <w:pPr>
        <w:spacing w:after="0" w:line="226"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The Company is partially self-insured for a portion of the claims related to its property and casualty insurance programs, requiring it to make estimates regarding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84" w:lineRule="exact"/>
        <w:rPr>
          <w:sz w:val="20"/>
          <w:szCs w:val="20"/>
          <w:color w:val="auto"/>
        </w:rPr>
      </w:pPr>
    </w:p>
    <w:p>
      <w:pPr>
        <w:jc w:val="both"/>
        <w:ind w:right="20" w:firstLine="646"/>
        <w:spacing w:after="0" w:line="260"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26"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88"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6" w:lineRule="exact"/>
        <w:rPr>
          <w:sz w:val="20"/>
          <w:szCs w:val="20"/>
          <w:color w:val="auto"/>
        </w:rPr>
      </w:pPr>
    </w:p>
    <w:p>
      <w:pPr>
        <w:jc w:val="both"/>
        <w:ind w:right="40" w:firstLine="646"/>
        <w:spacing w:after="0" w:line="265" w:lineRule="auto"/>
        <w:rPr>
          <w:sz w:val="20"/>
          <w:szCs w:val="20"/>
          <w:color w:val="auto"/>
        </w:rPr>
      </w:pPr>
      <w:r>
        <w:rPr>
          <w:rFonts w:ascii="Times New Roman" w:cs="Times New Roman" w:eastAsia="Times New Roman" w:hAnsi="Times New Roman"/>
          <w:sz w:val="18"/>
          <w:szCs w:val="18"/>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176" w:lineRule="exact"/>
        <w:rPr>
          <w:sz w:val="20"/>
          <w:szCs w:val="20"/>
          <w:color w:val="auto"/>
        </w:rPr>
      </w:pPr>
    </w:p>
    <w:p>
      <w:pPr>
        <w:jc w:val="both"/>
        <w:ind w:right="40" w:firstLine="646"/>
        <w:spacing w:after="0" w:line="265"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821" w:right="5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226" w:lineRule="exact"/>
        <w:rPr>
          <w:sz w:val="20"/>
          <w:szCs w:val="20"/>
          <w:color w:val="auto"/>
        </w:rPr>
      </w:pPr>
    </w:p>
    <w:p>
      <w:pPr>
        <w:jc w:val="both"/>
        <w:ind w:right="400" w:firstLine="646"/>
        <w:spacing w:after="0" w:line="260" w:lineRule="auto"/>
        <w:rPr>
          <w:sz w:val="20"/>
          <w:szCs w:val="20"/>
          <w:color w:val="auto"/>
        </w:rPr>
      </w:pPr>
      <w:r>
        <w:rPr>
          <w:rFonts w:ascii="Times New Roman" w:cs="Times New Roman" w:eastAsia="Times New Roman" w:hAnsi="Times New Roman"/>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80" w:lineRule="exact"/>
        <w:rPr>
          <w:sz w:val="20"/>
          <w:szCs w:val="20"/>
          <w:color w:val="auto"/>
        </w:rPr>
      </w:pPr>
    </w:p>
    <w:p>
      <w:pPr>
        <w:jc w:val="both"/>
        <w:ind w:right="400" w:firstLine="646"/>
        <w:spacing w:after="0" w:line="257" w:lineRule="auto"/>
        <w:rPr>
          <w:sz w:val="20"/>
          <w:szCs w:val="20"/>
          <w:color w:val="auto"/>
        </w:rPr>
      </w:pPr>
      <w:r>
        <w:rPr>
          <w:rFonts w:ascii="Times New Roman" w:cs="Times New Roman" w:eastAsia="Times New Roman" w:hAnsi="Times New Roman"/>
          <w:sz w:val="18"/>
          <w:szCs w:val="18"/>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interest rate swaps become ineffective, portions of these interest rate swaps would be reported as a component of interest expense in the accompanying Consolidated Statements of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discussion and analysis includes the Company’s historical results of operations for the three months ended March 31, 2014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financial data as a percentage of total revenues:</w:t>
      </w:r>
    </w:p>
    <w:p>
      <w:pPr>
        <w:spacing w:after="0" w:line="220"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20" w:type="dxa"/>
            <w:vAlign w:val="bottom"/>
            <w:gridSpan w:val="2"/>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5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vMerge w:val="restart"/>
          </w:tcPr>
          <w:p>
            <w:pPr>
              <w:spacing w:after="0"/>
              <w:rPr>
                <w:sz w:val="18"/>
                <w:szCs w:val="18"/>
                <w:color w:val="auto"/>
              </w:rPr>
            </w:pPr>
          </w:p>
        </w:tc>
        <w:tc>
          <w:tcPr>
            <w:tcW w:w="674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8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20" w:type="dxa"/>
            <w:vAlign w:val="bottom"/>
            <w:gridSpan w:val="2"/>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10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2"/>
        </w:trPr>
        <w:tc>
          <w:tcPr>
            <w:tcW w:w="1160" w:type="dxa"/>
            <w:vAlign w:val="bottom"/>
          </w:tcPr>
          <w:p>
            <w:pPr>
              <w:spacing w:after="0"/>
              <w:rPr>
                <w:sz w:val="24"/>
                <w:szCs w:val="24"/>
                <w:color w:val="auto"/>
              </w:rPr>
            </w:pPr>
          </w:p>
        </w:tc>
        <w:tc>
          <w:tcPr>
            <w:tcW w:w="5660" w:type="dxa"/>
            <w:vAlign w:val="bottom"/>
            <w:tcBorders>
              <w:top w:val="single" w:sz="8" w:color="CCEEFF"/>
            </w:tcBorders>
          </w:tcPr>
          <w:p>
            <w:pPr>
              <w:ind w:left="4460"/>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1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160" w:type="dxa"/>
            <w:vAlign w:val="bottom"/>
            <w:shd w:val="clear" w:color="auto" w:fill="808080"/>
          </w:tcPr>
          <w:p>
            <w:pPr>
              <w:spacing w:after="0"/>
              <w:rPr>
                <w:sz w:val="5"/>
                <w:szCs w:val="5"/>
                <w:color w:val="auto"/>
              </w:rPr>
            </w:pPr>
          </w:p>
        </w:tc>
        <w:tc>
          <w:tcPr>
            <w:tcW w:w="56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19" w:right="199" w:bottom="1440" w:gutter="0" w:footer="0" w:header="0"/>
        </w:sectPr>
      </w:pPr>
    </w:p>
    <w:bookmarkStart w:id="16" w:name="page17"/>
    <w:bookmarkEnd w:id="16"/>
    <w:p>
      <w:pPr>
        <w:ind w:right="580" w:firstLine="646"/>
        <w:spacing w:after="0" w:line="280" w:lineRule="auto"/>
        <w:rPr>
          <w:sz w:val="20"/>
          <w:szCs w:val="20"/>
          <w:color w:val="auto"/>
        </w:rPr>
      </w:pPr>
      <w:r>
        <w:rPr>
          <w:rFonts w:ascii="Times New Roman" w:cs="Times New Roman" w:eastAsia="Times New Roman" w:hAnsi="Times New Roman"/>
          <w:sz w:val="18"/>
          <w:szCs w:val="18"/>
          <w:color w:val="auto"/>
        </w:rPr>
        <w:t>The following table sets forth the unit sales and revenue for new heavy-duty, new medium-duty, new light-duty and used commercial vehicles and the absorption ratio (revenue in millions):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40" w:type="dxa"/>
            <w:vAlign w:val="bottom"/>
            <w:gridSpan w:val="5"/>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6"/>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ind w:right="590"/>
              <w:spacing w:after="0" w:line="187"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2013</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09"/>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8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r>
      <w:tr>
        <w:trPr>
          <w:trHeight w:val="215"/>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5"/>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r>
      <w:tr>
        <w:trPr>
          <w:trHeight w:val="215"/>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r>
      <w:tr>
        <w:trPr>
          <w:trHeight w:val="215"/>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1880" w:type="dxa"/>
            <w:vAlign w:val="bottom"/>
            <w:gridSpan w:val="2"/>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00" w:type="dxa"/>
            <w:vAlign w:val="bottom"/>
          </w:tcPr>
          <w:p>
            <w:pPr>
              <w:spacing w:after="0"/>
              <w:rPr>
                <w:sz w:val="18"/>
                <w:szCs w:val="18"/>
                <w:color w:val="auto"/>
              </w:rPr>
            </w:pPr>
          </w:p>
        </w:tc>
        <w:tc>
          <w:tcPr>
            <w:tcW w:w="110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r>
      <w:tr>
        <w:trPr>
          <w:trHeight w:val="215"/>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5"/>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r>
      <w:tr>
        <w:trPr>
          <w:trHeight w:val="215"/>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1880" w:type="dxa"/>
            <w:vAlign w:val="bottom"/>
            <w:gridSpan w:val="2"/>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tcPr>
          <w:p>
            <w:pPr>
              <w:spacing w:after="0"/>
              <w:rPr>
                <w:sz w:val="18"/>
                <w:szCs w:val="18"/>
                <w:color w:val="auto"/>
              </w:rPr>
            </w:pPr>
          </w:p>
        </w:tc>
        <w:tc>
          <w:tcPr>
            <w:tcW w:w="110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r>
      <w:tr>
        <w:trPr>
          <w:trHeight w:val="215"/>
        </w:trPr>
        <w:tc>
          <w:tcPr>
            <w:tcW w:w="20" w:type="dxa"/>
            <w:vAlign w:val="bottom"/>
          </w:tcPr>
          <w:p>
            <w:pPr>
              <w:spacing w:after="0"/>
              <w:rPr>
                <w:sz w:val="18"/>
                <w:szCs w:val="18"/>
                <w:color w:val="auto"/>
              </w:rPr>
            </w:pPr>
          </w:p>
        </w:tc>
        <w:tc>
          <w:tcPr>
            <w:tcW w:w="3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5"/>
                <w:szCs w:val="15"/>
                <w:b w:val="1"/>
                <w:bCs w:val="1"/>
                <w:color w:val="auto"/>
              </w:rPr>
              <w:t>Other vehicle revenue:</w:t>
            </w:r>
            <w:r>
              <w:rPr>
                <w:rFonts w:ascii="Times New Roman" w:cs="Times New Roman" w:eastAsia="Times New Roman" w:hAnsi="Times New Roman"/>
                <w:sz w:val="24"/>
                <w:szCs w:val="24"/>
                <w:color w:val="auto"/>
                <w:vertAlign w:val="superscript"/>
              </w:rPr>
              <w:t>(1)</w:t>
            </w:r>
          </w:p>
        </w:tc>
        <w:tc>
          <w:tcPr>
            <w:tcW w:w="1880" w:type="dxa"/>
            <w:vAlign w:val="bottom"/>
            <w:gridSpan w:val="2"/>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110.5%</w:t>
            </w:r>
          </w:p>
        </w:tc>
      </w:tr>
      <w:tr>
        <w:trPr>
          <w:trHeight w:val="217"/>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Dealership absorption ratio:</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111.2%</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-635</wp:posOffset>
            </wp:positionV>
            <wp:extent cx="5794375" cy="136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4375" cy="13652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26" w:lineRule="exact"/>
        <w:rPr>
          <w:sz w:val="20"/>
          <w:szCs w:val="20"/>
          <w:color w:val="auto"/>
        </w:rPr>
      </w:pPr>
    </w:p>
    <w:p>
      <w:pPr>
        <w:jc w:val="both"/>
        <w:ind w:right="400" w:firstLine="646"/>
        <w:spacing w:after="0" w:line="254"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its commercial vehicle dealerships, and considers Rush Truck Centers’ “absorption 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the Company’s commercial vehicle dealerships’ absorption ratio was approximately 80%. The Company has made a concerted effort to increase its absorption ratio since 1999. The Company’s truck dealerships achieved a 111.2% absorption ratio for the first quarter of 2014 and 111.9% absorption ratio for the first quarter in 2013.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2014 Compared to Three Months Ended March 31, 2013</w:t>
      </w:r>
    </w:p>
    <w:p>
      <w:pPr>
        <w:spacing w:after="0" w:line="228"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On January, 13, 2014, the Company completed the acquisition of CIT, Inc., which did business as Chicago International Trucks, Mcgrenho L.L.C., which did business as Indy Truck Sales, and Indiana Mack Leasing, LLC; and the membership interests of Idealease of Chicago, LLC. This acquisition added 10 dealership locations to our Rush Truck Centers network and expanded our leasing capabilities in Chicago and Indianapolis, two major leasing markets. Rush Truck Centers now has 106 locations in 20 states, allowing us to serve customers operating in markets where our dealerships are located as well as those whose operations route them through our market areas.</w:t>
      </w:r>
    </w:p>
    <w:p>
      <w:pPr>
        <w:spacing w:after="0" w:line="184"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In less than 13 months, the Company added 37 dealerships to its network. As a result of these acquisitions and the Company’s ongoing implementation of a new dealer management system, the Company continued to make substantial investments necessary to support this growth and its long-term strategy in the first quarter.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overall parts, service and body shop sales increased 33.5% in the first quarter of 2014 compared to the first quarter of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contributed to the Company achieving an absorption ratio of 111.2% for the quarter ended March 31, 2014.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increased $201.9 million, or 26.7%, in the first quarter of 2014 compared to the first quarter of 2013.</w:t>
      </w:r>
    </w:p>
    <w:p>
      <w:pPr>
        <w:spacing w:after="0" w:line="224"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Parts, service and body shop revenues increased $77.5 million, or 33.5%, in the first quarter of 2014 compared to the first quarter of 2013. This increase was primarily the result of acquisitions that occurred since the first quarter of 2013. The Company expects parts, service and body shop sales to continue to remain strong through 2014 and remains focused on expanding aftermarket product and service offerings.</w:t>
      </w:r>
    </w:p>
    <w:p>
      <w:pPr>
        <w:spacing w:after="0" w:line="176"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Revenues from sales of new and used commercial vehicles increased $111.3 million, or 22.7%, in the first quarter of 2014 compared to the first quarter of 2013.</w:t>
      </w:r>
    </w:p>
    <w:p>
      <w:pPr>
        <w:spacing w:after="0" w:line="163" w:lineRule="exact"/>
        <w:rPr>
          <w:sz w:val="20"/>
          <w:szCs w:val="20"/>
          <w:color w:val="auto"/>
        </w:rPr>
      </w:pPr>
    </w:p>
    <w:p>
      <w:pPr>
        <w:jc w:val="both"/>
        <w:ind w:right="20" w:firstLine="646"/>
        <w:spacing w:after="0" w:line="254" w:lineRule="auto"/>
        <w:rPr>
          <w:sz w:val="20"/>
          <w:szCs w:val="20"/>
          <w:color w:val="auto"/>
        </w:rPr>
      </w:pPr>
      <w:r>
        <w:rPr>
          <w:rFonts w:ascii="Times New Roman" w:cs="Times New Roman" w:eastAsia="Times New Roman" w:hAnsi="Times New Roman"/>
          <w:sz w:val="18"/>
          <w:szCs w:val="18"/>
          <w:color w:val="auto"/>
        </w:rPr>
        <w:t>The Company sold 2,688 heavy-duty trucks in the first quarter of 2014, a 30.2% increase compared to 2,065 heavy-duty trucks in the first quarter of 2013. According to A.C.T. Research Co., LLC (“A.C.T. Research”), a truck industry data and forecasting service provider, the U.S. Class 8 truck market increased 15% in the first quarter of 2014 compared to the first quarter of 2013. A.C.T. Research currently predicts U.S. retail sales of Class 8 trucks of approximately 217,000 units in 2014, 223,000 units in 2015, and 215,000 units in 2016, compared to approximately 188,000 units in 2013. The Company’s share of the U.S. Class 8 truck sales market was approximately 5.1% in 2013. The Company expects its market share to range between 5.5% and 6.0% of U.S. Class 8 truck sales in 2014. This market share percentage would result in the sale of approximately 11,900 to 13,000 of Class 8 trucks in 2014 based on A.C.T. Research’s estimate of U.S. retail sales of 217,000 units.</w:t>
      </w:r>
    </w:p>
    <w:p>
      <w:pPr>
        <w:spacing w:after="0" w:line="189"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Company sold 1,966 Class 4 through 7 commercial vehicles, including 243 buses, in the first quarter of 2014, a 0.6% increase compared to 1,954 medium-duty commercial vehicles, including 190 buses, in 2013. A.C.T. Research estimates that unit sales of Class 4 through 7 commercial vehicles in the U.S. increased approximately 10.0% in the first quarter of 2014, compared to the first quarter of 2013. A.C.T. Research currently predicts U.S. retail sales of Class 4 through 7 medium-duty commercial vehicles of approximately 193,500 units in 2014, 201,500 units in 2015, and 198,700 in 2016. In 2013, the Company achieved a 4.7% share of the Class 4 through 7 commercial vehicle sales market in the U.S. The Company expects its market share to range between 4.7% and 5.0% of U.S. Class 4 through 7 commercial vehicle sales in 2014. This market share percentage would result in the sale of approximately 9,100 to 9,700 of Class 4 through 7 commercial vehicles in 2014 based on A.C.T. Research’s current U.S. retail sales estimates of 193,500 units.</w:t>
      </w:r>
    </w:p>
    <w:p>
      <w:pPr>
        <w:spacing w:after="0" w:line="186"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The Company sold 486 light-duty vehicles in the first quarter of 2014, a 23.0% increase compared to 395 light-duty vehicles in the first quarter of 2013. The Company expects to sell approximately 2,000 light-duty vehicles in 2014.</w:t>
      </w:r>
    </w:p>
    <w:p>
      <w:pPr>
        <w:spacing w:after="0" w:line="163"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The Company sold 1,703 used commercial vehicles in the first quarter of 2014, a 20.4% increase compared to 1,414 used commercial vehicles in the first quarter of 2013. This increase was primarily the result of acquisitions that occurred since the first quarter of 2013. The Company expects to sell 7,500 to 8,500 used commercial vehicles in 2014. The volume of used commercial vehicle sales will be largely dependent upon our ability to acquire quality used commercial vehicles and maintain an adequate used commercial vehicle inventory throughout 2014.</w:t>
      </w:r>
    </w:p>
    <w:p>
      <w:pPr>
        <w:spacing w:after="0" w:line="180"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Truck lease and rental revenues increased $10.8 million, or 36.0%, in the first quarter of 2014 compared to the first quarter of 2013. The increase in lease and rental revenue is primarily due to acquisitions that occurred since the first quarter of 2013. The Company expects lease and rental revenue to increase 35% to 40% during 2014, compared to 2013.</w:t>
      </w:r>
    </w:p>
    <w:p>
      <w:pPr>
        <w:spacing w:after="0" w:line="176"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Finance and insurance revenues increased $0.9 million, or 30.1%, in the first quarter of 2014 compared to the first quarter of 2013. The Company expects finance and insurance revenue to fluctuate proportionately with the Company’s new and used commercial vehicle sales in 2014. Finance and insurance revenues have limited direct costs and, therefore, contribute a disproportionate share of the Company’s operating profits.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6" w:lineRule="exact"/>
        <w:rPr>
          <w:sz w:val="20"/>
          <w:szCs w:val="20"/>
          <w:color w:val="auto"/>
        </w:rPr>
      </w:pPr>
    </w:p>
    <w:p>
      <w:pPr>
        <w:jc w:val="both"/>
        <w:ind w:right="20" w:firstLine="646"/>
        <w:spacing w:after="0" w:line="265" w:lineRule="auto"/>
        <w:rPr>
          <w:sz w:val="20"/>
          <w:szCs w:val="20"/>
          <w:color w:val="auto"/>
        </w:rPr>
      </w:pPr>
      <w:r>
        <w:rPr>
          <w:rFonts w:ascii="Times New Roman" w:cs="Times New Roman" w:eastAsia="Times New Roman" w:hAnsi="Times New Roman"/>
          <w:sz w:val="18"/>
          <w:szCs w:val="18"/>
          <w:color w:val="auto"/>
        </w:rPr>
        <w:t>Gross profit increased $32.1 million, or 24.0%, in the first quarter of 2014, compared to the first quarter of 2013. Gross profit as a percentage of sales decreased to 17.3% in the first quarter of 2014 from 17.7% in the first quarter of 2013. This decrease in gross profit as a percentage of sales is a result of a decrease in margins in parts, service and body shop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819" w:right="599" w:bottom="1440" w:gutter="0" w:footer="0" w:header="0"/>
        </w:sectPr>
      </w:pPr>
    </w:p>
    <w:bookmarkStart w:id="18" w:name="page19"/>
    <w:bookmarkEnd w:id="18"/>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Gross margins from the Company’s parts, service and body shop operations decreased to 35.7% in the first quarter of 2014, from 37.1% in the first quarter of 2013. A portion of this decrease is attributable to an increase in gross profits derived from parts sales, a lower margin sale, relative to gross profits derived from service and body shop operations. Gross profit for the parts, service and body shop departments increased to $110.3 million in the first quarter of 2014 from $85.8 million in the first quarter of 2013. Historically, parts operations gross margins range from 27% to 28% and service and body shop operations range from 67% to 68%. Gross profits from parts sales represented 57% of total gross profit for parts, service and body shop operations in the first quarter of 2014, compared to 55% in the first quarter of 2013. Service and body shop operations represented 43% of total gross profit for parts, service and body shop operations in the first quarter of 2014, compared to 45% in the first quarter of 2013. The Company expects blended gross margins on parts, service and body shop operations to range from 35.0% to 37.0% in 2014.</w:t>
      </w:r>
    </w:p>
    <w:p>
      <w:pPr>
        <w:spacing w:after="0" w:line="186" w:lineRule="exact"/>
        <w:rPr>
          <w:sz w:val="20"/>
          <w:szCs w:val="20"/>
          <w:color w:val="auto"/>
        </w:rPr>
      </w:pPr>
    </w:p>
    <w:p>
      <w:pPr>
        <w:jc w:val="both"/>
        <w:ind w:right="40" w:firstLine="646"/>
        <w:spacing w:after="0" w:line="280" w:lineRule="auto"/>
        <w:rPr>
          <w:sz w:val="20"/>
          <w:szCs w:val="20"/>
          <w:color w:val="auto"/>
        </w:rPr>
      </w:pPr>
      <w:r>
        <w:rPr>
          <w:rFonts w:ascii="Times New Roman" w:cs="Times New Roman" w:eastAsia="Times New Roman" w:hAnsi="Times New Roman"/>
          <w:sz w:val="18"/>
          <w:szCs w:val="18"/>
          <w:color w:val="auto"/>
        </w:rPr>
        <w:t>Gross margins on Class 8 truck sales increased slightly to 7.5% in the first quarter of 2014 from 7.4% in the first quarter of 2013. In 2014, the Company expects overall gross margins from Class 8 truck sales of approximately 6.5% to 7.5%.</w:t>
      </w:r>
    </w:p>
    <w:p>
      <w:pPr>
        <w:spacing w:after="0" w:line="163" w:lineRule="exact"/>
        <w:rPr>
          <w:sz w:val="20"/>
          <w:szCs w:val="20"/>
          <w:color w:val="auto"/>
        </w:rPr>
      </w:pPr>
    </w:p>
    <w:p>
      <w:pPr>
        <w:jc w:val="both"/>
        <w:ind w:right="20" w:firstLine="646"/>
        <w:spacing w:after="0" w:line="257" w:lineRule="auto"/>
        <w:rPr>
          <w:sz w:val="20"/>
          <w:szCs w:val="20"/>
          <w:color w:val="auto"/>
        </w:rPr>
      </w:pPr>
      <w:r>
        <w:rPr>
          <w:rFonts w:ascii="Times New Roman" w:cs="Times New Roman" w:eastAsia="Times New Roman" w:hAnsi="Times New Roman"/>
          <w:sz w:val="18"/>
          <w:szCs w:val="18"/>
          <w:color w:val="auto"/>
        </w:rPr>
        <w:t>Gross margins on medium-duty commercial vehicle sales decreased to 5.6% in the first quarter of 2014, from 5.7% in the first quarter of 2013. It is difficult to accurately forecast gross margins on medium-duty commercial vehicles because gross margins vary significantly depending upon the mix of fleet and non-fleet purchasers and types of medium-duty commercial vehicles sold. For 2014, the Company expects overall gross margins from medium-duty commercial vehicle sales of approximately 5.1% to 5.6%, but this will largely depend upon the mix of purchasers and types of vehicles sold.</w:t>
      </w:r>
    </w:p>
    <w:p>
      <w:pPr>
        <w:spacing w:after="0" w:line="184" w:lineRule="exact"/>
        <w:rPr>
          <w:sz w:val="20"/>
          <w:szCs w:val="20"/>
          <w:color w:val="auto"/>
        </w:rPr>
      </w:pPr>
    </w:p>
    <w:p>
      <w:pPr>
        <w:jc w:val="both"/>
        <w:ind w:right="20" w:firstLine="646"/>
        <w:spacing w:after="0" w:line="265" w:lineRule="auto"/>
        <w:rPr>
          <w:sz w:val="20"/>
          <w:szCs w:val="20"/>
          <w:color w:val="auto"/>
        </w:rPr>
      </w:pPr>
      <w:r>
        <w:rPr>
          <w:rFonts w:ascii="Times New Roman" w:cs="Times New Roman" w:eastAsia="Times New Roman" w:hAnsi="Times New Roman"/>
          <w:sz w:val="18"/>
          <w:szCs w:val="18"/>
          <w:color w:val="auto"/>
        </w:rPr>
        <w:t>Gross margins on used commercial vehicle sales decreased to 9.3% in the first quarter of 2014, from 10.0% in the first quarter of 2013. The Company expects margins on used commercial vehicles to range between 8.0% and 10.0% during 2014 depending upon general economic conditions and the availability of quality used vehicles.</w:t>
      </w:r>
    </w:p>
    <w:p>
      <w:pPr>
        <w:spacing w:after="0" w:line="176"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Gross margins from truck lease and rental sales decreased to 12.4% in the first quarter of 2014, from 18.0% in the first quarter of 2013. The decrease in gross margins is primarily due to the acquisitions in Illinois and Indiana and the impact of the harsh weather conditions on variable revenue in the first quarter of 2014. The Company expects gross margins from lease and rental sales of approximately 13.5% to 15.5% during 2014, as it expects to continue to grow its lease and rental fleet.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89" w:lineRule="exact"/>
        <w:rPr>
          <w:sz w:val="20"/>
          <w:szCs w:val="20"/>
          <w:color w:val="auto"/>
        </w:rPr>
      </w:pPr>
    </w:p>
    <w:p>
      <w:pPr>
        <w:ind w:right="40" w:firstLine="646"/>
        <w:spacing w:after="0" w:line="280"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6"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$32.3 million, or 31.7%, in the first quarter of 2014, compared to the first quarter of 2013. SG&amp;A expenses as a percentage of total revenue increased to 14.0% in the first quarter of 2014, from 13.5% in the first quarter of 2013. SG&amp;A expenses as a percentage of total revenue have historically ranged from 10.0% to 15.0%. For 2014, the Company expects SG&amp;A expenses as a percentage of total revenue to range from 13.5% to 14.5% and the selling portion of SG&amp;A expenses to be approximately 25% to 30% of new and used commercial vehicle gross profit. In 2014, the Company expects the general and administrative portion of SG&amp;A expenses to increase by approximately 20.0% compared to 2013 due primarily to the full year effect of the acquisitions that occurred since the first quarter of 2013 and the addition of resources and technology to integrate the Company’s network of dealerships.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6"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Depreciation and amortization expense increased $1.7 million, or 24.0%, in the first quarter of 2014 compared to 2013. This increase is primarily due to acquisitions that occurred since the first quarter of 2013, the construction of new dealerships and dealership renovations and expansions.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821" w:right="599"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6"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Net interest expense increased $0.6 million, or 24.5%, in the first quarter of 2014 compared to the first quarter of 2013. The increase in net interest expense is primarily due to the increased levels of commercial vehicle inventory. Net interest expense in 2014 will depend on inventory levels and the amount of cash available to make prepayments on the Company’s floor plan agreement with GE Capital Commercial, Inc. (“GE 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6" w:lineRule="exact"/>
        <w:rPr>
          <w:sz w:val="20"/>
          <w:szCs w:val="20"/>
          <w:color w:val="auto"/>
        </w:rPr>
      </w:pPr>
    </w:p>
    <w:p>
      <w:pPr>
        <w:jc w:val="both"/>
        <w:ind w:firstLine="646"/>
        <w:spacing w:after="0" w:line="280" w:lineRule="auto"/>
        <w:rPr>
          <w:sz w:val="20"/>
          <w:szCs w:val="20"/>
          <w:color w:val="auto"/>
        </w:rPr>
      </w:pPr>
      <w:r>
        <w:rPr>
          <w:rFonts w:ascii="Times New Roman" w:cs="Times New Roman" w:eastAsia="Times New Roman" w:hAnsi="Times New Roman"/>
          <w:sz w:val="18"/>
          <w:szCs w:val="18"/>
          <w:color w:val="auto"/>
        </w:rPr>
        <w:t>As a result of the factors described above, income from continuing operations before income taxes decreased $2.5 million, or 11.2%, in the first quarter of 2014 compared to the first quarter of 2013.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6"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Income taxes decreased $1.0 million, or 11.1%, in the first quarter of 2014, compared to the first quarter of 2013. The Company provided for taxes at a 38.75% effective rate in the first quarter of 2014 compared to an effective rate of 38.7% in the first quarter of 2013. The Company expects its effective tax rate to be approximately 38% to 39% of pretax income in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8"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Company’s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2014, the Company had working capital of approximately $145.5 million, including $94.4 million in cash available to fund our operations. The Company believes that these funds are sufficient to meet its operating requirements for at least the next twelve months. From time to time, the Company utilizes its excess cash on hand to pay down its outstanding borrowings under its credit agreement with GE Capital, and the resulting interest earned is recognized as an offset to the Company’s gross interest expense under the credit agreement.</w:t>
      </w:r>
    </w:p>
    <w:p>
      <w:pPr>
        <w:spacing w:after="0" w:line="189"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 has a secured line of credit that provides for a maximum borrowing of $15.0 million. There were no advances outstanding under this secured line of credit at March 31, 2014, however, $11.8 million was pledged to secure various letters of credit related to self-insurance products, leaving $3.2 million available for future borrowings as of March 31, 2014.</w:t>
      </w:r>
    </w:p>
    <w:p>
      <w:pPr>
        <w:spacing w:after="0" w:line="176"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The Company’s long-term real estate debt agreements require the Company to satisfy various financial ratios such as the debt to worth ratio, leverage ratio and the fixed charge coverage ratio and certain requirements for tangible net worth and GAAP net worth. As of March 31, 2014, the Company was in compliance with all debt covenants related to debt secured by real estate and lease and rental units and its floor plan credit agreement. The Company does not anticipate any breach of the covenants in the foreseeable future.</w:t>
      </w:r>
    </w:p>
    <w:p>
      <w:pPr>
        <w:spacing w:after="0" w:line="180"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 expects to purchase or lease trucks worth approximately $170.0 million for its leasing operations during 2014, depending on customer demand, all of which will be financed. The Company also expects to make capital expenditures for recurring items such as computers, shop tools and equipment and vehicles of approximately $16.0 million to $18.0 million during 2014.</w:t>
      </w:r>
    </w:p>
    <w:p>
      <w:pPr>
        <w:spacing w:after="0" w:line="176"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 is currently under contracts to construct dealership facilities in San Antonio, Texas, at an estimated cost of $12.0 million, Abilene, Texas at an estimated cost of $1.8 million and Orlando, Florida, at an estimated cost of $4.1 million. These construction projects are estimated to continue through the first quarter of 2015.</w:t>
      </w:r>
    </w:p>
    <w:p>
      <w:pPr>
        <w:spacing w:after="0" w:line="176"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 anticipates funding its capital expenditures relating to the improvement and expansion of existing facilities and recurring expenses through its operating cash flow. The Company expects to fund the construction or purchase of new facilities through either its operating cash flow or by financing 70% to 80% of the appraised value of such facility.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819" w:right="599" w:bottom="1440" w:gutter="0" w:footer="0" w:header="0"/>
        </w:sectPr>
      </w:pPr>
    </w:p>
    <w:bookmarkStart w:id="20" w:name="page21"/>
    <w:bookmarkEnd w:id="20"/>
    <w:p>
      <w:pPr>
        <w:jc w:val="both"/>
        <w:ind w:right="20" w:firstLine="646"/>
        <w:spacing w:after="0" w:line="255" w:lineRule="auto"/>
        <w:rPr>
          <w:sz w:val="20"/>
          <w:szCs w:val="20"/>
          <w:color w:val="auto"/>
        </w:rPr>
      </w:pPr>
      <w:r>
        <w:rPr>
          <w:rFonts w:ascii="Times New Roman" w:cs="Times New Roman" w:eastAsia="Times New Roman" w:hAnsi="Times New Roman"/>
          <w:sz w:val="18"/>
          <w:szCs w:val="18"/>
          <w:color w:val="auto"/>
        </w:rPr>
        <w:t>In January 2014, the Company acquired certain assets of CIT, Inc., which did business as Chicago International Trucks, Mcgrenho L.L.C., which did business as Indy Truck Sales, and Indiana Mack Leasing, LLC; and the membership interests of Idealease of Chicago, LLC. The acquisition included International commercial truck dealerships and Idealease commercial vehicle rental and leasing businesses in Carol Stream, Chicago, Grayslake, Huntley, Joliet, Kankakee and Ottawa, Illinois, and Brazil, Gary and Indianapolis, Indiana. The purchase price for the assets, membership interests, goodwill and dealership properties was approximately $145.1 million, which was paid in cash and 83,091 shares of the Company’s Class B Common Stock with a total value of $2.0 million on the date of acquisition.</w:t>
      </w:r>
    </w:p>
    <w:p>
      <w:pPr>
        <w:spacing w:after="0" w:line="188" w:lineRule="exact"/>
        <w:rPr>
          <w:sz w:val="20"/>
          <w:szCs w:val="20"/>
          <w:color w:val="auto"/>
        </w:rPr>
      </w:pPr>
    </w:p>
    <w:p>
      <w:pPr>
        <w:jc w:val="both"/>
        <w:ind w:right="20" w:firstLine="646"/>
        <w:spacing w:after="0" w:line="254" w:lineRule="auto"/>
        <w:rPr>
          <w:sz w:val="20"/>
          <w:szCs w:val="20"/>
          <w:color w:val="auto"/>
        </w:rPr>
      </w:pPr>
      <w:r>
        <w:rPr>
          <w:rFonts w:ascii="Times New Roman" w:cs="Times New Roman" w:eastAsia="Times New Roman" w:hAnsi="Times New Roman"/>
          <w:sz w:val="18"/>
          <w:szCs w:val="18"/>
          <w:color w:val="auto"/>
        </w:rPr>
        <w:t>On February 4, 2014, the Company announced that its Board of Directors approved a new stock repurchase program authorizing the Company to repurchase, from time to time, up to an aggregate of $40.0 million shares of Class A Common Stock and/or Class B Common Stock. The new stock repurchase program replaces the previous $40 million stock repurchase program that was set to expire on February 11, 2014.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The stock repurchase program expires on February 3, 2015, and may be suspended or discontinued at any time. While the stock repurchase program does not obligate the Company to acquire any particular amount or class of common stock, the Company anticipates that it will be repurchasing primarily shares of its Class B Common Stock.</w:t>
      </w:r>
    </w:p>
    <w:p>
      <w:pPr>
        <w:spacing w:after="0" w:line="186"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The Company will continue to purchase vehicles for its lease and rental division and authorize capital expenditures for improvement and expansion of its existing dealership facilities and construction or purchase of new facilities based on market opportunities. The Company has no other material commitments for capital expenditures as of March 31,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8" w:lineRule="exact"/>
        <w:rPr>
          <w:sz w:val="20"/>
          <w:szCs w:val="20"/>
          <w:color w:val="auto"/>
        </w:rPr>
      </w:pPr>
    </w:p>
    <w:p>
      <w:pPr>
        <w:jc w:val="both"/>
        <w:ind w:right="40" w:firstLine="646"/>
        <w:spacing w:after="0" w:line="280" w:lineRule="auto"/>
        <w:rPr>
          <w:sz w:val="20"/>
          <w:szCs w:val="20"/>
          <w:color w:val="auto"/>
        </w:rPr>
      </w:pPr>
      <w:r>
        <w:rPr>
          <w:rFonts w:ascii="Times New Roman" w:cs="Times New Roman" w:eastAsia="Times New Roman" w:hAnsi="Times New Roman"/>
          <w:sz w:val="18"/>
          <w:szCs w:val="18"/>
          <w:color w:val="auto"/>
        </w:rPr>
        <w:t>Cash and cash equivalents decreased by $122.9 million during the three months ended March 31, 2014, and increased by $6.3 million during the three months ended March 31, 2013. The major components of these changes are discussed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6" w:lineRule="exact"/>
        <w:rPr>
          <w:sz w:val="20"/>
          <w:szCs w:val="20"/>
          <w:color w:val="auto"/>
        </w:rPr>
      </w:pPr>
    </w:p>
    <w:p>
      <w:pPr>
        <w:jc w:val="both"/>
        <w:ind w:right="40" w:firstLine="646"/>
        <w:spacing w:after="0" w:line="260"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quarter of 2014, operating activities resulted in net cash used by operations of $7.1 million. Cash used by operating activities was primarily impacted by the increase in inventories and receivables and the decrease in customer deposits and accrued liabilities, which was offset by the increase in trade payables and floor plan financing trade, net.</w:t>
      </w:r>
    </w:p>
    <w:p>
      <w:pPr>
        <w:spacing w:after="0" w:line="180" w:lineRule="exact"/>
        <w:rPr>
          <w:sz w:val="20"/>
          <w:szCs w:val="20"/>
          <w:color w:val="auto"/>
        </w:rPr>
      </w:pPr>
    </w:p>
    <w:p>
      <w:pPr>
        <w:jc w:val="both"/>
        <w:ind w:right="20" w:firstLine="646"/>
        <w:spacing w:after="0" w:line="265" w:lineRule="auto"/>
        <w:rPr>
          <w:sz w:val="20"/>
          <w:szCs w:val="20"/>
          <w:color w:val="auto"/>
        </w:rPr>
      </w:pPr>
      <w:r>
        <w:rPr>
          <w:rFonts w:ascii="Times New Roman" w:cs="Times New Roman" w:eastAsia="Times New Roman" w:hAnsi="Times New Roman"/>
          <w:sz w:val="18"/>
          <w:szCs w:val="18"/>
          <w:color w:val="auto"/>
        </w:rPr>
        <w:t>During the first quarter of 2013, operating activities resulted in net cash provided by operations of $57.1 million. Cash provided by operating activities was primarily impacted by the decrease in inventories and receivables and the increase in accounts payable, which was offset by the decrease in accrued liabilities.</w:t>
      </w:r>
    </w:p>
    <w:p>
      <w:pPr>
        <w:spacing w:after="0" w:line="176" w:lineRule="exact"/>
        <w:rPr>
          <w:sz w:val="20"/>
          <w:szCs w:val="20"/>
          <w:color w:val="auto"/>
        </w:rPr>
      </w:pPr>
    </w:p>
    <w:p>
      <w:pPr>
        <w:jc w:val="both"/>
        <w:ind w:firstLine="646"/>
        <w:spacing w:after="0" w:line="257" w:lineRule="auto"/>
        <w:rPr>
          <w:sz w:val="20"/>
          <w:szCs w:val="20"/>
          <w:color w:val="auto"/>
        </w:rPr>
      </w:pPr>
      <w:r>
        <w:rPr>
          <w:rFonts w:ascii="Times New Roman" w:cs="Times New Roman" w:eastAsia="Times New Roman" w:hAnsi="Times New Roman"/>
          <w:sz w:val="18"/>
          <w:szCs w:val="18"/>
          <w:color w:val="auto"/>
        </w:rPr>
        <w:t>In June 2012, the Company entered into a wholesale financing agreement with Ford Motor Credit Company that provides for the financing of, and is collateralized by, the Company’s Ford new vehicle inventory. This wholesale financing agreement bears interest at a rate of Prime plus 150 basis points minus certain incentives and rebates; however, the prime rate is defined to be a minimum of 3.75%. As of March 31, 2014, the interest rate on the wholesale financing agreement was 5.25% before considering the applicable incentives. As of March 31, 2014, the Company had an outstanding balance of $55.0 million under the Ford Motor Credit Company wholesale financing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6"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Cash flows used in investing activities consist primarily of cash used for capital expenditures and business acquisitions. During the first quarter of 2014, cash used in investing activities was $194.2 million. Capital expenditures consisted of purchases of property and equipment and improvements to our existing dealership facilities of $53.2 million. Property and equipment purchases during the first quarter of 2014 consisted of $38.1 million for additional units for rental and leasing operations, which was directly offset by borrowings of long-term debt. The Company expects to purchase or lease trucks worth approximately $170.0 million for its leasing operations in 2014, depending on customer demand, all of which will be financed. Cash used in business acquisitions was $143.1 million during the first quarter of 2014. See Note 10 of the Notes to Consolidated Financial Statements for a detailed discussion of the business acquisitions. During 2014, the Company expects to make capital expenditures for recurring items such as computers, shop equipment and vehicles of $16.0 million to $18.0 million.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821" w:right="599" w:bottom="1440" w:gutter="0" w:footer="0" w:header="0"/>
        </w:sectPr>
      </w:pPr>
    </w:p>
    <w:bookmarkStart w:id="21" w:name="page22"/>
    <w:bookmarkEnd w:id="21"/>
    <w:p>
      <w:pPr>
        <w:jc w:val="both"/>
        <w:ind w:right="40" w:firstLine="646"/>
        <w:spacing w:after="0" w:line="265" w:lineRule="auto"/>
        <w:rPr>
          <w:sz w:val="20"/>
          <w:szCs w:val="20"/>
          <w:color w:val="auto"/>
        </w:rPr>
      </w:pPr>
      <w:r>
        <w:rPr>
          <w:rFonts w:ascii="Times New Roman" w:cs="Times New Roman" w:eastAsia="Times New Roman" w:hAnsi="Times New Roman"/>
          <w:sz w:val="18"/>
          <w:szCs w:val="18"/>
          <w:color w:val="auto"/>
        </w:rPr>
        <w:t>During the first quarter of 2013, cash used in investing activities was $29.4 million. Capital expenditures consisted of purchases of property and equipment and improvements to our existing dealership facilities of $30.2 million. Property and equipment purchases during the first quarter of 2013 consisted of $22.2 million for additional units for rental and leasing operations, which was directly offset by borrowings of long-term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6" w:lineRule="exact"/>
        <w:rPr>
          <w:sz w:val="20"/>
          <w:szCs w:val="20"/>
          <w:color w:val="auto"/>
        </w:rPr>
      </w:pPr>
    </w:p>
    <w:p>
      <w:pPr>
        <w:jc w:val="both"/>
        <w:ind w:right="20" w:firstLine="646"/>
        <w:spacing w:after="0" w:line="257"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non-trade. Cash provided by financing activities was $78.4 million during the first quarter of 2014. The Company had borrowings of long-term debt of $61.9 million and repayments of long-term debt and capital lease obligations of $27.9 million during the first quarter of 2014. The Company had net draws on floor plan notes payable, non-trade of $45.2 million during the first quarter of 2014. The borrowings of long-term debt were primarily related to units for the rental and leasing operations.</w:t>
      </w:r>
    </w:p>
    <w:p>
      <w:pPr>
        <w:spacing w:after="0" w:line="184" w:lineRule="exact"/>
        <w:rPr>
          <w:sz w:val="20"/>
          <w:szCs w:val="20"/>
          <w:color w:val="auto"/>
        </w:rPr>
      </w:pPr>
    </w:p>
    <w:p>
      <w:pPr>
        <w:jc w:val="both"/>
        <w:ind w:right="20" w:firstLine="646"/>
        <w:spacing w:after="0" w:line="260" w:lineRule="auto"/>
        <w:rPr>
          <w:sz w:val="20"/>
          <w:szCs w:val="20"/>
          <w:color w:val="auto"/>
        </w:rPr>
      </w:pPr>
      <w:r>
        <w:rPr>
          <w:rFonts w:ascii="Times New Roman" w:cs="Times New Roman" w:eastAsia="Times New Roman" w:hAnsi="Times New Roman"/>
          <w:sz w:val="18"/>
          <w:szCs w:val="18"/>
          <w:color w:val="auto"/>
        </w:rPr>
        <w:t>Cash used in financing activities was $21.4 million during the first quarter of 2013. The Company had borrowings of long-term debt of $30.6 million and repayments of long-term debt and capital lease obligations of $25.9 million during the first quarter of 2013. The Company had net payment on floor plan notes payable, non-trade of $34.1 million during the first quarter of 2013. The borrowings of long-term debt were primarily related to units for the rental and leasing operations.</w:t>
      </w:r>
    </w:p>
    <w:p>
      <w:pPr>
        <w:spacing w:after="0" w:line="180" w:lineRule="exact"/>
        <w:rPr>
          <w:sz w:val="20"/>
          <w:szCs w:val="20"/>
          <w:color w:val="auto"/>
        </w:rPr>
      </w:pPr>
    </w:p>
    <w:p>
      <w:pPr>
        <w:jc w:val="both"/>
        <w:ind w:firstLine="646"/>
        <w:spacing w:after="0" w:line="252" w:lineRule="auto"/>
        <w:rPr>
          <w:sz w:val="20"/>
          <w:szCs w:val="20"/>
          <w:color w:val="auto"/>
        </w:rPr>
      </w:pPr>
      <w:r>
        <w:rPr>
          <w:rFonts w:ascii="Times New Roman" w:cs="Times New Roman" w:eastAsia="Times New Roman" w:hAnsi="Times New Roman"/>
          <w:sz w:val="18"/>
          <w:szCs w:val="18"/>
          <w:color w:val="auto"/>
        </w:rPr>
        <w:t>Most of the Company’s commercial vehicle purchases are made on terms requiring payment to the manufacturer within 15 days or less from the date the commercial vehicles are invoiced from the factory. On July 11, 2013, the Company entered into the third amendment to its credit agreement with GE Capital. The amendment increased the aggregate loan commitment to $750.0 million. Borrowings under the amended credit agreement will now bear interest per annum, payable monthly, at the three month LIBOR rate, determined on the last day of the prior month, plus 2.03%. In addition, the Company is required to pay the lenders a monthly working capital fee equal to 0.35% per annum multiplied by the amount of voluntary prepayments of new and used inventory loans. Loans under the credit agreement for the purchase of used inventory are limited to $150.0 million. Pursuant to the third amendment, the credit agreement expires July 11, 2016, although GE Capital has the right to terminate the credit agreement at any time upon 120 days’ written notice. The Company may terminate the credit agreement at any time, although if it does so it must pay the lenders a prepayment processing fee of (i) $15,000,000 if it terminates on or prior to January 11, 2015, (ii) $7,500,000 if it terminates after January 11, 2015 but on or prior to July 11, 2015 and (iii) $300,000 if it terminates thereafter, subject in each case to specified limited exceptions. On March 31, 2014, the Company had approximately $604.3 million outstanding under its credit agreement with GE Capital. The average daily outstanding borrowings under the credit agreement with GE Capital during the three months ended March 31, 2014 were $529.7 million. From time to time, the Company utilizes its excess cash on hand to pay down its outstanding borrowings under its credit agreement with GE Capital, and the resulting interest earned is recognized as an offset to the Company’s gross interest expense under the credit agreement.</w:t>
      </w:r>
    </w:p>
    <w:p>
      <w:pPr>
        <w:spacing w:after="0" w:line="187"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 free inventory stocking period for certain new commercial vehicles. If the commercial vehicle is not sold within the interest free period, the Company then finances the commercial vehicle under the GE Capital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26" w:lineRule="exact"/>
        <w:rPr>
          <w:sz w:val="20"/>
          <w:szCs w:val="20"/>
          <w:color w:val="auto"/>
        </w:rPr>
      </w:pPr>
    </w:p>
    <w:p>
      <w:pPr>
        <w:jc w:val="both"/>
        <w:ind w:right="20" w:firstLine="646"/>
        <w:spacing w:after="0" w:line="255" w:lineRule="auto"/>
        <w:rPr>
          <w:sz w:val="20"/>
          <w:szCs w:val="20"/>
          <w:color w:val="auto"/>
        </w:rPr>
      </w:pPr>
      <w:r>
        <w:rPr>
          <w:rFonts w:ascii="Times New Roman" w:cs="Times New Roman" w:eastAsia="Times New Roman" w:hAnsi="Times New Roman"/>
          <w:sz w:val="18"/>
          <w:szCs w:val="18"/>
          <w:color w:val="auto"/>
        </w:rPr>
        <w:t>On March 31, 2014, the Company’s backlog of commercial vehicle orders was approximately $1,219.3 million as compared to a backlog of commercial vehicle orders of approximately $770.8 million on March 31, 2013. The Company includes only confirmed orders in its backlog. The delivery time for a custom-ordered commercial vehicle varies depending on the truck specifications and demand for the particular model ordered, however, the Company expects to fill the majority of its backlog orders during 2014. The Company sells the majority of its new heavy-duty commercial vehicles by customer special order. The Company sells the majority of its medium- and light-duty commercial vehicles out of inventory. Orders from a number of the Company’s major fleet customers are included in the Company’s backlog as of March 31, 2014.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6"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821" w:right="5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26" w:lineRule="exact"/>
        <w:rPr>
          <w:sz w:val="20"/>
          <w:szCs w:val="20"/>
          <w:color w:val="auto"/>
        </w:rPr>
      </w:pPr>
    </w:p>
    <w:p>
      <w:pPr>
        <w:jc w:val="both"/>
        <w:ind w:right="40" w:firstLine="646"/>
        <w:spacing w:after="0" w:line="254" w:lineRule="auto"/>
        <w:rPr>
          <w:sz w:val="20"/>
          <w:szCs w:val="20"/>
          <w:color w:val="auto"/>
        </w:rPr>
      </w:pPr>
      <w:r>
        <w:rPr>
          <w:rFonts w:ascii="Times New Roman" w:cs="Times New Roman" w:eastAsia="Times New Roman" w:hAnsi="Times New Roman"/>
          <w:sz w:val="18"/>
          <w:szCs w:val="18"/>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6"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26"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188"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88"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89"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819" w:right="599" w:bottom="1440" w:gutter="0" w:footer="0" w:header="0"/>
        </w:sectPr>
      </w:pPr>
    </w:p>
    <w:bookmarkStart w:id="23" w:name="page24"/>
    <w:bookmarkEnd w:id="23"/>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we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86"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In 2010, the EPA and the U.S. Department of Transportation (DOT) announced the first national standards to reduce greenhouse gas (GHG) emissions and improve fuel efficiency of heavy-duty trucks and buses beginning in model year 2014. The final rules, which were issued on September 15, 2011, begin to apply in 2014 and are fully implemented in model year 2017. The EPA and DOT have announced plans to extend these standards beyond model year 2018, but have not yet proposed regulations. We do not believe that the foregoing standards will negatively impact our business, however, future legislation or other new regulations that may be adopted to address greenhouse gas emissions may negatively impact our business. Regulations could result in increased compliance costs, additional operating restrictions or changes in demand for our products and services, which could have a material adverse effect on our business, financial condition and results of operation.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8" w:lineRule="exact"/>
        <w:rPr>
          <w:sz w:val="20"/>
          <w:szCs w:val="20"/>
          <w:color w:val="auto"/>
        </w:rPr>
      </w:pPr>
    </w:p>
    <w:p>
      <w:pPr>
        <w:jc w:val="both"/>
        <w:ind w:right="40" w:firstLine="646"/>
        <w:spacing w:after="0" w:line="280"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3" w:lineRule="exact"/>
        <w:rPr>
          <w:sz w:val="20"/>
          <w:szCs w:val="20"/>
          <w:color w:val="auto"/>
        </w:rPr>
      </w:pPr>
    </w:p>
    <w:p>
      <w:pPr>
        <w:jc w:val="both"/>
        <w:ind w:right="20" w:firstLine="646"/>
        <w:spacing w:after="0" w:line="260" w:lineRule="auto"/>
        <w:rPr>
          <w:sz w:val="20"/>
          <w:szCs w:val="20"/>
          <w:color w:val="auto"/>
        </w:rPr>
      </w:pPr>
      <w:r>
        <w:rPr>
          <w:rFonts w:ascii="Times New Roman" w:cs="Times New Roman" w:eastAsia="Times New Roman" w:hAnsi="Times New Roman"/>
          <w:sz w:val="18"/>
          <w:szCs w:val="18"/>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March 31, 2014, the Company had floor plan borrowings and variable interest rate real estate debt of approximately $733.3 million. Assuming an increase or decrease in LIBOR of 100 basis points, annual interest expense could correspondingly increase or decrease by approximately $7.3 million.</w:t>
      </w:r>
    </w:p>
    <w:p>
      <w:pPr>
        <w:spacing w:after="0" w:line="180" w:lineRule="exact"/>
        <w:rPr>
          <w:sz w:val="20"/>
          <w:szCs w:val="20"/>
          <w:color w:val="auto"/>
        </w:rPr>
      </w:pPr>
    </w:p>
    <w:p>
      <w:pPr>
        <w:jc w:val="both"/>
        <w:ind w:right="40" w:firstLine="646"/>
        <w:spacing w:after="0" w:line="260" w:lineRule="auto"/>
        <w:rPr>
          <w:sz w:val="20"/>
          <w:szCs w:val="20"/>
          <w:color w:val="auto"/>
        </w:rPr>
      </w:pPr>
      <w:r>
        <w:rPr>
          <w:rFonts w:ascii="Times New Roman" w:cs="Times New Roman" w:eastAsia="Times New Roman" w:hAnsi="Times New Roman"/>
          <w:sz w:val="18"/>
          <w:szCs w:val="18"/>
          <w:color w:val="auto"/>
        </w:rPr>
        <w:t>The Company offers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80" w:lineRule="exact"/>
        <w:rPr>
          <w:sz w:val="20"/>
          <w:szCs w:val="20"/>
          <w:color w:val="auto"/>
        </w:rPr>
      </w:pPr>
    </w:p>
    <w:p>
      <w:pPr>
        <w:jc w:val="both"/>
        <w:ind w:right="20" w:firstLine="646"/>
        <w:spacing w:after="0" w:line="255" w:lineRule="auto"/>
        <w:rPr>
          <w:sz w:val="20"/>
          <w:szCs w:val="20"/>
          <w:color w:val="auto"/>
        </w:rPr>
      </w:pPr>
      <w:r>
        <w:rPr>
          <w:rFonts w:ascii="Times New Roman" w:cs="Times New Roman" w:eastAsia="Times New Roman" w:hAnsi="Times New Roman"/>
          <w:sz w:val="18"/>
          <w:szCs w:val="18"/>
          <w:color w:val="auto"/>
        </w:rPr>
        <w:t>The Company is exposed to some market risk through interest rate swaps on some of the Company’s variable interest rate real estate debt. As of March 31, 2014, the Company had interest rate swaps with a total notional amount of $37.5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6 – Financial Instruments and Fair Value of the Notes to Consolidated Financial Statements.</w:t>
      </w:r>
    </w:p>
    <w:p>
      <w:pPr>
        <w:spacing w:after="0" w:line="188" w:lineRule="exact"/>
        <w:rPr>
          <w:sz w:val="20"/>
          <w:szCs w:val="20"/>
          <w:color w:val="auto"/>
        </w:rPr>
      </w:pPr>
    </w:p>
    <w:p>
      <w:pPr>
        <w:jc w:val="both"/>
        <w:ind w:right="20" w:firstLine="646"/>
        <w:spacing w:after="0" w:line="255" w:lineRule="auto"/>
        <w:rPr>
          <w:sz w:val="20"/>
          <w:szCs w:val="20"/>
          <w:color w:val="auto"/>
        </w:rPr>
      </w:pPr>
      <w:r>
        <w:rPr>
          <w:rFonts w:ascii="Times New Roman" w:cs="Times New Roman" w:eastAsia="Times New Roman" w:hAnsi="Times New Roman"/>
          <w:sz w:val="18"/>
          <w:szCs w:val="18"/>
          <w:color w:val="auto"/>
        </w:rPr>
        <w:t>The Company is also exposed to some market risk through interest rates related to the investment of our current cash and cash equivalents which totaled $94.4 million on March 31, 2014.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$0.9 million.</w:t>
      </w:r>
    </w:p>
    <w:p>
      <w:pPr>
        <w:spacing w:after="0" w:line="18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In the past, the Company invested in interest-bearing short-term investments consisting of investment-grade auction rate securities classified as available-for-sale.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 As of March 31, 2014, the Company holds auction rate securities, with underlying tax-exempt municipal bonds that mature in 2030, that have a fair value of $6.6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Financial Instruments and Fair Value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60"/>
          </w:cols>
          <w:pgMar w:left="240" w:top="821" w:right="5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8"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March 31, 2014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189"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that occurred during the three months ended March 31, 2014 that has materially affected, or is reasonably likely to materially affect, the Company’s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8" w:lineRule="exact"/>
        <w:rPr>
          <w:sz w:val="20"/>
          <w:szCs w:val="20"/>
          <w:color w:val="auto"/>
        </w:rPr>
      </w:pPr>
    </w:p>
    <w:p>
      <w:pPr>
        <w:jc w:val="both"/>
        <w:ind w:right="20" w:firstLine="646"/>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8"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2013 Annual Report on Form 10-K (the “2013 Annual Report”) describes some of the risks and uncertainties associated with our business that have the potential to materially affect our business, financial condition or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2013 Annual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8"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On January 13, 2014, the Company completed its previously announced acquisition of certain assets of CIT, Inc., which does business as Chicago International Trucks, Mcgrenho L.L.C., which does business as Indy Truck Sales, and Indiana Mack Leasing, LLC; and the membership interests of Idealease of Chicago, LLC. The purchase price for the assets, membership interests, goodwill and dealership properties was approximately $145.0 million, which was paid in cash and 83,091 shares of the Company’s Class B Common Stock with a total value of $2.0 million on the date of acquisition, which were issued to one of the selling parties. Based in part on representations from the selling party regarding its sophistication, net worth and access to information concerning us, the issuance of the Company’s Class B Common Stock was exempt from registration requirements under Section 4(a)(2) of the Securities Act of 1933, as amended, and Rule 506 of Regulation D thereunder.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described above, we did not make any other unregistered sales of equity securities during the first quarter of 2014.</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040"/>
          </w:cols>
          <w:pgMar w:left="240" w:top="817" w:right="61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A summary of the repurchase activity for the Company’s first quarter of 2014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(1)(2)(3)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 Programs (2)</w:t>
            </w:r>
          </w:p>
        </w:tc>
        <w:tc>
          <w:tcPr>
            <w:tcW w:w="8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or Programs (3)</w:t>
            </w:r>
          </w:p>
        </w:tc>
      </w:tr>
      <w:tr>
        <w:trPr>
          <w:trHeight w:val="209"/>
        </w:trPr>
        <w:tc>
          <w:tcPr>
            <w:tcW w:w="2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 2014</w:t>
            </w: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22,489</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577,165</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26,604,790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 2014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706,675</w:t>
            </w: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36,977,252</w:t>
            </w:r>
          </w:p>
        </w:tc>
      </w:tr>
      <w:tr>
        <w:trPr>
          <w:trHeight w:val="215"/>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2014</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713,300</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36,814,776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158,624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713,300</w:t>
            </w:r>
          </w:p>
        </w:tc>
        <w:tc>
          <w:tcPr>
            <w:tcW w:w="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36,814,776</w:t>
            </w:r>
          </w:p>
        </w:tc>
      </w:tr>
      <w:tr>
        <w:trPr>
          <w:trHeight w:val="210"/>
        </w:trPr>
        <w:tc>
          <w:tcPr>
            <w:tcW w:w="5040" w:type="dxa"/>
            <w:vAlign w:val="bottom"/>
            <w:gridSpan w:val="2"/>
          </w:tcPr>
          <w:p>
            <w:pPr>
              <w:jc w:val="right"/>
              <w:ind w:right="3650"/>
              <w:spacing w:after="0"/>
              <w:rPr>
                <w:sz w:val="20"/>
                <w:szCs w:val="20"/>
                <w:color w:val="auto"/>
              </w:rPr>
            </w:pPr>
            <w:r>
              <w:rPr>
                <w:rFonts w:ascii="Times New Roman" w:cs="Times New Roman" w:eastAsia="Times New Roman" w:hAnsi="Times New Roman"/>
                <w:sz w:val="18"/>
                <w:szCs w:val="18"/>
                <w:color w:val="auto"/>
              </w:rPr>
              <w:t>______________</w:t>
            </w: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ind w:left="660" w:right="380" w:hanging="652"/>
        <w:spacing w:after="0" w:line="24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B Common Stock repurchased by the Company.</w:t>
      </w:r>
    </w:p>
    <w:p>
      <w:pPr>
        <w:spacing w:after="0" w:line="8"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shares under a stock repurchase program announced on February 12, 2013, which authorized the repurchase of up to $40.0 million of its shares of Class A Common Stock and/or Class B Common Stock. This stock repurchase program expired on February 3, 2014. A total of 580,126 shares of Class B Common Stock were repurchased under this program prior to its expiration. On February 4, 2014, the Company announced a new stock repurchase program, which authorized the repurchase of up to $40.0 million of its shares of Class A Common Stock and/or Class B Common Stock. Through March 31, 2014, 133,174 shares of Class B Common Stock have been repurchased under the new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r>
        <w:rPr>
          <w:rFonts w:ascii="Times New Roman" w:cs="Times New Roman" w:eastAsia="Times New Roman" w:hAnsi="Times New Roman"/>
          <w:sz w:val="18"/>
          <w:szCs w:val="18"/>
          <w:b w:val="1"/>
          <w:bCs w:val="1"/>
          <w:color w:val="auto"/>
        </w:rPr>
        <w:t xml:space="preserve">  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5080</wp:posOffset>
            </wp:positionV>
            <wp:extent cx="646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61125" cy="8255"/>
                    </a:xfrm>
                    <a:prstGeom prst="rect">
                      <a:avLst/>
                    </a:prstGeom>
                    <a:noFill/>
                  </pic:spPr>
                </pic:pic>
              </a:graphicData>
            </a:graphic>
          </wp:anchor>
        </w:drawing>
      </w:r>
    </w:p>
    <w:p>
      <w:pPr>
        <w:ind w:left="1240" w:right="20" w:hanging="317"/>
        <w:spacing w:after="0" w:line="257" w:lineRule="auto"/>
        <w:rPr>
          <w:sz w:val="20"/>
          <w:szCs w:val="20"/>
          <w:color w:val="auto"/>
        </w:rPr>
      </w:pPr>
      <w:r>
        <w:rPr>
          <w:rFonts w:ascii="Times New Roman" w:cs="Times New Roman" w:eastAsia="Times New Roman" w:hAnsi="Times New Roman"/>
          <w:sz w:val="18"/>
          <w:szCs w:val="18"/>
          <w:color w:val="auto"/>
        </w:rPr>
        <w:t>3.1 Restated Articles of Incorporation of Rush Enterprises, Inc. (incorporated herein by reference to Exhibit 3.1 of the Company’s Quarterly Report on Form 10-Q (File No. 000-20797) for the quarter ended June 30, 2008)</w:t>
      </w:r>
    </w:p>
    <w:p>
      <w:pPr>
        <w:spacing w:after="0" w:line="1" w:lineRule="exact"/>
        <w:rPr>
          <w:sz w:val="20"/>
          <w:szCs w:val="20"/>
          <w:color w:val="auto"/>
        </w:rPr>
      </w:pPr>
    </w:p>
    <w:p>
      <w:pPr>
        <w:ind w:left="1240" w:hanging="317"/>
        <w:spacing w:after="0" w:line="249" w:lineRule="auto"/>
        <w:rPr>
          <w:sz w:val="20"/>
          <w:szCs w:val="20"/>
          <w:color w:val="auto"/>
        </w:rPr>
      </w:pPr>
      <w:r>
        <w:rPr>
          <w:rFonts w:ascii="Times New Roman" w:cs="Times New Roman" w:eastAsia="Times New Roman" w:hAnsi="Times New Roman"/>
          <w:sz w:val="18"/>
          <w:szCs w:val="18"/>
          <w:color w:val="auto"/>
        </w:rPr>
        <w:t>3.2 Rush Enterprises, Inc. Amended and Restated Bylaws (incorporated herein by reference to Exhibit 3.1 of the Company’s Current Report on Form 8-K (File No. 000-20797) filed May 21,2013)</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31.1* Certification of CEO pursuant to Rules 13a-14(a) and 15d-14(a) adopted pursuant to Section 302 of the Sarbanes-Oxley Act of 2002.</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31.2* Certification of CFO pursuant to Rules 13a-14(a) and 15d-14(a) adopted pursuant to Section 302 of the Sarbanes-Oxley Act of 2002.</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32.1** Certification of CEO pursuant to 18 U.S.C. Section 1350 as adopted pursuant to Section 906 of the Sarbanes-Oxley Act of 2002.</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32.2** Certification of CFO pursuant to 18 U.S.C. Section 1350 as adopted pursuant to Section 906 of the Sarbanes-Oxley Act of 2002.</w:t>
      </w:r>
    </w:p>
    <w:p>
      <w:pPr>
        <w:spacing w:after="0" w:line="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101.DEF* XBRL Taxonomy Extension Definition Linkbase Document.</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101.LAB* XBRL Taxonomy Extension Label Linkbase Document</w:t>
      </w: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20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hanging="652"/>
        <w:spacing w:after="0" w:line="25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210" cy="38100"/>
                    </a:xfrm>
                    <a:prstGeom prst="rect">
                      <a:avLst/>
                    </a:prstGeom>
                    <a:noFill/>
                  </pic:spPr>
                </pic:pic>
              </a:graphicData>
            </a:graphic>
          </wp:anchor>
        </w:drawing>
      </w:r>
    </w:p>
    <w:p>
      <w:pPr>
        <w:sectPr>
          <w:pgSz w:w="11900" w:h="16838" w:orient="portrait"/>
          <w:cols w:equalWidth="0" w:num="1">
            <w:col w:w="11420"/>
          </w:cols>
          <w:pgMar w:left="240" w:top="790" w:right="239" w:bottom="1440" w:gutter="0" w:footer="0" w:header="0"/>
        </w:sectPr>
      </w:pPr>
    </w:p>
    <w:bookmarkStart w:id="27" w:name="page28"/>
    <w:bookmarkEnd w:id="27"/>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3" w:lineRule="exact"/>
        <w:rPr>
          <w:sz w:val="20"/>
          <w:szCs w:val="20"/>
          <w:color w:val="auto"/>
        </w:rPr>
      </w:pPr>
    </w:p>
    <w:p>
      <w:pPr>
        <w:ind w:right="440" w:firstLine="404"/>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12, 2014</w:t>
            </w:r>
          </w:p>
        </w:tc>
        <w:tc>
          <w:tcPr>
            <w:tcW w:w="7820" w:type="dxa"/>
            <w:vAlign w:val="bottom"/>
            <w:gridSpan w:val="5"/>
          </w:tcPr>
          <w:p>
            <w:pPr>
              <w:ind w:left="198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17"/>
        </w:trPr>
        <w:tc>
          <w:tcPr>
            <w:tcW w:w="5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3480" w:type="dxa"/>
            <w:vAlign w:val="bottom"/>
          </w:tcPr>
          <w:p>
            <w:pPr>
              <w:spacing w:after="0"/>
              <w:rPr>
                <w:sz w:val="18"/>
                <w:szCs w:val="18"/>
                <w:color w:val="auto"/>
              </w:rPr>
            </w:pPr>
          </w:p>
        </w:tc>
      </w:tr>
      <w:tr>
        <w:trPr>
          <w:trHeight w:val="215"/>
        </w:trPr>
        <w:tc>
          <w:tcPr>
            <w:tcW w:w="5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2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12, 2014</w:t>
            </w:r>
          </w:p>
        </w:tc>
        <w:tc>
          <w:tcPr>
            <w:tcW w:w="7820" w:type="dxa"/>
            <w:vAlign w:val="bottom"/>
            <w:gridSpan w:val="5"/>
          </w:tcPr>
          <w:p>
            <w:pPr>
              <w:ind w:left="198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7"/>
        </w:trPr>
        <w:tc>
          <w:tcPr>
            <w:tcW w:w="5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3620" w:type="dxa"/>
            <w:vAlign w:val="bottom"/>
            <w:gridSpan w:val="2"/>
          </w:tcPr>
          <w:p>
            <w:pPr>
              <w:spacing w:after="0"/>
              <w:rPr>
                <w:sz w:val="18"/>
                <w:szCs w:val="18"/>
                <w:color w:val="auto"/>
              </w:rPr>
            </w:pPr>
          </w:p>
        </w:tc>
      </w:tr>
      <w:tr>
        <w:trPr>
          <w:trHeight w:val="215"/>
        </w:trPr>
        <w:tc>
          <w:tcPr>
            <w:tcW w:w="5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104"/>
        </w:trPr>
        <w:tc>
          <w:tcPr>
            <w:tcW w:w="5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04"/>
        </w:trPr>
        <w:tc>
          <w:tcPr>
            <w:tcW w:w="5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80" w:type="dxa"/>
            <w:vAlign w:val="bottom"/>
          </w:tcPr>
          <w:p>
            <w:pPr>
              <w:spacing w:after="0"/>
              <w:rPr>
                <w:sz w:val="9"/>
                <w:szCs w:val="9"/>
                <w:color w:val="auto"/>
              </w:rPr>
            </w:pPr>
          </w:p>
        </w:tc>
      </w:tr>
      <w:tr>
        <w:trPr>
          <w:trHeight w:val="60"/>
        </w:trPr>
        <w:tc>
          <w:tcPr>
            <w:tcW w:w="540" w:type="dxa"/>
            <w:vAlign w:val="bottom"/>
            <w:shd w:val="clear" w:color="auto" w:fill="808080"/>
          </w:tcPr>
          <w:p>
            <w:pPr>
              <w:spacing w:after="0"/>
              <w:rPr>
                <w:sz w:val="5"/>
                <w:szCs w:val="5"/>
                <w:color w:val="auto"/>
              </w:rPr>
            </w:pPr>
          </w:p>
        </w:tc>
        <w:tc>
          <w:tcPr>
            <w:tcW w:w="310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4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90" w:right="199" w:bottom="1440" w:gutter="0" w:footer="0" w:header="0"/>
        </w:sectPr>
      </w:pPr>
    </w:p>
    <w:bookmarkStart w:id="28" w:name="page29"/>
    <w:bookmarkEnd w:id="28"/>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p>
      <w:pPr>
        <w:ind w:left="80"/>
        <w:spacing w:after="0" w:line="238" w:lineRule="auto"/>
        <w:rPr>
          <w:sz w:val="20"/>
          <w:szCs w:val="20"/>
          <w:color w:val="auto"/>
        </w:rPr>
      </w:pPr>
      <w:r>
        <w:rPr>
          <w:rFonts w:ascii="Times New Roman" w:cs="Times New Roman" w:eastAsia="Times New Roman" w:hAnsi="Times New Roman"/>
          <w:sz w:val="18"/>
          <w:szCs w:val="18"/>
          <w:b w:val="1"/>
          <w:bCs w:val="1"/>
          <w:color w:val="auto"/>
        </w:rPr>
        <w:t>Number Exhibit Title</w:t>
      </w:r>
    </w:p>
    <w:tbl>
      <w:tblPr>
        <w:tblLayout w:type="fixed"/>
        <w:tblInd w:w="80" w:type="dxa"/>
        <w:tblCellMar>
          <w:top w:w="0" w:type="dxa"/>
          <w:left w:w="0" w:type="dxa"/>
          <w:bottom w:w="0" w:type="dxa"/>
          <w:right w:w="0" w:type="dxa"/>
        </w:tblCellMar>
      </w:tblPr>
      <w:tr>
        <w:trPr>
          <w:trHeight w:val="217"/>
        </w:trPr>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8"/>
                <w:szCs w:val="18"/>
                <w:color w:val="auto"/>
              </w:rPr>
            </w:pPr>
          </w:p>
        </w:tc>
        <w:tc>
          <w:tcPr>
            <w:tcW w:w="10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Certification of CEO pursuant to Rules 13a-14(a) and 15d-14(a) adopted pursuant to Section 302 of the Sarbanes-Oxley Act of 2002.</w:t>
            </w:r>
          </w:p>
        </w:tc>
      </w:tr>
      <w:tr>
        <w:trPr>
          <w:trHeight w:val="215"/>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Rules 13a-14(a) and 15d-14(a) adopted pursuant to Section 302 of the Sarbanes-Oxley Act of 2002.</w:t>
            </w:r>
          </w:p>
        </w:tc>
      </w:tr>
      <w:tr>
        <w:trPr>
          <w:trHeight w:val="215"/>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CEO pursuant to 18 U.S.C. Section 1350 as adopted pursuant to Section 906 of the Sarbanes-Oxley Act of 2002.</w:t>
            </w:r>
          </w:p>
        </w:tc>
      </w:tr>
      <w:tr>
        <w:trPr>
          <w:trHeight w:val="234"/>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20"/>
                <w:szCs w:val="20"/>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CFO pursuant to 18 U.S.C. Section 1350 as adopted pursuant to Section 906 of the Sarbanes-Oxley Act of 2002.</w:t>
            </w:r>
          </w:p>
        </w:tc>
      </w:tr>
    </w:tbl>
    <w:p>
      <w:pPr>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101.SCH*XBRL Taxonomy Extension Schema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101.CAL*XBRL Taxonomy Extension Calculation Linkbase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XBRL Taxonomy Extension Definition Linkbase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101.LAB*XBRL Taxonomy Extension Label Linkbase Document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20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hanging="652"/>
        <w:spacing w:after="0" w:line="25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817" w:right="239" w:bottom="1440" w:gutter="0" w:footer="0" w:header="0"/>
        </w:sectPr>
      </w:pPr>
    </w:p>
    <w:bookmarkStart w:id="29" w:name="page30"/>
    <w:bookmarkEnd w:id="29"/>
    <w:p>
      <w:pPr>
        <w:ind w:left="9960"/>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24"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3" w:lineRule="exact"/>
        <w:rPr>
          <w:rFonts w:ascii="Times New Roman" w:cs="Times New Roman" w:eastAsia="Times New Roman" w:hAnsi="Times New Roman"/>
          <w:sz w:val="18"/>
          <w:szCs w:val="18"/>
          <w:color w:val="auto"/>
        </w:rPr>
      </w:pPr>
    </w:p>
    <w:p>
      <w:pPr>
        <w:ind w:right="320" w:firstLine="8"/>
        <w:spacing w:after="0" w:line="280"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right="340" w:firstLine="8"/>
        <w:spacing w:after="0" w:line="280" w:lineRule="auto"/>
        <w:tabs>
          <w:tab w:leader="none" w:pos="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right="340" w:firstLine="8"/>
        <w:spacing w:after="0" w:line="265" w:lineRule="auto"/>
        <w:tabs>
          <w:tab w:leader="none" w:pos="4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420" w:firstLine="331"/>
        <w:spacing w:after="0" w:line="265" w:lineRule="auto"/>
        <w:tabs>
          <w:tab w:leader="none" w:pos="7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firstLine="331"/>
        <w:spacing w:after="0" w:line="265" w:lineRule="auto"/>
        <w:tabs>
          <w:tab w:leader="none" w:pos="75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900" w:firstLine="331"/>
        <w:spacing w:after="0" w:line="280" w:lineRule="auto"/>
        <w:tabs>
          <w:tab w:leader="none" w:pos="7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right="120" w:firstLine="331"/>
        <w:spacing w:after="0" w:line="265" w:lineRule="auto"/>
        <w:tabs>
          <w:tab w:leader="none" w:pos="80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8"/>
        <w:spacing w:after="0" w:line="280"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right="300" w:firstLine="331"/>
        <w:spacing w:after="0" w:line="280" w:lineRule="auto"/>
        <w:tabs>
          <w:tab w:leader="none" w:pos="7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60" w:firstLine="331"/>
        <w:spacing w:after="0" w:line="280" w:lineRule="auto"/>
        <w:tabs>
          <w:tab w:leader="none" w:pos="79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2014</w:t>
            </w:r>
          </w:p>
        </w:tc>
        <w:tc>
          <w:tcPr>
            <w:tcW w:w="614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17"/>
        </w:trPr>
        <w:tc>
          <w:tcPr>
            <w:tcW w:w="3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1580" w:type="dxa"/>
            <w:vAlign w:val="bottom"/>
          </w:tcPr>
          <w:p>
            <w:pPr>
              <w:spacing w:after="0"/>
              <w:rPr>
                <w:sz w:val="18"/>
                <w:szCs w:val="18"/>
                <w:color w:val="auto"/>
              </w:rPr>
            </w:pPr>
          </w:p>
        </w:tc>
      </w:tr>
      <w:tr>
        <w:trPr>
          <w:trHeight w:val="215"/>
        </w:trPr>
        <w:tc>
          <w:tcPr>
            <w:tcW w:w="38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8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360"/>
          </w:cols>
          <w:pgMar w:left="240" w:top="336" w:right="299" w:bottom="1440" w:gutter="0" w:footer="0" w:header="0"/>
        </w:sectPr>
      </w:pPr>
    </w:p>
    <w:bookmarkStart w:id="30" w:name="page31"/>
    <w:bookmarkEnd w:id="30"/>
    <w:p>
      <w:pPr>
        <w:ind w:left="9960"/>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4"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3" w:lineRule="exact"/>
        <w:rPr>
          <w:rFonts w:ascii="Times New Roman" w:cs="Times New Roman" w:eastAsia="Times New Roman" w:hAnsi="Times New Roman"/>
          <w:sz w:val="18"/>
          <w:szCs w:val="18"/>
          <w:color w:val="auto"/>
        </w:rPr>
      </w:pPr>
    </w:p>
    <w:p>
      <w:pPr>
        <w:ind w:right="320" w:firstLine="8"/>
        <w:spacing w:after="0" w:line="280" w:lineRule="auto"/>
        <w:tabs>
          <w:tab w:leader="none" w:pos="3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right="340" w:firstLine="8"/>
        <w:spacing w:after="0" w:line="280" w:lineRule="auto"/>
        <w:tabs>
          <w:tab w:leader="none" w:pos="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right="340" w:firstLine="8"/>
        <w:spacing w:after="0" w:line="265" w:lineRule="auto"/>
        <w:tabs>
          <w:tab w:leader="none" w:pos="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420" w:firstLine="331"/>
        <w:spacing w:after="0" w:line="265" w:lineRule="auto"/>
        <w:tabs>
          <w:tab w:leader="none" w:pos="7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firstLine="331"/>
        <w:spacing w:after="0" w:line="265" w:lineRule="auto"/>
        <w:tabs>
          <w:tab w:leader="none" w:pos="7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900" w:firstLine="331"/>
        <w:spacing w:after="0" w:line="280" w:lineRule="auto"/>
        <w:tabs>
          <w:tab w:leader="none" w:pos="7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ind w:right="120" w:firstLine="331"/>
        <w:spacing w:after="0" w:line="265" w:lineRule="auto"/>
        <w:tabs>
          <w:tab w:leader="none" w:pos="80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8"/>
        <w:spacing w:after="0" w:line="280" w:lineRule="auto"/>
        <w:tabs>
          <w:tab w:leader="none" w:pos="3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right="300" w:firstLine="331"/>
        <w:spacing w:after="0" w:line="280" w:lineRule="auto"/>
        <w:tabs>
          <w:tab w:leader="none" w:pos="7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60" w:firstLine="331"/>
        <w:spacing w:after="0" w:line="280" w:lineRule="auto"/>
        <w:tabs>
          <w:tab w:leader="none" w:pos="7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2014</w:t>
            </w:r>
          </w:p>
        </w:tc>
        <w:tc>
          <w:tcPr>
            <w:tcW w:w="600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7"/>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720" w:type="dxa"/>
            <w:vAlign w:val="bottom"/>
          </w:tcPr>
          <w:p>
            <w:pPr>
              <w:spacing w:after="0"/>
              <w:rPr>
                <w:sz w:val="18"/>
                <w:szCs w:val="18"/>
                <w:color w:val="auto"/>
              </w:rPr>
            </w:pPr>
          </w:p>
        </w:tc>
      </w:tr>
      <w:tr>
        <w:trPr>
          <w:trHeight w:val="215"/>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and Chief Financial Officer</w:t>
            </w:r>
          </w:p>
        </w:tc>
      </w:tr>
      <w:tr>
        <w:trPr>
          <w:trHeight w:val="234"/>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360"/>
          </w:cols>
          <w:pgMar w:left="240" w:top="121" w:right="2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2014,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1300" w:hanging="646"/>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8"/>
          <w:szCs w:val="18"/>
          <w:color w:val="auto"/>
        </w:rPr>
      </w:pPr>
    </w:p>
    <w:p>
      <w:pPr>
        <w:ind w:left="1300" w:right="20" w:hanging="646"/>
        <w:spacing w:after="0" w:line="28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40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-8255</wp:posOffset>
            </wp:positionV>
            <wp:extent cx="1330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Name:W.M. “Rusty” Rush</w:t>
      </w:r>
    </w:p>
    <w:p>
      <w:pPr>
        <w:spacing w:after="0" w:line="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Date: May 12, 2014</w:t>
      </w:r>
    </w:p>
    <w:p>
      <w:pPr>
        <w:spacing w:after="0" w:line="200" w:lineRule="exact"/>
        <w:rPr>
          <w:sz w:val="20"/>
          <w:szCs w:val="20"/>
          <w:color w:val="auto"/>
        </w:rPr>
      </w:pPr>
    </w:p>
    <w:p>
      <w:pPr>
        <w:spacing w:after="0" w:line="32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40"/>
          </w:cols>
          <w:pgMar w:left="240" w:top="121" w:right="6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2014,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1300" w:hanging="646"/>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8"/>
          <w:szCs w:val="18"/>
          <w:color w:val="auto"/>
        </w:rPr>
      </w:pPr>
    </w:p>
    <w:p>
      <w:pPr>
        <w:ind w:left="1300" w:right="20" w:hanging="646"/>
        <w:spacing w:after="0" w:line="280"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80"/>
        <w:spacing w:after="0"/>
        <w:tabs>
          <w:tab w:leader="none" w:pos="5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STEVEN L. KELLER</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Steven L. Keller</w:t>
      </w:r>
    </w:p>
    <w:p>
      <w:pPr>
        <w:spacing w:after="0" w:line="8" w:lineRule="exact"/>
        <w:rPr>
          <w:sz w:val="20"/>
          <w:szCs w:val="20"/>
          <w:color w:val="auto"/>
        </w:rPr>
      </w:pPr>
    </w:p>
    <w:p>
      <w:pPr>
        <w:ind w:left="4980"/>
        <w:spacing w:after="0"/>
        <w:tabs>
          <w:tab w:leader="none" w:pos="5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Chief Financial Officer</w:t>
      </w:r>
    </w:p>
    <w:p>
      <w:pPr>
        <w:spacing w:after="0" w:line="8" w:lineRule="exact"/>
        <w:rPr>
          <w:sz w:val="20"/>
          <w:szCs w:val="20"/>
          <w:color w:val="auto"/>
        </w:rPr>
      </w:pPr>
    </w:p>
    <w:p>
      <w:pPr>
        <w:ind w:left="4980"/>
        <w:spacing w:after="0"/>
        <w:tabs>
          <w:tab w:leader="none" w:pos="5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12, 2014</w:t>
      </w:r>
    </w:p>
    <w:p>
      <w:pPr>
        <w:spacing w:after="0" w:line="200" w:lineRule="exact"/>
        <w:rPr>
          <w:sz w:val="20"/>
          <w:szCs w:val="20"/>
          <w:color w:val="auto"/>
        </w:rPr>
      </w:pPr>
    </w:p>
    <w:p>
      <w:pPr>
        <w:spacing w:after="0" w:line="22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endash "/>
      <w:numFmt w:val="bullet"/>
      <w:start w:val="1"/>
    </w:lvl>
  </w:abstractNum>
  <w:abstractNum w:abstractNumId="3">
    <w:nsid w:val="515F007C"/>
    <w:multiLevelType w:val="hybridMultilevel"/>
    <w:lvl w:ilvl="0">
      <w:lvlJc w:val="left"/>
      <w:lvlText w:val="\endash "/>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2019-12-06T15:08:30Z</dcterms:created>
  <dcterms:modified xsi:type="dcterms:W3CDTF">2019-12-06T15:08:30Z</dcterms:modified>
</cp:coreProperties>
</file>