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500" w:right="179"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2980"/>
        <w:spacing w:after="0"/>
        <w:tabs>
          <w:tab w:leader="none" w:pos="6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0-20797</w:t>
      </w:r>
    </w:p>
    <w:p>
      <w:pPr>
        <w:spacing w:after="0" w:line="173"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697" w:gutter="0" w:footer="0" w:header="0"/>
        </w:sectPr>
      </w:pP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1179"/>
        <w:spacing w:after="0"/>
        <w:rPr>
          <w:sz w:val="20"/>
          <w:szCs w:val="20"/>
          <w:color w:val="auto"/>
        </w:rPr>
      </w:pPr>
      <w:r>
        <w:rPr>
          <w:rFonts w:ascii="Arial" w:cs="Arial" w:eastAsia="Arial" w:hAnsi="Arial"/>
          <w:sz w:val="16"/>
          <w:szCs w:val="16"/>
          <w:color w:val="auto"/>
        </w:rPr>
        <w:t>(I.R.S. Employer Identification No.)</w:t>
      </w:r>
    </w:p>
    <w:p>
      <w:pPr>
        <w:spacing w:after="0" w:line="409" w:lineRule="exact"/>
        <w:rPr>
          <w:sz w:val="20"/>
          <w:szCs w:val="20"/>
          <w:color w:val="auto"/>
        </w:rPr>
      </w:pPr>
    </w:p>
    <w:p>
      <w:pPr>
        <w:sectPr>
          <w:pgSz w:w="11900" w:h="16838" w:orient="portrait"/>
          <w:cols w:equalWidth="0" w:num="2">
            <w:col w:w="5720" w:space="720"/>
            <w:col w:w="3779"/>
          </w:cols>
          <w:pgMar w:left="240" w:top="122" w:right="1440" w:bottom="697" w:gutter="0" w:footer="0" w:header="0"/>
          <w:type w:val="continuous"/>
        </w:sectPr>
      </w:pPr>
    </w:p>
    <w:p>
      <w:pPr>
        <w:jc w:val="center"/>
        <w:ind w:right="-18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(Zip Code)</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jc w:val="center"/>
        <w:ind w:righ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Yes o No o</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2" w:right="1440" w:bottom="697"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080" w:space="560"/>
            <w:col w:w="1400" w:space="340"/>
            <w:col w:w="3340" w:space="220"/>
            <w:col w:w="2279"/>
          </w:cols>
          <w:pgMar w:left="240" w:top="122" w:right="1440" w:bottom="697" w:gutter="0" w:footer="0" w:header="0"/>
          <w:type w:val="continuous"/>
        </w:sectPr>
      </w:pPr>
    </w:p>
    <w:p>
      <w:pPr>
        <w:jc w:val="center"/>
        <w:ind w:right="599"/>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77" w:lineRule="exact"/>
        <w:rPr>
          <w:sz w:val="20"/>
          <w:szCs w:val="20"/>
          <w:color w:val="auto"/>
        </w:rPr>
      </w:pPr>
    </w:p>
    <w:p>
      <w:pPr>
        <w:jc w:val="center"/>
        <w:ind w:right="-16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Indicated below is the number of shares outstanding of each of the issuer’s classes of common stock, as of November 2, 2010.</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Number of</w:t>
            </w:r>
          </w:p>
        </w:tc>
      </w:tr>
      <w:tr>
        <w:trPr>
          <w:trHeight w:val="216"/>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84"/>
              </w:rPr>
              <w:t>Shares</w:t>
            </w: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Title of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r>
      <w:tr>
        <w:trPr>
          <w:trHeight w:val="209"/>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Class A Common Stock, $.01 Par Value</w:t>
            </w: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88"/>
              </w:rPr>
              <w:t>26,679,991</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Class B Common Stock, $.01 Par Value</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10,693,641</w:t>
            </w:r>
          </w:p>
        </w:tc>
      </w:tr>
      <w:tr>
        <w:trPr>
          <w:trHeight w:val="237"/>
        </w:trPr>
        <w:tc>
          <w:tcPr>
            <w:tcW w:w="4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697"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60" w:type="dxa"/>
            <w:vAlign w:val="bottom"/>
            <w:gridSpan w:val="1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0" w:type="dxa"/>
            <w:vAlign w:val="bottom"/>
            <w:gridSpan w:val="9"/>
            <w:vMerge w:val="restart"/>
          </w:tcPr>
          <w:p>
            <w:pPr>
              <w:spacing w:after="0"/>
              <w:rPr>
                <w:sz w:val="24"/>
                <w:szCs w:val="24"/>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3060" w:type="dxa"/>
            <w:vAlign w:val="bottom"/>
            <w:tcBorders>
              <w:bottom w:val="single" w:sz="8" w:color="0000EE"/>
            </w:tcBorders>
            <w:gridSpan w:val="18"/>
            <w:vMerge w:val="continue"/>
          </w:tcPr>
          <w:p>
            <w:pPr>
              <w:spacing w:after="0"/>
              <w:rPr>
                <w:sz w:val="14"/>
                <w:szCs w:val="14"/>
                <w:color w:val="auto"/>
              </w:rPr>
            </w:pPr>
          </w:p>
        </w:tc>
        <w:tc>
          <w:tcPr>
            <w:tcW w:w="5600" w:type="dxa"/>
            <w:vAlign w:val="bottom"/>
            <w:gridSpan w:val="9"/>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0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 September 30, 2010 (unaudited) and December 31, 2009</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Operations — For the Three Months and Nine Months Ended September 30, 2010</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2009 (unaudited)</w:t>
              </w:r>
            </w:hyperlink>
          </w:p>
        </w:tc>
        <w:tc>
          <w:tcPr>
            <w:tcW w:w="6200" w:type="dxa"/>
            <w:vAlign w:val="bottom"/>
            <w:tcBorders>
              <w:top w:val="single" w:sz="8" w:color="0000EE"/>
            </w:tcBorders>
            <w:gridSpan w:val="12"/>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For the Nine Months Ended September 30, 2010 and 2009</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1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920" w:type="dxa"/>
            <w:vAlign w:val="bottom"/>
            <w:gridSpan w:val="2"/>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460" w:type="dxa"/>
            <w:vAlign w:val="bottom"/>
            <w:gridSpan w:val="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4. Controls and Procedures</w:t>
              </w:r>
            </w:hyperlink>
          </w:p>
        </w:tc>
        <w:tc>
          <w:tcPr>
            <w:tcW w:w="6140" w:type="dxa"/>
            <w:vAlign w:val="bottom"/>
            <w:gridSpan w:val="11"/>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76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590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580" w:type="dxa"/>
            <w:vAlign w:val="bottom"/>
            <w:gridSpan w:val="14"/>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3560" w:type="dxa"/>
            <w:vAlign w:val="bottom"/>
            <w:gridSpan w:val="5"/>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5580" w:type="dxa"/>
            <w:vAlign w:val="bottom"/>
            <w:gridSpan w:val="8"/>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6600" w:type="dxa"/>
            <w:vAlign w:val="bottom"/>
            <w:gridSpan w:val="15"/>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1"/>
              </w:rPr>
              <w:t>Exhibit 10.1</w:t>
            </w:r>
          </w:p>
        </w:tc>
        <w:tc>
          <w:tcPr>
            <w:tcW w:w="220" w:type="dxa"/>
            <w:vAlign w:val="bottom"/>
            <w:tcBorders>
              <w:top w:val="single" w:sz="8" w:color="0000EE"/>
            </w:tcBorders>
          </w:tcPr>
          <w:p>
            <w:pPr>
              <w:spacing w:after="0"/>
              <w:rPr>
                <w:sz w:val="24"/>
                <w:szCs w:val="24"/>
                <w:color w:val="auto"/>
              </w:rPr>
            </w:pPr>
          </w:p>
        </w:tc>
        <w:tc>
          <w:tcPr>
            <w:tcW w:w="7520" w:type="dxa"/>
            <w:vAlign w:val="bottom"/>
            <w:gridSpan w:val="19"/>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10.2</w:t>
            </w:r>
          </w:p>
        </w:tc>
        <w:tc>
          <w:tcPr>
            <w:tcW w:w="774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31.1</w:t>
            </w:r>
          </w:p>
        </w:tc>
        <w:tc>
          <w:tcPr>
            <w:tcW w:w="774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31.2</w:t>
            </w:r>
          </w:p>
        </w:tc>
        <w:tc>
          <w:tcPr>
            <w:tcW w:w="774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Exhibit 32.1</w:t>
            </w:r>
          </w:p>
        </w:tc>
        <w:tc>
          <w:tcPr>
            <w:tcW w:w="7740" w:type="dxa"/>
            <w:vAlign w:val="bottom"/>
            <w:gridSpan w:val="2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400" w:type="dxa"/>
            <w:vAlign w:val="bottom"/>
            <w:gridSpan w:val="3"/>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4160" w:type="dxa"/>
            <w:vAlign w:val="bottom"/>
            <w:gridSpan w:val="15"/>
          </w:tcPr>
          <w:p>
            <w:pPr>
              <w:jc w:val="center"/>
              <w:ind w:left="365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SEPTEMBER 30, 2010 AND DECEMBER 31, 2009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(In Thousands, Except 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150,902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67,889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335,995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477,966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7,575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353,841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147,213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136,761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8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1,144,724</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Floor plan notes payable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252,383</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52,359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40,843</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980" w:type="dxa"/>
            <w:vAlign w:val="bottom"/>
            <w:gridSpan w:val="6"/>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53,910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1"/>
              </w:rPr>
              <w:t>Preferred stock, par value $.01 per share; 1,000,000 shares authorized; 0 shares 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6"/>
          </w:tcPr>
          <w:p>
            <w:pPr>
              <w:ind w:left="400"/>
              <w:spacing w:after="0"/>
              <w:rPr>
                <w:sz w:val="20"/>
                <w:szCs w:val="20"/>
                <w:color w:val="auto"/>
              </w:rPr>
            </w:pPr>
            <w:r>
              <w:rPr>
                <w:rFonts w:ascii="Arial" w:cs="Arial" w:eastAsia="Arial" w:hAnsi="Arial"/>
                <w:sz w:val="18"/>
                <w:szCs w:val="18"/>
                <w:color w:val="auto"/>
              </w:rPr>
              <w:t>in 2010 and 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par value $.01 per share; 60,000,000 class A shares and 20,000,000 class B</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w w:val="91"/>
              </w:rPr>
              <w:t>shares authorized; 26,663,588 class A shares and 10,693,641 class B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w w:val="95"/>
              </w:rPr>
              <w:t>in 2010; and 26,437,848 class A shares and 10,689,375 class B shares outstanding 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w:t>
            </w:r>
          </w:p>
        </w:tc>
        <w:tc>
          <w:tcPr>
            <w:tcW w:w="18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193,227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277,753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255,669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80" w:type="dxa"/>
            <w:vAlign w:val="bottom"/>
            <w:gridSpan w:val="6"/>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452,742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426,225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1,144,724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584"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84"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60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580" w:type="dxa"/>
            <w:vAlign w:val="bottom"/>
            <w:gridSpan w:val="12"/>
          </w:tcPr>
          <w:p>
            <w:pPr>
              <w:jc w:val="center"/>
              <w:ind w:right="360"/>
              <w:spacing w:after="0" w:line="196" w:lineRule="exact"/>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10"/>
          </w:tcPr>
          <w:p>
            <w:pPr>
              <w:jc w:val="center"/>
              <w:ind w:right="1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New and used commercial vehicle sales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248,324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179,121</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620,237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562,263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98,805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356,452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Lease and rental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18,254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13,300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48,541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Finance and insurance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293,941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1,034,968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914,003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New and used commercial vehicle sales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167,396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570,027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Parts and service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83,190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59,668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218,041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184,215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41,461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Total cost of products sold</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238,820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829,529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205,439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60,392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50,340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165,677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149,257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(Loss) gain on sale of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1,428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Income (loss) from continuing operations before taxes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(3,271)</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9,042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2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37,110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38,198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37,780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38,087</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560" w:type="dxa"/>
            <w:vAlign w:val="bottom"/>
            <w:gridSpan w:val="4"/>
          </w:tcPr>
          <w:p>
            <w:pPr>
              <w:jc w:val="center"/>
              <w:ind w:right="340"/>
              <w:spacing w:after="0" w:line="196" w:lineRule="exact"/>
              <w:rPr>
                <w:sz w:val="20"/>
                <w:szCs w:val="20"/>
                <w:color w:val="auto"/>
              </w:rPr>
            </w:pPr>
            <w:r>
              <w:rPr>
                <w:rFonts w:ascii="Arial" w:cs="Arial" w:eastAsia="Arial" w:hAnsi="Arial"/>
                <w:sz w:val="18"/>
                <w:szCs w:val="18"/>
                <w:b w:val="1"/>
                <w:bCs w:val="1"/>
                <w:color w:val="auto"/>
                <w:w w:val="98"/>
              </w:rPr>
              <w:t>CONSOLIDATED STATEMENTS OF CASH FLOWS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(In Thousands)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22,084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33,205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Gain on sale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Gain on disposition of equipment centers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6"/>
            <w:shd w:val="clear" w:color="auto" w:fill="CCEEFF"/>
          </w:tcPr>
          <w:p>
            <w:pPr>
              <w:ind w:left="600"/>
              <w:spacing w:after="0" w:line="201" w:lineRule="exact"/>
              <w:rPr>
                <w:sz w:val="20"/>
                <w:szCs w:val="20"/>
                <w:color w:val="auto"/>
              </w:rPr>
            </w:pPr>
            <w:r>
              <w:rPr>
                <w:rFonts w:ascii="Arial" w:cs="Arial" w:eastAsia="Arial" w:hAnsi="Arial"/>
                <w:sz w:val="18"/>
                <w:szCs w:val="18"/>
                <w:color w:val="auto"/>
              </w:rPr>
              <w:t>Stock-based compensation expense related to stock options and employee stock</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Provision (benefit) for deferred income tax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1,488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Change in accounts receivable,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(24,623)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(68,307)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Change in prepaid expenses and other,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trade accounts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14,931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Change in accrued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24,149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130,709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(44,643)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Business acquisitions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(33,674)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Proceeds from disposition of equipment centers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26,234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(52,847)</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(32,503)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Draws (payments) on floor plan notes payable,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58,297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Proceeds from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46,262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(41,834)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(5,692)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6"/>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Proceeds from issuance of shares relating to employee stock options and employee stock</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58,403</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(107,886)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gridSpan w:val="6"/>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149,095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150,902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3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9,874</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ind w:left="200"/>
              <w:spacing w:after="0"/>
              <w:rPr>
                <w:sz w:val="20"/>
                <w:szCs w:val="20"/>
                <w:color w:val="auto"/>
              </w:rPr>
            </w:pPr>
            <w:r>
              <w:rPr>
                <w:rFonts w:ascii="Arial" w:cs="Arial" w:eastAsia="Arial" w:hAnsi="Arial"/>
                <w:sz w:val="18"/>
                <w:szCs w:val="18"/>
                <w:color w:val="auto"/>
              </w:rPr>
              <w:t>Noncash investing activities: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Note receivable related to disposition of equipment centers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ind w:left="400"/>
              <w:spacing w:after="0"/>
              <w:rPr>
                <w:sz w:val="20"/>
                <w:szCs w:val="20"/>
                <w:color w:val="auto"/>
              </w:rPr>
            </w:pPr>
            <w:r>
              <w:rPr>
                <w:rFonts w:ascii="Arial" w:cs="Arial" w:eastAsia="Arial" w:hAnsi="Arial"/>
                <w:sz w:val="18"/>
                <w:szCs w:val="18"/>
                <w:color w:val="auto"/>
              </w:rPr>
              <w:t>Assets acquired under capital leases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71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719"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2009. Results of operations for interim periods are not necessarily indicative of results that may be expected for any other interim periods or the full fiscal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interest rate swaps become ineffective, portions of these interest rate swaps would be reported as a component of interest expense in the accompanying Consolidated Statements of Income.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its operating segment, the Truck segment, which is the level at which segment management regularly reviews operating results and makes resource allocation decisions. The Construction Equipment segment is no longer reported as a separate business segment since the Company sold its John Deere construction equipment business in the third quarter of 2010. See Note 10 for further discussion of the sale of the construction equipment business.</w:t>
      </w:r>
    </w:p>
    <w:p>
      <w:pPr>
        <w:spacing w:after="0" w:line="137"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w:t>
      </w:r>
    </w:p>
    <w:p>
      <w:pPr>
        <w:spacing w:after="0" w:line="12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Goodwill is tested for impairment during the fourth quarter of each year, or more frequently when events or changes in circumstances indicate that the asset might be impaired, and no impairment write down was required in the fourth quarter of 2009. However, the Company cannot predict the occurrence of certain events that might adversely affect the reported value of goodwill in the future. Such events may include, but are not limited to, strategic decisions made in response to economic and competitive conditions or another significant decrease in general economic conditions in the United States.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136,761</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Lake City International (See Note 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Joe Cooper Truck Center LLC (See Note 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Adjustment to prior acquisition</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147,213</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189" w:lineRule="exact"/>
        <w:rPr>
          <w:sz w:val="20"/>
          <w:szCs w:val="20"/>
          <w:color w:val="auto"/>
        </w:rPr>
      </w:pPr>
    </w:p>
    <w:p>
      <w:pPr>
        <w:jc w:val="both"/>
        <w:ind w:left="340" w:right="1360" w:firstLine="389"/>
        <w:spacing w:after="0" w:line="276"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commercial vehicles.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32" w:lineRule="exact"/>
        <w:rPr>
          <w:sz w:val="20"/>
          <w:szCs w:val="20"/>
          <w:color w:val="auto"/>
        </w:rPr>
      </w:pPr>
    </w:p>
    <w:p>
      <w:pPr>
        <w:jc w:val="both"/>
        <w:ind w:left="340" w:right="1360" w:firstLine="389"/>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6"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$35.5 million, of which $34.2 million was expended at September 30,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 Earnings Per Share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auto"/>
                <w:w w:val="94"/>
              </w:rPr>
              <w:t>Three Months Ended September 30,</w:t>
            </w:r>
          </w:p>
        </w:tc>
        <w:tc>
          <w:tcPr>
            <w:tcW w:w="2760" w:type="dxa"/>
            <w:vAlign w:val="bottom"/>
            <w:gridSpan w:val="8"/>
          </w:tcPr>
          <w:p>
            <w:pPr>
              <w:ind w:left="180"/>
              <w:spacing w:after="0"/>
              <w:rPr>
                <w:sz w:val="20"/>
                <w:szCs w:val="20"/>
                <w:color w:val="auto"/>
              </w:rPr>
            </w:pPr>
            <w:r>
              <w:rPr>
                <w:rFonts w:ascii="Arial" w:cs="Arial" w:eastAsia="Arial" w:hAnsi="Arial"/>
                <w:sz w:val="18"/>
                <w:szCs w:val="18"/>
                <w:color w:val="auto"/>
                <w:w w:val="91"/>
              </w:rPr>
              <w:t>Nine Months Ended 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w w:val="96"/>
              </w:rPr>
              <w:t>Numerator for basic and diluted earnings per share,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income from continuing operations available to</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common shareholders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8,031,000</w:t>
            </w:r>
          </w:p>
        </w:tc>
        <w:tc>
          <w:tcPr>
            <w:tcW w:w="4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2,988,000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15,369,000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3,634,000</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w w:val="96"/>
              </w:rPr>
              <w:t>Denominator for basic earnings per share, adjusted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37,349,899</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37,109,673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37,271,416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37,046,915</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w w:val="97"/>
              </w:rPr>
              <w:t>Employee and director stock options and restricted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share awards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848,479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670,701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815,593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421,659</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diluted earnings per share,</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weighted average shares outstanding</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assumed conversions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38,198,378</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37,780,374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38,087,009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37,468,574</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common share and common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three months and nine months ended September 30, 2010 and 2009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40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4580" w:type="dxa"/>
            <w:vAlign w:val="bottom"/>
          </w:tcPr>
          <w:p>
            <w:pPr>
              <w:spacing w:after="0"/>
              <w:rPr>
                <w:sz w:val="20"/>
                <w:szCs w:val="20"/>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4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September 30,</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990,330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505,830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985,830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1,557,356</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$0.7 million for the three months ended September 30, 2010, and $0.6 million for the three months ended September 30, 2009. Stock-based compensation expense, included in selling, general and administrative expense, for the nine months ended September 30, 2010, was $3.6 million and for the nine months ended September 30, 2009, was $3.1 million. As of September 30, 2010, there was $5.7 million of total unrecognized compensation cost related to non-vested share-based compensation arrangements to be recognized over a weighted-average period of 3.15 years.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Segment Information</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Construction Equipment segment will no longer be reported as a separate business segment due to the Company’s decision to sell the assets of its John Deere construction equipment business. See Note 10 for further discussion of the sale of the construction equipment business. The assets of the construction equipment business have been included in the All Other segment assets in the table below for the periods ended September 30, 2009.</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30"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Company accounted for intersegment sales and transfers as if the sales or transfers were to third parties, that is, at current market prices. There were no material intersegment sales during the quarters ended September 30, 2010 and 2009.</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September 30, 2010 and 2009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Truck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Segment</w:t>
            </w: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September 30, 2010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401,890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3,951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405,841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Segment assets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1,112,454</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32,270</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1,144,724</w:t>
            </w:r>
          </w:p>
        </w:tc>
      </w:tr>
      <w:tr>
        <w:trPr>
          <w:trHeight w:val="202"/>
        </w:trPr>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1,023,321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11,647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1,034,968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24,411</w:t>
            </w:r>
          </w:p>
        </w:tc>
      </w:tr>
      <w:tr>
        <w:trPr>
          <w:trHeight w:val="432"/>
        </w:trPr>
        <w:tc>
          <w:tcPr>
            <w:tcW w:w="502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September 30, 2009</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293,941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900,657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957,510</w:t>
            </w:r>
          </w:p>
        </w:tc>
      </w:tr>
      <w:tr>
        <w:trPr>
          <w:trHeight w:val="432"/>
        </w:trPr>
        <w:tc>
          <w:tcPr>
            <w:tcW w:w="502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2009</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901,503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914,003</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r>
    </w:tbl>
    <w:p>
      <w:pPr>
        <w:spacing w:after="0" w:line="16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 Income Taxes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included accruals for unrecognized income tax benefits totaling $1.8 million as a component of accrued liabilities as of September 30, 2010 and December 31, 2009. The unrecognized tax benefits of $1.8 million at September 30, 2010, if recognized, would impact the Company’s effective tax rate. An unfavorable settlement would require a charge to income tax expense and a favorable resolution would be recognized as a reduction to income tax expense. As of September 30, 2010, the Company accrued interest of $135,000 related to unrecognized tax benefits in the current provision for income taxes. No amounts were accrued for penalties.</w:t>
      </w:r>
    </w:p>
    <w:p>
      <w:pPr>
        <w:spacing w:after="0" w:line="16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September 30, 2010, the tax years ended December 31, 2008 through 2009 remained subject to audit by federal tax authorities and the tax years ended December 31, 2005 through 2009, remained subject to audit by state tax authorities.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Medium-Duty GMC Truck Franchises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This impairment charge resulted in a net charge to cost of sales of $4.0 million, a net charge to SG&amp;A expense of $0.1 million and a charge to amortization expense of $0.8 million during the second quarter of 2009. During the third and fourth quarters of 2009, the Company adjusted the estimated impairment charge related to the medium-duty GMC truck and parts inventories, which resulted in a net credit to cost of sales of $1.9 million.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Acquisitions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The newly acquired dealerships include five locations in Utah, five locations in Idaho and one location in Oregon. These locations are operating as Rush Truck Centers and offer a combination of International heavy- and medium-duty commercial vehicles, Autocar trucks, Mitsubishi Fuso medium-duty trucks, IC buses and Workhorse chassis in addition to parts, service, body shop, financing and insurance capabilities. Rush Truck Leasing operates Idealease truck rental and leasing franchises at existing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ectPr>
          <w:pgSz w:w="11900" w:h="16838" w:orient="portrait"/>
          <w:cols w:equalWidth="0" w:num="1">
            <w:col w:w="10219"/>
          </w:cols>
          <w:pgMar w:left="240" w:top="419" w:right="1440" w:bottom="57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7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operations of Lake City International are included in the accompanying consolidated financial statements from the date of the acquisition. Pro forma information is not included in accordance with ASC 805, “Business Combinations.” The preliminary purchase price has been allocated based on the fair values of the assets at the date of acquisition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47,802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23"/>
        </w:trPr>
        <w:tc>
          <w:tcPr>
            <w:tcW w:w="8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69,974</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The Company financed approximately $37.5 million of the purchase price under its floor plan, accounts receivable, lease and rental truck financing arrangements and a real estate loan. As part of the Lake City International acquisition, the Company assumed certain contingent liabilities for notes initiated on behalf of Lake City International related to the sale of commercial vehicles. The contingent liability had an estimated fair value of $2.0 million and was recorded as an accrued liability.</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portion of goodwill related to the asset purchase of Lake City International will be capitalized and subject to impairment review on at least an annual basis. For federal tax purposes the goodwill will be amortized over 15 years. The above acquisition of Lake City International was considered a business combination accounted for under ASC 805.</w:t>
      </w:r>
    </w:p>
    <w:p>
      <w:pPr>
        <w:spacing w:after="0" w:line="14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Sale of Equipment Centers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153"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At closing, Doggett Heavy Machinery Services, LLC entered into a lease agreement with Rush Equipment Centers of Texas, Inc. to lease the facility where Rush Equipment Center, Houston was located from an affiliate of the Company. The lease provides for an initial three year term with the option for lessee to terminate the lease with 30 days notice. The Company’s continuing involvement in the operations of the construction equipment business is not significant and will be limited to the facility lease agreement.</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The results of operations of the construction equipment business have been classified as discontinued operations in the Company’s consolidated statements of operations for all periods presented, and excluded from business segment information.</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29,649</w:t>
            </w: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Results of operations from discontinued operations before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Gain on disposition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10,091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major classes of assets of the discontinued operations classified as held for sale and included in the consolidated balance sheet were as follows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760" w:type="dxa"/>
            <w:vAlign w:val="bottom"/>
            <w:gridSpan w:val="4"/>
          </w:tcPr>
          <w:p>
            <w:pPr>
              <w:ind w:left="26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tcPr>
          <w:p>
            <w:pPr>
              <w:spacing w:after="0"/>
              <w:rPr>
                <w:sz w:val="20"/>
                <w:szCs w:val="20"/>
                <w:color w:val="auto"/>
              </w:rPr>
            </w:pPr>
            <w:r>
              <w:rPr>
                <w:rFonts w:ascii="Arial" w:cs="Arial" w:eastAsia="Arial" w:hAnsi="Arial"/>
                <w:sz w:val="18"/>
                <w:szCs w:val="18"/>
                <w:color w:val="auto"/>
              </w:rPr>
              <w:t>Assets held for sale</w:t>
            </w:r>
          </w:p>
        </w:tc>
        <w:tc>
          <w:tcPr>
            <w:tcW w:w="2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11 — Financial Instruments and Fair Value</w:t>
            </w:r>
          </w:p>
        </w:tc>
        <w:tc>
          <w:tcPr>
            <w:tcW w:w="2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September 30, 2010. The carrying value of current assets and current liabilities approximates the fair value due to the short maturity of these items.</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2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As of September 30, 2010 and September 30, 2009, the Company held $7.6 million of auction rate securities with underlying tax-exempt municipal bonds that mature in 2030. These bonds have credit wrap insurance and a credit rating of A by Standard &amp; Poor’s.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believes that the credit quality and fair value of the auction rate securities it holds has not been negatively impacted; therefore, no impairment charges have been recorded as of September 30, 2010. As of September 30, 2010,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 Agreements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At September 30, 2010,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 Company did not have any interest rate swap contracts in place as of September 30, 2009. There was no ineffectiveness for these swaps during the quarter ended September 30, 2010.</w:t>
      </w:r>
    </w:p>
    <w:p>
      <w:pPr>
        <w:spacing w:after="0" w:line="16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$1.1 million as of September 30, 2010. The carrying value of these swaps is included in Other Long-Term Liabilities on the accompanying Consolidated Balance Sheet as of September 30, 2010.</w:t>
      </w:r>
    </w:p>
    <w:p>
      <w:pPr>
        <w:spacing w:after="0" w:line="14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September 30, 2010 the Company was party to derivative financial instruments, as described in the following table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Fixed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Interest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4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4,536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6,109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864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8,352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2,894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14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Fair values of derivative instruments are on the accompanying Consolidated Balance Sheet as of September 30, 2010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Derivatives Designated as</w:t>
            </w:r>
          </w:p>
        </w:tc>
        <w:tc>
          <w:tcPr>
            <w:tcW w:w="240" w:type="dxa"/>
            <w:vAlign w:val="bottom"/>
          </w:tcPr>
          <w:p>
            <w:pPr>
              <w:spacing w:after="0"/>
              <w:rPr>
                <w:sz w:val="20"/>
                <w:szCs w:val="20"/>
                <w:color w:val="auto"/>
              </w:rPr>
            </w:pPr>
          </w:p>
        </w:tc>
        <w:tc>
          <w:tcPr>
            <w:tcW w:w="22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86"/>
              </w:rPr>
              <w:t>Asset Derivatives</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Liability Derivatives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b w:val="1"/>
                <w:bCs w:val="1"/>
                <w:color w:val="auto"/>
              </w:rPr>
              <w:t>Hedging Instruments</w:t>
            </w:r>
          </w:p>
        </w:tc>
        <w:tc>
          <w:tcPr>
            <w:tcW w:w="240" w:type="dxa"/>
            <w:vAlign w:val="bottom"/>
          </w:tcPr>
          <w:p>
            <w:pPr>
              <w:spacing w:after="0"/>
              <w:rPr>
                <w:sz w:val="18"/>
                <w:szCs w:val="18"/>
                <w:color w:val="auto"/>
              </w:rPr>
            </w:pPr>
          </w:p>
        </w:tc>
        <w:tc>
          <w:tcPr>
            <w:tcW w:w="2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7"/>
              </w:rPr>
              <w:t>Balance Sheet Location</w:t>
            </w:r>
          </w:p>
        </w:tc>
        <w:tc>
          <w:tcPr>
            <w:tcW w:w="92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Balance Sheet Location</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8"/>
                <w:szCs w:val="18"/>
                <w:color w:val="auto"/>
              </w:rPr>
            </w:pPr>
          </w:p>
        </w:tc>
      </w:tr>
      <w:tr>
        <w:trPr>
          <w:trHeight w:val="210"/>
        </w:trPr>
        <w:tc>
          <w:tcPr>
            <w:tcW w:w="2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42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3"/>
              </w:rPr>
              <w:t>Other Long-Term Liabilities</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 Comprehensive Income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7"/>
              </w:rPr>
              <w:t>For the Three Months</w:t>
            </w:r>
          </w:p>
        </w:tc>
        <w:tc>
          <w:tcPr>
            <w:tcW w:w="200" w:type="dxa"/>
            <w:vAlign w:val="bottom"/>
          </w:tcPr>
          <w:p>
            <w:pPr>
              <w:spacing w:after="0"/>
              <w:rPr>
                <w:sz w:val="18"/>
                <w:szCs w:val="18"/>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For the Nine Months</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7"/>
              </w:rPr>
              <w:t>Ended September 30,</w:t>
            </w:r>
          </w:p>
        </w:tc>
        <w:tc>
          <w:tcPr>
            <w:tcW w:w="200" w:type="dxa"/>
            <w:vAlign w:val="bottom"/>
          </w:tcPr>
          <w:p>
            <w:pPr>
              <w:spacing w:after="0"/>
              <w:rPr>
                <w:sz w:val="20"/>
                <w:szCs w:val="20"/>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6"/>
              </w:rPr>
              <w:t>Ended September 30,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cash flow swaps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benefit associated with cash flow swaps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13 — Subsequent Events</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October 12, 2010, the Company acquired certain assets of Metro Ford Truck Sales, Inc., which consisted of a Ford and Isuzu commercial vehicle dealership in Dallas, Texas. The Company is operating the facility as a full-service Rush Medium-Duty Truck Center offering medium-duty trucks, parts and service. The transaction was valued at approximately $5.6 million, with the purchase price paid in cash.</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2009 as well as future growth rates and margins for certain of our products and services, future demand for our products and services, competitive factors, general economic conditions, cyclicality, market conditions in the new and used commercial vehicle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Commonly Used in the Company’s SEC Filings</w:t>
      </w:r>
    </w:p>
    <w:p>
      <w:pPr>
        <w:spacing w:after="0" w:line="202"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Meritor Technology, Inc. Case</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Case Corporation. Komatsu</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Kabushiki Kaisha Komatsu Seisakusho Corporation Japan. The CIT Group</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CIT Group Holdings, Inc. JPMorgan Chase</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Collins Bus Corporation. Fuso</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Mitsubishi Fuso Truck and Bus Corporation. Workhorse</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is a registered trademark of Workhorse Custom Chassis, LLC.</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Rush Enterprises, Inc. was incorporated in 1965 under the laws of the State of Texas. The Company operates a Truck segment and conducts business through numerous subsidiaries, all of which it wholly owns, directly or indirectly. Its principal offices are located at 555 IH 35 South, New Braunfels, Texas 78130.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5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more than 60 Rush Truck Centers in Alabama, Arizona, California, Colorado, Florida, Georgia, Idaho, New Mexico, North Carolina, Oklahoma, Oregon, Tennessee, Texas and Utah.</w:t>
      </w:r>
    </w:p>
    <w:p>
      <w:pPr>
        <w:spacing w:after="0" w:line="14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Construction Equipment segment will no longer be reported as a separate business segment due to the Company’s disposition of its John Deere construction equipment business. Operating results of the Construction Equipment Segment have been classified as discontinued operations in the financial statements and related discussion and analysis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9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3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19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14"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significantly different than the Company’s estimates.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61"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6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Operations.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6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2010 and 2009.</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28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Parts and service sales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33.5</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33.6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34.4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80.7</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commercial vehicles and the absorption rate for the periods indicated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4"/>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4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4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Truck unit sales: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heavy-duty trucks</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3,016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0"/>
              <w:spacing w:after="0"/>
              <w:rPr>
                <w:sz w:val="20"/>
                <w:szCs w:val="20"/>
                <w:color w:val="auto"/>
              </w:rPr>
            </w:pPr>
            <w:r>
              <w:rPr>
                <w:rFonts w:ascii="Arial" w:cs="Arial" w:eastAsia="Arial" w:hAnsi="Arial"/>
                <w:sz w:val="18"/>
                <w:szCs w:val="18"/>
                <w:color w:val="auto"/>
              </w:rPr>
              <w:t>Total new truck unit sales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4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5,045</w:t>
            </w:r>
          </w:p>
        </w:tc>
        <w:tc>
          <w:tcPr>
            <w:tcW w:w="42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Used truck unit sales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New medium-duty trucks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37.1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truck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Used truck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78.1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truck revenue</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sales of glider kits, truck bodies, trailers and other new equipment.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96.4% absorption rate for the third quarter of 2009, and 109.1% absorption rate for the third quarter in 2010.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2010 Compared to Three Months Ended September 30, 2009</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Despite the fact that general economic uncertainty continued to negatively impact demand for new commercial vehicles from historical averages, the Company was able to increase new Class 8 truck deliveries by 25% as compared to the same quarter last year and 58% over the second quarter of 2010. New commercial vehicle sales appear to be poised for a return to historically normal levels as customers have accepted the new emissions-compliant engine technology and pricing, and the age of the current fleet continues to drive the need for commercial vehicle replacement.</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Truck dealership parts, service and body shop operations strengthened in the third quarter, with revenues increasing in the third quarter of 2010 by 39.9% compared to the third quarter of 2009. As commercial vehicle utilization remains high, the Company expects parts, service and body shop sales to continue to remain strong.</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and industry analysts expect a strong recovery in commercial vehicle retail sales in 2011, 2012 and 2013. A.C.T. Research currently predicts U.S. retail sales of Class 8 trucks of approximately 108,951 units in 2010, a 12.4% increase from the number of deliveries in 2009, 175,500 units in 2011, and 231,000 units in 2012. A.C.T. Research currently predicts U.S. retail sales of Class 4, 5, 6, and 7 medium-duty commercial vehicles of approximately 113,500 units in 2010, a 1.9% increase from the number of deliveries in 2009, 131,000 units in 2011, and 166,000 units in 2012.</w:t>
      </w:r>
    </w:p>
    <w:p>
      <w:pPr>
        <w:spacing w:after="0" w:line="161"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which was paid in cash and a note receivable of $4.8 million. The construction equipment business recorded income from discontinued operations, net of tax, of $6.1 million ($0.16 per diluted share) during the third quarter of 2010. The results of the Company’s construction equipment business are being reported as income from discontinued operations.</w:t>
      </w:r>
    </w:p>
    <w:p>
      <w:pPr>
        <w:spacing w:after="0" w:line="11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w:t>
      </w:r>
    </w:p>
    <w:p>
      <w:pPr>
        <w:spacing w:after="0" w:line="12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On May 24, 2010, the Company acquired certain assets of Lake City International. Lake City International operated a commercial truck and bus sales, service, parts, finance and leasing business representing multiple brands. The acquisition expanded the Company’s network of Rush Truck Centers to 60 locations in 14 states. The newly acquired dealerships include five locations in Utah, five locations in Idaho and one location in Oregon. These locations are operating as Rush Truck Centers that offer a combination of International heavy- and medium-duty trucks, Autocar trucks, Mitsubishi Fuso medium-duty trucks, IC buses and Workhorse chassis in addition to parts, service, body shop, financing and insurance capabilities. Rush Truck Leasing will operate Idealease truck rental and leasing franchises at existing locations in Salt Lake City, Utah, and Boise, Idaho.</w:t>
      </w:r>
    </w:p>
    <w:p>
      <w:pPr>
        <w:spacing w:after="0" w:line="15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which was recorded as a receivable from General Motors. This impairment charge resulted in a net charge to cost of sales of $4.0 million, a net charge to SG&amp;A expense of $0.1 million and a charge to amortization expense of $0.8 million during the second quarter of 2009. During the third and fourth quarters of 2009, the Company adjusted the estimated impairment charge related to the medium-duty GMC truck and parts inventories, which resulted in a net credit to cost of sales of $1.9 million.</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Revenues increased $111.9 million, or 38.1%, in the third quarter of 2010, compared to the third quarter of 2009. Sales of new and used commercial vehicles increased $69.2 million, or 38.6%, in the third quarter of 2010, compared to the third quarter of 2009. General economic uncertainty continues impact the demand for new commercial vehicles. However, the Company sold 1,283 heavy-duty trucks in the third quarter of 2010, a 24.6% increase compared to 1,030 heavy-duty trucks in the third quarter of 2009. The Company’s acquisition of Lake City International contributed to the sale of 129 heavy-duty trucks in the third quarter of 2010. According to A.C.T. Research, the U.S. Class 8 truck market increased 23.0% in the third quarter of 2010 compared to the third quarter of 2009. The Company’s share of the U.S. Class 8 truck sales market was approximately 4.1% in 2009. The Company expects its share to range between 3.7% and 4.1% of the U.S. Class 8 truck market in 2010, which would result in the sale of approximately 4,000 to 4,400 Class 8 trucks based on current U.S. retail sales estimates of 108,951 units.</w:t>
      </w:r>
    </w:p>
    <w:p>
      <w:pPr>
        <w:spacing w:after="0" w:line="141"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sold 678 medium-duty commercial vehicles, including 137 buses, in the third quarter of 2010, a 6.4% increase compared to 637 medium-duty commercial vehicles, including 76 buses in the third quarter of 2009. The Company’s acquisition of Lake City International contributed to the sale of 73 medium-duty commercial vehicles in the third quarter of 2010. A.C.T. Research estimates that unit sales of Class 4 through 7 commercial vehicles in the U.S. increased approximately 5.0% in the third quarter of 2010 compared to the third quarter of 2009. In 2009, the Company achieved a 2.4% share of the Class 4 through 7 commercial vehicle sales market in the U.S. The Company expects its share to range between 2.4% and 2.5% of the U.S. Class 4 through 7 commercial vehicle sales market in 2010. This market share percentage would result in the sale of approximately 2,700 to 2,900 of Class 4 through 7 commercial vehicles in 2010 based on current U.S. retail sales estimates of approximately 113,500 units.</w:t>
      </w:r>
    </w:p>
    <w:p>
      <w:pPr>
        <w:spacing w:after="0" w:line="12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sold 899 used commercial vehicles in the third quarter of 2010, an 18.3% increase compared to 760 used commercial vehicles in the third quarter of 2009. The Company’s acquisition of Lake City International contributed to the sale of 162 used commercial vehicles in the third quarter of 2010. The Company expects demand for used commercial vehicles to remain high in 2010, but sales will be largely dependent upon our ability to acquire quality used commercial vehicles and maintain an adequate used commercial vehicle inventory. The Company expects to sell approximately 3,100 to 3,400 used commercial vehicles in 2010.</w:t>
      </w:r>
    </w:p>
    <w:p>
      <w:pPr>
        <w:spacing w:after="0" w:line="131"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Parts and service sales increased $37.3 million, or 37.7%, in the third quarter of 2010 compared to the third quarter of 2009. The Company’s acquisition of Lake City International contributed $10.7 million of the increase. The Company expects parts and service sales to decrease in the fourth quarter of 2010 compared to the third quarter of 2010 due to fewer business days in the quarter. As excess commercial vehicle capacity equalizes with freight demand, more commercial vehicles that had been put out of service are being put back into service and commercial vehicles are driving more miles, which increases the need for maintenance and repair.</w:t>
      </w:r>
    </w:p>
    <w:p>
      <w:pPr>
        <w:spacing w:after="0" w:line="11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Truck lease and rental revenues increased $5.0 million, or 37.2%, in the third quarter of 2010 compared to the third quarter of 2009. The Company’s acquisition of Lake City International contributed $2.5 million of the increase. The remainder of the increase in lease and rental revenue is consistent with management’s expectations, which are based upon the increased number of units put into service in the lease and rental fleet during 2009 and 2010 and increasing rental fleet utilization. The Company expects lease and rental revenue to increase 18% to 20% during 2010, compared to 2009 based on the increase of units in the lease and rental fleet and the acquisition of Lake City International.</w:t>
      </w:r>
    </w:p>
    <w:p>
      <w:pPr>
        <w:spacing w:after="0" w:line="153"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Finance and insurance revenues increased $0.5 million, or 26.2%, in the third quarter of 2010 compared to the third quarter of 2009. The increase in finance and insurance revenue is a direct result of the increase in new and used commercial vehicle sales. The Company expects finance and insurance revenue to fluctuate proportionately with the Company’s new and used commercial vehicle sales in 2010. Finance and insurance revenues have limited direct costs and, therefore, contribute a disproportionate share of the Company’s operating profits.</w:t>
      </w:r>
    </w:p>
    <w:p>
      <w:pPr>
        <w:spacing w:after="0" w:line="16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income remained flat in the third quarter of 2010 compared to the third quarter of 2009. Other income consists primarily of the gain on sale realized on commercial vehicles from the lease and rental fleet, document fees related to commercial vehicle sales, mineral royalties and purchase discounts.</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Gross profit increased $23.1 million, or 41.9%, in the third quarter of 2010 compared to the third quarter of 2009. Gross profit as a percentage of sales slightly increased to 19.3% in the third quarter of 2010 from 18.8% in the third quarter of 2009.</w:t>
      </w:r>
    </w:p>
    <w:p>
      <w:pPr>
        <w:spacing w:after="0" w:line="10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Gross margins on Class 8 truck sales increased to 7.5% in the third quarter of 2010 from 4.5% in the third quarter of 2009. Gross margins on Class 8 truck sales during the third quarter of 2010 increased relative to 2009 because of a customer mix that included fewer large fleets. In 2010, the Company expects overall gross margins from Class 8 truck sales of approximately 6.0% to 8.0%, depending upon the mix of customer base and products sold.</w:t>
      </w:r>
    </w:p>
    <w:p>
      <w:pPr>
        <w:spacing w:after="0" w:line="14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Gross margins on medium-duty commercial vehicle sales decreased to 5.8% in the third quarter of 2010 from 11.1% in the third quarter of 2009. The gross margin during the third quarter of 2009 was positively impacted by a $1.4 million adjustment to the valuation allowance of GMC medium-duty truck inventory that was recorded in the second quarter of 2009. The Company adjusted the valuation allowance because it was able to sell some of the GMC medium-duty truck inventory at higher prices than originally estimated. Gross margins on medium-duty commercial vehicles vary significantly depending upon the mix of fleet and non-fleet purchasers and types of medium-duty commercial vehicles sold. For 2010, the Company expects overall gross margins from medium-duty commercial vehicle sales of approximately 5.0% to 7.0% depending upon the mix of customer base and products sold.</w:t>
      </w:r>
    </w:p>
    <w:p>
      <w:pPr>
        <w:spacing w:after="0" w:line="14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Gross margins on used commercial vehicle sales increased to 11.4% in the third quarter of 2010 from 9.3% in the third quarter of 2009. This increase was largely attributable to increased demand for high quality used commercial vehicles due to the increased cost of new 2010 emission compliant commercial vehicles. The Company expects margins on used commercial vehicles to return to historical margins of 8.0 to 10.0% in the fourth quarter of 2010, which will result in margins of approximately 8.5% to 11.5% for the year.</w:t>
      </w:r>
    </w:p>
    <w:p>
      <w:pPr>
        <w:spacing w:after="0" w:line="14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Gross margins from the Company’s parts, service and body shop operations decreased to 38.9% in the third quarter of 2010 from 39.6% in the third quarter of 2009. The decrease in gross margins is largely attributable to decreased purchase discounts being offered by the Company’s major suppliers in 2010 compared to 2009. Gross profit for the parts, service and body shop departments increased to $52.9 million in the third quarter of 2010 from $39.1 million in the third quarter of 2009. The Company expects gross margins on parts, service and body shop operations of approximately 38.0% to 40.0% during 2010.</w:t>
      </w:r>
    </w:p>
    <w:p>
      <w:pPr>
        <w:spacing w:after="0" w:line="13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Gross margins from truck lease and rental sales increased to 14.6% in the third quarter of 2010 from approximately 11.6% in the third quarter of 2009. The increase in the gross margin from lease and rental sales is primarily due to the increased utilization of trucks in our rental fleet. The Company expects gross margins from lease and rental sales of approximately 12.0% to 16.0% during 2010 primarily depending upon general economic conditions.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Selling, General and Administrative (“SG&amp;A”) expenses increased $10.1 million, or 20.0%, in the third quarter of 2010 compared to the third quarter of 2009. SG&amp;A expenses as a percentage of sales decreased to 14.9% in the third quarter of 2010 from 17.1% in the third quarter of 2009. SG&amp;A expenses as a percentage of sales historically ranged from 10.0% to 15.0%. In general, when new and used commercial vehicle revenue decreases as a percentage of revenue, SG&amp;A expenses as a percentage of revenue will be at, or exceed, the higher end of this range. Extremely low commercial vehicle revenue during 2009 and early 2010, caused SG&amp;A expenses as a percentage of sales to fall outside this range. The Company earns federal income tax credits on the sale of alternative fuel vehicles to tax-exempt entities. A portion of these tax credits are passed back to the tax-exempt customer and are reflected as SG&amp;A expense to the Company. In the third quarter of 2010, the selling portion of SG&amp;A expenses, which consists primarily of commissions on commercial vehicle and construction equipment sales, increased 36.0% and the general and administrative portion of SG&amp;A expenses increased 18.8% compared to the third quarter of 2009. For 2010, the Company expects the selling portion of SG&amp;A expenses to be approximately 25% to 28% of new and used commercial vehicle gross profit. The selling portion of SG&amp;A expenses varies based on the gross profit derived from commercial vehicle sales. The Company expects SG&amp;A expenses as a percentage of sales to range from 15.0% to 17.0% for the remainder of 2010.</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Net interest expense remained relatively flat in the third quarter of 2010 compared to the third quarter of 2009. The Company expects net interest expense for the fourth quarter of 2010 to increase compared to 2009 based on anticipated increases in inventory levels and the anticipated modification to the Company’s floor plan agreement in the fourth quarter of 2010, which will likely result in increased floor plan interest.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Income from continuing operations before income taxes increased $12.7 million in the third quarter of 2010 compared to the third quarter of 2009, as a result of the factors described above. The Company believes that income before income taxes in 2010 will increase compared to 2009 based on the factors described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Income taxes increased $7.6 million in the third quarter of 2010 compared to the third quarter of 2009. The Company provided for taxes at a 38.0% effective rate in the third quarter of 2010 compared to an effective rate of 63.0% in the third quarter of 2009. Historically, the Company’s effective tax rate has been approximately 36% to 38% of pretax income. If pretax income for 2010 is similar to pretax income in 2009, the Company expects its effective tax rate to be approximately 39.0% to 40.0% before the application of alternative fuel tax credits. In the third quarter of 2010, the Company received $0.3 million in tax credits for sales of alternative fuel vehicles to tax-exempt entities, compared to $3.8 million in the third quarter of 2009. The Company’s higher tax rate during 2009 is primarily due to state taxation regulations and non-deductible expenses. The Company’s effective tax rate may vary significantly depending on the number of alternative fuel vehicles sold to tax-exempt entities.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Income from discontinued operations, net of income taxes increased $6.1 million in the third quarter of 2010 compared to the third quarter of 2009. Income from discontinued operations includes operating results and a gain of $10.1 million on the disposition for the Company’s construction equipment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2010 Compared to Nine Months Ended September 30, 2009</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September 30, 2010, Compared to Three Months Ended September 30, 2009.”</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Revenues increased $121.0 million, or 13.2%, in the first nine months of 2010, compared to the first nine months of 2009. Sales of new and used commercial vehicles increased $58.0 million, or 10.3%, in the first nine months of 2010, compared to the first nine months of 2009.</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sold 3,065 heavy-duty units in the first nine months of 2010, a 1.6% increase compared to 3,016 heavy-duty trucks in the first nine months of 2009. According to A.C.T. Research, the U.S. Class 8 truck market increased 17.0% in the first nine months of 2010, compared to the first nine months of 2009. Some of the Company’s fleet customers chose to delay purchases of heavy-duty trucks, which contributed to the decrease in the Company’s heavy-duty truck sales during the first half of 2010 relative to the overall market.</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sold 2,121 medium-duty commercial vehicles, including 340 buses, in the first nine months of 2010, a 4.5% increase compared to 2,029 medium-duty commercial vehicles, including 287 buses in the first nine months of 2009. A.C.T. Research estimates that unit sales of Class 4 through 7 commercial vehicles in the U.S increased approximately 7.0% in the first nine months of 2010, compared to the first nine months of 2009.</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sold 2,474 used commercial vehicles in the first nine months of 2010, a 17.1% increase compared to 2,113 used commercial vehicles in the first nine months of 2009.</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Parts and service sales increased $54.2 million, or 17.9%, in the first nine months of 2010, compared to the first nine months of 2009.</w:t>
      </w:r>
    </w:p>
    <w:p>
      <w:pPr>
        <w:spacing w:after="0" w:line="14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Truck lease and rental revenues increased $8.5 million, or 21.3%, in the first nine months of 2010, compared to the first nine months of 2009.</w:t>
      </w:r>
    </w:p>
    <w:p>
      <w:pPr>
        <w:spacing w:after="0" w:line="13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Finance and insurance revenues increased $0.1 million, or 2.0%, in the first nine months of 2010, compared to the first nine months of 2009.</w:t>
      </w:r>
    </w:p>
    <w:p>
      <w:pPr>
        <w:spacing w:after="0" w:line="13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Other income increased $0.2 million, or 4.3%, in the first nine months of 2010, compared to the first nine months of 2009. Other income consists primarily of the gain on sale realized on commercial vehicles from the lease and rental fleet, document fees related to commercial vehicle sales, mineral royalties and purchase discounts.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Gross profit increased $41.0 million, or 24.9%, in the first nine months of 2010, compared to the first nine months of 2009.</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profit as a percentage of sales increased to 19.8% in the first nine months of 2010 from 18.0% in the first nine months of 2009.</w:t>
      </w:r>
    </w:p>
    <w:p>
      <w:pPr>
        <w:spacing w:after="0" w:line="19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Gross margins on Class 8 truck sales increased to 7.6% in the first nine months of 2010, from 5.7% in the first nine months of 2009.</w:t>
      </w:r>
    </w:p>
    <w:p>
      <w:pPr>
        <w:spacing w:after="0" w:line="14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Gross margins on medium-duty commercial vehicle sales increased to 5.9% in the first nine months of 2010, from 5.2% in the first nine months of 2009.</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on used commercial vehicle sales increased to 13.2% in the first nine months of 2010, from 6.6% in the first nine months of 2009.</w:t>
      </w:r>
    </w:p>
    <w:p>
      <w:pPr>
        <w:spacing w:after="0" w:line="13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Gross margins from the Company’s parts, service and body shop operations decreased to 38.8% in the first nine months of 2010, from 39.1% in the first nine months of 2009. Gross profit for the parts, service and body shop departments was $138.4 million in the first nine months of 2010, compared to $118.1 million in the first nine months of 2009.</w:t>
      </w:r>
    </w:p>
    <w:p>
      <w:pPr>
        <w:spacing w:after="0" w:line="13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from truck lease and rental sales increased to 14.6% in the first nine months of 2010, from 11.8% in the first nine months of 2009.</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SG&amp;A expenses increased $16.4 million, or 11.0%, in the first nine months of 2010, compared to the first nine months of 2009.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SG&amp;A expenses as a percentage of sales was 16.0% in the first nine months of 2010 and 16.3% in the first nine months of 2009.</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interest expense decreased $0.3 million, or 7.7%, in the first nine months of 2010, compared to the first nine months of 2009.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Income from continuing operations before income taxes increased $11.7 million in the first nine months of 2010, compared to the first nine months of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Income taxes increased $14.0 million in the first nine months of 2010, compared to the first nine months of 2009. The Company provided for taxes at a 39.7% rate in the first nine months of 2010, compared to a rate of 62.0% in the first nine months of 2009. In the first nine months of 2010, the Company received $0.6 million in tax credits for sales of alternative fuel vehicles to tax-exempt entities, compared to $5.7 million in the first nine months of 2009. The Company’s higher tax rate during 2009 was primarily due to state taxation regulations and non-deductible expenses. The Company’s effective tax rate may vary significantly depending on the number of alternative fuel vehicles sold to tax-exempt entities.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Income from discontinued operations, net of income taxes increased $6.0 million in the first nine months of 2010, compared to the first nine months of 2009. Income from discontinued operations includes operating results and a gain of $10.1 million on the disposition for the Company’s construction equipment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September 30, 2010, the Company had working capital of approximately $154.6 million, including $150.9 million in cash available to fund our operations. The Company believes that these funds are sufficient to meet any operating requirements for at least the next twelve months.</w:t>
      </w:r>
    </w:p>
    <w:p>
      <w:pPr>
        <w:spacing w:after="0" w:line="151" w:lineRule="exact"/>
        <w:rPr>
          <w:sz w:val="20"/>
          <w:szCs w:val="20"/>
          <w:color w:val="auto"/>
        </w:rPr>
      </w:pPr>
    </w:p>
    <w:p>
      <w:pPr>
        <w:jc w:val="both"/>
        <w:ind w:left="340" w:right="179" w:firstLine="389"/>
        <w:spacing w:after="0" w:line="273"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September 30, 2010,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has a secured line of credit that provides for a maximum borrowing of $8.0 million. There were no advances outstanding under this secured line of credit at September 30, 2010, however, $7.1 million was pledged to secure various letters of credit related to self-insurance products, leaving $0.9 million available for future borrowings as of September 30, 2010.</w:t>
      </w:r>
    </w:p>
    <w:p>
      <w:pPr>
        <w:spacing w:after="0" w:line="12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At September 30, 2010, the Company was in compliance with all debt covenants related to debt secured by real estate. The Company does not anticipate any breach of the covenants in the foreseeable future. The Company’s floor plan financing agreement with GE Capital does not contain financial covenants.</w:t>
      </w:r>
    </w:p>
    <w:p>
      <w:pPr>
        <w:spacing w:after="0" w:line="161"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Titan Technology Partners is currently implementing SAP enterprise software and a new SAP dealership management system for the Company. The total cost of the SAP software and implementation is estimated to be approximately $35.5 million. As of September 30, 2010, the Company had cumulative expenditures of $34.2 million related to the SAP project. The Company expects to spend approximately $0.5 million to $1.0 million related to the SAP project during the remainder of 2010.</w:t>
      </w:r>
    </w:p>
    <w:p>
      <w:pPr>
        <w:spacing w:after="0" w:line="13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$3.0 million during the remainder of 2010.</w:t>
      </w:r>
    </w:p>
    <w:p>
      <w:pPr>
        <w:spacing w:after="0" w:line="130"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September 30, 2010, the Company has repurchased 1,639,843 shares of its Class B common stock at an aggregate cost of $17.9 million, none of which occurred during the third quarter of 2010.</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currently anticipates funding its capital expenditures relating to the implementation of the SAP enterprise software and SAP dealership management system, improvement and expansion of existing facilities, construction of new facilities, recurring expenses and any stock repurchases through its operating cash flow. The Company expects to finance 70% to 80% of the appraised value of any newly constructed or purchased facilities, which will increase the Company’s cash and cash equivalents by that amount.</w:t>
      </w:r>
    </w:p>
    <w:p>
      <w:pPr>
        <w:spacing w:after="0" w:line="127"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approximately $26.2 million at closing and a $4.8 million note receivable to be paid over four years. Before closing, the Company paid liabilities, related to the assets sold, of approximately $14.6 million.</w:t>
      </w:r>
    </w:p>
    <w:p>
      <w:pPr>
        <w:spacing w:after="0" w:line="14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is currently under contract to purchase an existing dealership facility at an estimated cost of $12.6 million. The real estate transaction is expected to close in the fourth quarter of 2010.</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October 12, 2010, the Company acquired certain assets of Metro Ford Truck Sales, Inc., which consisted of a Ford and Isuzu commercial vehicle dealership in Dallas, Texas. The Company is operating the facility as a full-service Rush Medium-Duty Truck Center offering medium-duty trucks, parts and service. The transaction was valued at approximately $5.6 million, with the purchase price paid in cash.</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no other material commitments for capital expenditures as of September 30, 2010, except that the Company will continue to purchase vehicles for its lease and rental division and authorize capital expenditures for improvement and expansion of its existing dealership facilities and construction of new facilities based on market opportunities. The Company expects to purchase or lease trucks worth approximately $10.0 million for its leasing operations in the fourth quarter of 2010, depending on customer demand, all of which will be financed.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Cash and cash equivalents increased by $1.8 million during the nine months ended September 30, 2010, and decreased by $9.7 million during the nine months ended September 30, 2009. The major components of these changes are discussed below. Cash flows from discontinued operations are included in the components of the statement of cash flows as described below.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nine months of 2010, operating activities resulted in net cash used by operations of $3.7 million. Cash provided by operating activities was primarily impacted by the increase in inventories and accounts receivable which was offset by the increase in accounts payable and accrued expenses. Cash flows from operating activities include net income adjusted for non-cash items and the effects of changes in working capital. During the first nine months of 2009, operating activities resulted in net cash provided by operations of $130.7 million. Cash provided by operating activities was primarily impacted by the decrease in inventories and accounts receivable which was offset by the decrease in accounts payable and accrued expenses.</w:t>
      </w:r>
    </w:p>
    <w:p>
      <w:pPr>
        <w:spacing w:after="0" w:line="137"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Cash flows from operating activities as adjusted for all draws and (payments) on floor plan notes (“Adjusted Cash Flows from Operating Activities”) was $54.5 million for the nine months ended September 30, 2010, and $44.7 million for the nine months ended September 30, 2009.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5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 (U.S. GAAP)</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130,709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(Draws) payments on floor plan notes payable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58,297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(86,053)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54,548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Cash flows used in investing activities consist primarily of cash used for capital expenditures and business acquisitions which was offset with proceeds from the disposition of the equipment centers. During the first nine months of 2010, cash used in investing activities was $52.8 million. Proceeds from the disposition of the equipment centers were $26.2 million. Capital expenditures consisted of purchases of property and equipment and improvements to our existing dealership facilities of $44.6 million. Property and equipment purchases during the first nine months of 2010 consisted of $27.7 million for additional units for rental and leasing operations, which was directly offset by borrowings of long-term debt. The Company expects to purchase or lease trucks worth approximately $10.0 million for its leasing operations in the fourth quarter of 2010, depending on customer demand, all of which will be financed. Cash used in business acquisitions was $33.7 million during the first nine months of 2010 (See Note 9 — Acquisitions of Notes to Consolidated Financial Statements). During the remainder of 2010, the Company expects to make capital expenditures for recurring items such as computers, shop equipment and vehicles of approximately $3.0 million, in addition to $0.5 million to $1.0 million for the SAP project described above.</w:t>
      </w:r>
    </w:p>
    <w:p>
      <w:pPr>
        <w:spacing w:after="0" w:line="142"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During the first nine months of 2009, cash used in investing activities was $32.5 million. Cash flows used in investing activities consist primarily of cash used for capital expenditures. Capital expenditures of $33.0 million consisted of purchases of property and equipment, improvements to our existing dealership facilities and construction of our new facility in Oklahoma City, Oklahoma. Property and equipment purchases during the first nine months of 2009 consisted of $9.8 million for additional units for the rental and leasing operations, which was directly offset by borrowings of long-term debt.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provided by financing activities was $58.4 million during the first nine months of 2010. The Company had borrowings of long-term debt of $46.3 million and repayments of long-term debt of $41.8 million during the first nine months of 2010. The Company had net draws on floor plan notes payable of $58.3 million during the first nine months of 2010. The borrowings of long-term debt were primarily related to units for the rental and leasing operations and refinancing of real estate debt.</w:t>
      </w:r>
    </w:p>
    <w:p>
      <w:pPr>
        <w:spacing w:after="0" w:line="11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Cash used in financing activities was $107.9 million during the first nine months of 2009. The Company had borrowings of long-term debt of $14.4 million and repayments of long-term debt and capital lease obligations of $37.3 million during the first nine months of 2009. The Company had net payments of floor plan notes payable of $86.1 million during the first nine months of 2009. The borrowings of long-term debt were primarily related to units for the rental and leasing operations.</w:t>
      </w:r>
    </w:p>
    <w:p>
      <w:pPr>
        <w:spacing w:after="0" w:line="144"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Substantially all of the Company’s commercial vehicle purchases are made on terms requiring payment within 15 days or less from the date the commercial vehicles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commercial vehicle inventory, and the loan value of its used commercial vehicle inventory under the floor plan financing agreement with GE Capital, under which GE Capital pays the manufacturer directly with respect to new commercial vehicles.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September 30, 2010, the Company had approximately $246.6 million outstanding under its floor plan financing agreement with GE Capital.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 portion of the Company’s new commercial vehicle purchases are financed through Navistar Financial Corporation’s floor plan program. Interest under the floor plan program is payable monthly and the rate is 7.0%. Navistar Financial Corporation provides an interest free financing period, which varies depending on the commercial vehicle purchased. If the commercial vehicle financed by Navistar is not sold within the interest free finance period, the Company transfers the financed commercial vehicle to the GE Capital floor plan arrangement. On September 30, 2010, the Company had approximately $5.8 million outstanding under its floor plan program with Navistar Financial Corporation.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September 30, 2010, the Company’s backlog of commercial vehicle orders was approximately $217.8 million compared to a backlog of commercial vehicle orders of approximately $98.0 million on September 30, 2009. The Company includes only confirmed orders in its backlog. The delivery time for a custom-ordered commercial vehicle varies depending on the commercial vehicle specifications and demand for the particular model ordered. The Company sells the majority of its new commercial vehicles by customer special order, with the remainder sold out of inventory. Orders from a number of the Company’s major fleet customers are included in the Company’s backlog as of September 30, 2010.</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85"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3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5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EPA and the U.S. Department of Transportation (DOT) recently announced the first national standards to reduce greenhouse gas (GHG) emissions and improve fuel efficiency of heavy-duty trucks and buses. This comprehensive national program is projected to reduce GHG emissions by about 250 million metric tons and save 500 million barrels of oil over the lives of the vehicles produced within the program’s first five years.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EPA and DOT’s National Highway Traffic Safety Administration are proposing new standards for three categories of heavy trucks: combination tractors (the main power unit portion of a tractor-trailer combined vehicle), heavy-duty pickups and vans, and vocational vehicles. The categories were established to address specific challenges for manufacturers in each area. For combination tractors, the agencies are proposing engine and vehicle standards that begin in the 2014 model year and achieve up to a 20 percent reduction in carbon dioxide (CO2) emissions and fuel consumption by 2018 model year.</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For heavy-duty pickup trucks and vans, the agencies are proposing separate gasoline and diesel truck standards, which phase in starting in the 2014 model year and achieve up to a 10 percent reduction for gasoline vehicles and 15 percent reduction for diesel vehicles by 2018 model year (12 and 17 percent respectively if accounting for air conditioning leakage). Lastly, for vocational vehicles, the agencies are proposing engine and vehicle standards starting in the 2014 model year which would achieve up to a 10 percent reduction in fuel consumption and CO2 emissions by 2018 model year.</w:t>
      </w:r>
    </w:p>
    <w:p>
      <w:pPr>
        <w:spacing w:after="0" w:line="13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14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5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It is not possible at this time to predict how legislation or new regulations that may be adopted to address greenhouse gas emissions would impact our business. Any such future laws and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83"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2010, the Company had floor plan borrowings and variable rate real estate debt of approximately $321.7 million. Assuming an increase or decrease in LIBOR of 100 basis points, annual interest expense could correspondingly increase or decrease by approximately $3.2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is exposed to some market risk through interest rate swaps on some of the Company’s variable real estate debt. As of September 30, 2010, the Company has interest rate swaps with a total notional amount of $45.0 million. The swaps were designed to provide a hedge against changes in interest rates on some of the Company’s variable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11 — Financial Instruments and Fair Value of the notes thereto.</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$150.9 million on September 30, 2010.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$1.5 million.</w:t>
      </w:r>
    </w:p>
    <w:p>
      <w:pPr>
        <w:spacing w:after="0" w:line="14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September 30, 2010, the Company holds $7.6 million of auction rate securities with underlying tax-exempt municipal bonds that mature in 2030.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11 — Financial Instruments and Fair Value of the Notes to Consolidated Financial Statements.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2010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5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September 30, 2010 that has materially affected, or is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2009 Annual Report on Form 10-K (the “2009 Annual Report”) describes some of the risks and uncertainties associated with our business that have the potential to materially affect our business, financial condition or results of operations.</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Except for the risk factor provided immediately below in this Item 1A, there have been no material changes in our risk factors disclosed in our 2009 Annual Report.</w:t>
      </w:r>
    </w:p>
    <w:p>
      <w:pPr>
        <w:spacing w:after="0" w:line="13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43"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success of our dealerships is dependent on the manufacturers represented at such dealerships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the store customer. We generally have significant receivables from manufacturers for warranty and service work performed for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13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3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Actions taken in response to continued operational losses by manufacturers we represent, including bankruptcy or reorganizations, could have a material adverse effect on our sales volumes and profitability. In addition, such losses or reorganizations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the Company’s medium-duty GMC truck franchises, which forced the Company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5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could result in increased costs and reduced demand for our products and services.</w:t>
      </w:r>
    </w:p>
    <w:p>
      <w:pPr>
        <w:spacing w:after="0" w:line="13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EPA and the DOT’s National Highway Traffic Safety Administration (“NHTSA”) recently announced proposed rules to reduce greenhouse gas emissions and improve fuel efficiency of medium- and heavy-duty vehicles. The EPA and NHTSA are attempting to create a “heavy-duty national program,” designed to reduce oil consumption and address global climate change by each proposing complementary standards to reduce fuel use and greenhouse gas emissions from on-highway transportation sources. The emissions and fuel consumption standards in the proposed rules would phase in with increasing stringency in each model year from 2014 to 2018. The proposed rules are likely to increase the production costs of the manufacturers we represent. Our manufacturers are likely to pass such costs on to us, which could increase the cost of the new vehicles we sell and, accordingly, reduce demand for such products. Increased costs and reduced demand could materially adversely affect our ability to sell new vehicles, which would materially adversely affect our business, results of operations, and financial condition.</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2010.</w:t>
      </w:r>
    </w:p>
    <w:p>
      <w:pPr>
        <w:spacing w:after="0" w:line="185"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third quarter of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 as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Part of Publicly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Announced</w:t>
            </w:r>
          </w:p>
        </w:tc>
        <w:tc>
          <w:tcPr>
            <w:tcW w:w="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Paid Per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c>
          <w:tcPr>
            <w:tcW w:w="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Share</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(1)(2)</w:t>
            </w:r>
          </w:p>
        </w:tc>
      </w:tr>
      <w:tr>
        <w:trPr>
          <w:trHeight w:val="210"/>
        </w:trPr>
        <w:tc>
          <w:tcPr>
            <w:tcW w:w="3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July 1 – 31, 2010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2,093,321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August 1 – 31, 2010</w:t>
            </w:r>
          </w:p>
        </w:tc>
        <w:tc>
          <w:tcPr>
            <w:tcW w:w="2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2,093,321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2010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2,093,321</w:t>
            </w:r>
          </w:p>
        </w:tc>
      </w:tr>
      <w:tr>
        <w:trPr>
          <w:trHeight w:val="20"/>
        </w:trPr>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3rd Quarter Total</w:t>
            </w:r>
          </w:p>
        </w:tc>
        <w:tc>
          <w:tcPr>
            <w:tcW w:w="24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2,093,321</w:t>
            </w:r>
          </w:p>
        </w:tc>
      </w:tr>
    </w:tbl>
    <w:p>
      <w:pPr>
        <w:spacing w:after="0" w:line="107" w:lineRule="exact"/>
        <w:rPr>
          <w:sz w:val="20"/>
          <w:szCs w:val="20"/>
          <w:color w:val="auto"/>
        </w:rPr>
      </w:pPr>
    </w:p>
    <w:p>
      <w:pPr>
        <w:jc w:val="both"/>
        <w:ind w:left="720" w:right="159" w:hanging="388"/>
        <w:spacing w:after="0" w:line="28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The stock repurchase program has no expiration date and may be suspended or discontinued at any time.</w:t>
      </w:r>
    </w:p>
    <w:p>
      <w:pPr>
        <w:spacing w:after="0" w:line="16"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2010, the Company has repurchased 1,639,843 shares of its Class B common stock at a cost of $17.9 million, none of which occurred during the third quarter of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14"/>
        </w:trPr>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4"/>
        </w:trPr>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82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12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6"/>
              </w:rPr>
              <w:t>the Company’s Quarterly Report on Form 10-Q (File No. 000-20797) for the quarter ended June 30, 2008)</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3.1 of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Company’s Current Report on Form 8-K (File No. 000-20797) filed December 9, 2008)</w:t>
            </w:r>
          </w:p>
        </w:tc>
      </w:tr>
      <w:tr>
        <w:trPr>
          <w:trHeight w:val="432"/>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Rush Enterprises, Inc. Amended and Restated 1997 Non-Employee Director Stock Option Plan</w:t>
            </w:r>
          </w:p>
        </w:tc>
      </w:tr>
      <w:tr>
        <w:trPr>
          <w:trHeight w:val="432"/>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Rush Enterprises, Inc. Amended and Restated 2006 Non-Employee Director Stock Plan</w:t>
            </w:r>
          </w:p>
        </w:tc>
      </w:tr>
      <w:tr>
        <w:trPr>
          <w:trHeight w:val="418"/>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9"/>
              </w:rPr>
              <w:t>Certification of CEO pursuant to Rules 13a-14(a) and 15d-14(a) adopted pursuant to Section 302 of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418"/>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9"/>
              </w:rPr>
              <w:t>Certification of CFO pursuant to Rules 13a-14(a) and 15d-14(a) adopted pursuant to Section 302 of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418"/>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r>
    </w:tbl>
    <w:p>
      <w:pPr>
        <w:spacing w:after="0" w:line="107"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RUSH ENTERPRISES, INC.</w:t>
            </w:r>
          </w:p>
        </w:tc>
        <w:tc>
          <w:tcPr>
            <w:tcW w:w="2780" w:type="dxa"/>
            <w:vAlign w:val="bottom"/>
          </w:tcPr>
          <w:p>
            <w:pPr>
              <w:spacing w:after="0"/>
              <w:rPr>
                <w:sz w:val="20"/>
                <w:szCs w:val="20"/>
                <w:color w:val="auto"/>
              </w:rPr>
            </w:pPr>
          </w:p>
        </w:tc>
      </w:tr>
      <w:tr>
        <w:trPr>
          <w:trHeight w:val="432"/>
        </w:trPr>
        <w:tc>
          <w:tcPr>
            <w:tcW w:w="3480" w:type="dxa"/>
            <w:vAlign w:val="bottom"/>
          </w:tcPr>
          <w:p>
            <w:pPr>
              <w:ind w:left="340"/>
              <w:spacing w:after="0"/>
              <w:rPr>
                <w:sz w:val="20"/>
                <w:szCs w:val="20"/>
                <w:color w:val="auto"/>
              </w:rPr>
            </w:pPr>
            <w:r>
              <w:rPr>
                <w:rFonts w:ascii="Arial" w:cs="Arial" w:eastAsia="Arial" w:hAnsi="Arial"/>
                <w:sz w:val="18"/>
                <w:szCs w:val="18"/>
                <w:color w:val="auto"/>
              </w:rPr>
              <w:t>Date: November 9, 2010</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W.M. “RUSTY” RUSH</w:t>
            </w:r>
          </w:p>
        </w:tc>
        <w:tc>
          <w:tcPr>
            <w:tcW w:w="27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278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7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780" w:type="dxa"/>
            <w:vAlign w:val="bottom"/>
          </w:tcPr>
          <w:p>
            <w:pPr>
              <w:spacing w:after="0"/>
              <w:rPr>
                <w:sz w:val="20"/>
                <w:szCs w:val="20"/>
                <w:color w:val="auto"/>
              </w:rPr>
            </w:pPr>
          </w:p>
        </w:tc>
      </w:tr>
      <w:tr>
        <w:trPr>
          <w:trHeight w:val="432"/>
        </w:trPr>
        <w:tc>
          <w:tcPr>
            <w:tcW w:w="3480" w:type="dxa"/>
            <w:vAlign w:val="bottom"/>
          </w:tcPr>
          <w:p>
            <w:pPr>
              <w:ind w:left="340"/>
              <w:spacing w:after="0"/>
              <w:rPr>
                <w:sz w:val="20"/>
                <w:szCs w:val="20"/>
                <w:color w:val="auto"/>
              </w:rPr>
            </w:pPr>
            <w:r>
              <w:rPr>
                <w:rFonts w:ascii="Arial" w:cs="Arial" w:eastAsia="Arial" w:hAnsi="Arial"/>
                <w:sz w:val="18"/>
                <w:szCs w:val="18"/>
                <w:color w:val="auto"/>
              </w:rPr>
              <w:t>Date: November 9, 2010</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STEVEN L. KELLER</w:t>
            </w:r>
          </w:p>
        </w:tc>
        <w:tc>
          <w:tcPr>
            <w:tcW w:w="27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78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27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9"/>
              </w:rPr>
              <w:t>(Principal Financial and Accounting Officer)</w:t>
            </w:r>
          </w:p>
        </w:tc>
        <w:tc>
          <w:tcPr>
            <w:tcW w:w="2780" w:type="dxa"/>
            <w:vAlign w:val="bottom"/>
          </w:tcPr>
          <w:p>
            <w:pPr>
              <w:spacing w:after="0"/>
              <w:rPr>
                <w:sz w:val="20"/>
                <w:szCs w:val="20"/>
                <w:color w:val="auto"/>
              </w:rPr>
            </w:pPr>
          </w:p>
        </w:tc>
      </w:tr>
      <w:tr>
        <w:trPr>
          <w:trHeight w:val="783"/>
        </w:trPr>
        <w:tc>
          <w:tcPr>
            <w:tcW w:w="3480" w:type="dxa"/>
            <w:vAlign w:val="bottom"/>
          </w:tcPr>
          <w:p>
            <w:pPr>
              <w:spacing w:after="0"/>
              <w:rPr>
                <w:sz w:val="24"/>
                <w:szCs w:val="24"/>
                <w:color w:val="auto"/>
              </w:rPr>
            </w:pPr>
          </w:p>
        </w:tc>
        <w:tc>
          <w:tcPr>
            <w:tcW w:w="5160" w:type="dxa"/>
            <w:vAlign w:val="bottom"/>
            <w:gridSpan w:val="2"/>
          </w:tcPr>
          <w:p>
            <w:pPr>
              <w:jc w:val="right"/>
              <w:ind w:right="3270"/>
              <w:spacing w:after="0"/>
              <w:rPr>
                <w:sz w:val="20"/>
                <w:szCs w:val="20"/>
                <w:color w:val="auto"/>
              </w:rPr>
            </w:pPr>
            <w:r>
              <w:rPr>
                <w:rFonts w:ascii="Arial" w:cs="Arial" w:eastAsia="Arial" w:hAnsi="Arial"/>
                <w:sz w:val="18"/>
                <w:szCs w:val="18"/>
                <w:color w:val="auto"/>
              </w:rPr>
              <w:t>33</w:t>
            </w:r>
          </w:p>
        </w:tc>
        <w:tc>
          <w:tcPr>
            <w:tcW w:w="278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8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Rush Enterprises, Inc. Amended and Restated 1997 Non-Employee Director Stock Option Plan</w:t>
            </w:r>
          </w:p>
        </w:tc>
      </w:tr>
      <w:tr>
        <w:trPr>
          <w:trHeight w:val="216"/>
        </w:trPr>
        <w:tc>
          <w:tcPr>
            <w:tcW w:w="34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Rush Enterprises, Inc. Amended and Restated 2006 Non-Employee Director Stock Plan</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9"/>
              </w:rPr>
              <w:t>Certification of CEO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Sarbanes-Oxley Act of 2002.</w:t>
            </w:r>
          </w:p>
        </w:tc>
      </w:tr>
      <w:tr>
        <w:trPr>
          <w:trHeight w:val="202"/>
        </w:trPr>
        <w:tc>
          <w:tcPr>
            <w:tcW w:w="340" w:type="dxa"/>
            <w:vAlign w:val="bottom"/>
          </w:tcPr>
          <w:p>
            <w:pPr>
              <w:spacing w:after="0"/>
              <w:rPr>
                <w:sz w:val="17"/>
                <w:szCs w:val="17"/>
                <w:color w:val="auto"/>
              </w:rPr>
            </w:pPr>
          </w:p>
        </w:tc>
        <w:tc>
          <w:tcPr>
            <w:tcW w:w="1020" w:type="dxa"/>
            <w:vAlign w:val="bottom"/>
          </w:tcPr>
          <w:p>
            <w:pPr>
              <w:ind w:left="480"/>
              <w:spacing w:after="0" w:line="201"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846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9"/>
              </w:rPr>
              <w:t>Certification of CFO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Sarbanes-Oxley Act of 2002.</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Oxley Act of 2002.</w:t>
            </w:r>
          </w:p>
        </w:tc>
      </w:tr>
      <w:tr>
        <w:trPr>
          <w:trHeight w:val="202"/>
        </w:trPr>
        <w:tc>
          <w:tcPr>
            <w:tcW w:w="340" w:type="dxa"/>
            <w:vAlign w:val="bottom"/>
          </w:tcPr>
          <w:p>
            <w:pPr>
              <w:spacing w:after="0"/>
              <w:rPr>
                <w:sz w:val="17"/>
                <w:szCs w:val="17"/>
                <w:color w:val="auto"/>
              </w:rPr>
            </w:pPr>
          </w:p>
        </w:tc>
        <w:tc>
          <w:tcPr>
            <w:tcW w:w="1020" w:type="dxa"/>
            <w:vAlign w:val="bottom"/>
          </w:tcPr>
          <w:p>
            <w:pPr>
              <w:ind w:left="480"/>
              <w:spacing w:after="0" w:line="201"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846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Oxley Act of 2002.</w:t>
            </w:r>
          </w:p>
        </w:tc>
      </w:tr>
    </w:tbl>
    <w:p>
      <w:pPr>
        <w:spacing w:after="0" w:line="107"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05"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color w:val="auto"/>
        </w:rPr>
        <w:t>Exhibit 10.1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1997 NON-EMPLOYEE DIRECTOR STOCK OPTION PLAN</w:t>
      </w:r>
    </w:p>
    <w:p>
      <w:pPr>
        <w:spacing w:after="0" w:line="184" w:lineRule="exact"/>
        <w:rPr>
          <w:sz w:val="20"/>
          <w:szCs w:val="20"/>
          <w:color w:val="auto"/>
        </w:rPr>
      </w:pPr>
    </w:p>
    <w:p>
      <w:pPr>
        <w:jc w:val="both"/>
        <w:ind w:right="159" w:firstLine="381"/>
        <w:spacing w:after="0" w:line="257" w:lineRule="auto"/>
        <w:tabs>
          <w:tab w:leader="none" w:pos="5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This 1997 Amended and Restated Non-Employee Director Stock Option Plan (the “Plan”) of Rush Enterprises, Inc.,</w:t>
      </w:r>
      <w:r>
        <w:rPr>
          <w:rFonts w:ascii="Arial" w:cs="Arial" w:eastAsia="Arial" w:hAnsi="Arial"/>
          <w:sz w:val="18"/>
          <w:szCs w:val="18"/>
          <w:i w:val="1"/>
          <w:iCs w:val="1"/>
          <w:color w:val="auto"/>
        </w:rPr>
        <w:t xml:space="preserve"> </w:t>
      </w:r>
      <w:r>
        <w:rPr>
          <w:rFonts w:ascii="Arial" w:cs="Arial" w:eastAsia="Arial" w:hAnsi="Arial"/>
          <w:sz w:val="18"/>
          <w:szCs w:val="18"/>
          <w:color w:val="auto"/>
        </w:rPr>
        <w:t>a Texas corporation (the “Company”), is adopted for the benefit of the directors of the Company who at the time of their service are not employees of the Company or any of its subsidiaries (“Non-Employee Directors”), and is intended to advance the interests of the Company by providing the Non-Employee Directors with additional incentive to serve the Company by increasing their proprietary interest in the success of the Company.</w:t>
      </w:r>
    </w:p>
    <w:p>
      <w:pPr>
        <w:spacing w:after="0" w:line="147" w:lineRule="exact"/>
        <w:rPr>
          <w:rFonts w:ascii="Arial" w:cs="Arial" w:eastAsia="Arial" w:hAnsi="Arial"/>
          <w:sz w:val="18"/>
          <w:szCs w:val="18"/>
          <w:color w:val="auto"/>
        </w:rPr>
      </w:pPr>
    </w:p>
    <w:p>
      <w:pPr>
        <w:jc w:val="both"/>
        <w:ind w:right="159" w:firstLine="381"/>
        <w:spacing w:after="0" w:line="267" w:lineRule="auto"/>
        <w:tabs>
          <w:tab w:leader="none" w:pos="569"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Plan shall be administered by a committee of the Board of Directors of the Company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members of which shall consist solely of directors who are employees of the Company. For the purposes of the Plan, a majority of the members of the Committee shall constitute a quorum for the transaction of business, and the vote of a majority of those members present at any meeting shall decide any question brought before that meeting. In addition, the Committee may take any action otherwise proper under the Plan by the affirmative vote, taken without a meeting, of a majority of its members.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Except as otherwise expressly provided for herein, all questions of interpretation and application of the Plan, or as to options granted hereunder (the “Options”), shall be subject to the determination, which shall be final and binding, of a majority of the whole Committee. The Committee may, in its discretion, provide for the extension of the exercisability of an Award, accelerate the vesting or exercisability of an Award, eliminate or make less restrictive any restrictions contained in an Award, waive any restriction or other provision of this Plan or an Award or otherwise amend or modify an Award in any manner that is (i) not adverse to the Non-Employee Director to whom such Award was granted, (ii) consented to by such Non-Employee Director or (iii) authorized by Section 12 hereof; provided, however, that no such action shall permit the term of any Option to be greater than ten years from the applicable grant date, or to be extended beyond the original stated term of the Option, if less than ten years, if such extension would cause the Option to be subject to adverse tax consequences under Section 409A of the Internal Revenue Code of 1986, as amended (the “Internal Revenue Code”). Notwithstanding anything to the contrary contained herein, the Committee may not amend or replace outstanding Options in a transaction that constitutes a repricing without the approval of the shareholders of the Company. For these purposes, a cancellation, exchange or other modification to an outstanding Option that occurs in connection with a merger, acquisition, spin-off or other corporate transaction, including under Section 12 hereof will not be deemed a repricing.</w:t>
      </w:r>
    </w:p>
    <w:p>
      <w:pPr>
        <w:spacing w:after="0" w:line="146" w:lineRule="exact"/>
        <w:rPr>
          <w:rFonts w:ascii="Arial" w:cs="Arial" w:eastAsia="Arial" w:hAnsi="Arial"/>
          <w:sz w:val="17"/>
          <w:szCs w:val="17"/>
          <w:color w:val="auto"/>
        </w:rPr>
      </w:pPr>
    </w:p>
    <w:p>
      <w:pPr>
        <w:jc w:val="both"/>
        <w:ind w:right="159" w:firstLine="381"/>
        <w:spacing w:after="0" w:line="270" w:lineRule="auto"/>
        <w:tabs>
          <w:tab w:leader="none" w:pos="582"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Option Shares</w:t>
      </w:r>
      <w:r>
        <w:rPr>
          <w:rFonts w:ascii="Arial" w:cs="Arial" w:eastAsia="Arial" w:hAnsi="Arial"/>
          <w:sz w:val="17"/>
          <w:szCs w:val="17"/>
          <w:color w:val="auto"/>
        </w:rPr>
        <w:t>. The stock subject to the Options and other provisions of the Plan shall be shares of the Company’s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$.01 par value (or such other par value as may be designated by act of the Company’s shareholders) (the “Class A Common Stock”) and Company’s Class B Common Stock, $.01 par value (or such other par value as may be designated by act of the Company’s shareholders) (the “Class B Common Stock,” or taken together with the Class A Common Stock, the “Common Stock”). The total amount of the Class A Common Stock with respect to which Options may be granted shall not exceed in the aggregate 600,000 shares; the total amount of the Class B Common Stock with respect to which Options may be granted shall not exceed in the aggregate 180,000 shares; provided, that the class and aggregate number of shares which may be subject to the Options granted hereunder shall be subject to adjustment in accordance with the provisions of Paragraph 12 hereof. Such shares may be treasury shares or authorized but unissued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379730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6" w:name="page37"/>
    <w:bookmarkEnd w:id="36"/>
    <w:p>
      <w:pPr>
        <w:jc w:val="both"/>
        <w:ind w:right="159" w:firstLine="389"/>
        <w:spacing w:after="0" w:line="286" w:lineRule="auto"/>
        <w:rPr>
          <w:sz w:val="20"/>
          <w:szCs w:val="20"/>
          <w:color w:val="auto"/>
        </w:rPr>
      </w:pPr>
      <w:r>
        <w:rPr>
          <w:rFonts w:ascii="Arial" w:cs="Arial" w:eastAsia="Arial" w:hAnsi="Arial"/>
          <w:sz w:val="17"/>
          <w:szCs w:val="17"/>
          <w:color w:val="auto"/>
        </w:rPr>
        <w:t>In the event that any outstanding Option for any reason shall expire or terminate by reason of the death of the optionee or the fact that the optionee ceases to be a director, the surrender of any such Option, or any other cause, the shares of Common Stock allocable to the unexercised portion of such Option may again be subject to an Option under the Plan.</w:t>
      </w:r>
    </w:p>
    <w:p>
      <w:pPr>
        <w:spacing w:after="0" w:line="139" w:lineRule="exact"/>
        <w:rPr>
          <w:sz w:val="20"/>
          <w:szCs w:val="20"/>
          <w:color w:val="auto"/>
        </w:rPr>
      </w:pPr>
    </w:p>
    <w:p>
      <w:pPr>
        <w:ind w:right="179" w:firstLine="381"/>
        <w:spacing w:after="0" w:line="342" w:lineRule="auto"/>
        <w:tabs>
          <w:tab w:leader="none" w:pos="56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Grant of Options</w:t>
      </w:r>
      <w:r>
        <w:rPr>
          <w:rFonts w:ascii="Arial" w:cs="Arial" w:eastAsia="Arial" w:hAnsi="Arial"/>
          <w:sz w:val="16"/>
          <w:szCs w:val="16"/>
          <w:color w:val="auto"/>
        </w:rPr>
        <w:t>. Subject to the provisions of Paragraph 16 and the availability under the Plan of a sufficient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that may be issuable upon the exercise of outstanding Options, there shall be granted the following Options:</w:t>
      </w:r>
    </w:p>
    <w:p>
      <w:pPr>
        <w:spacing w:after="0" w:line="83" w:lineRule="exact"/>
        <w:rPr>
          <w:rFonts w:ascii="Arial" w:cs="Arial" w:eastAsia="Arial" w:hAnsi="Arial"/>
          <w:sz w:val="16"/>
          <w:szCs w:val="16"/>
          <w:color w:val="auto"/>
        </w:rPr>
      </w:pPr>
    </w:p>
    <w:p>
      <w:pPr>
        <w:jc w:val="both"/>
        <w:ind w:right="159" w:firstLine="770"/>
        <w:spacing w:after="0" w:line="257" w:lineRule="auto"/>
        <w:tabs>
          <w:tab w:leader="none" w:pos="1025"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each Non-Employee Director who is elected at an Annual Meeting of Shareholders of the Company or appointed by the Board of Directors to serve as a direct, an Option to purchase 20,000 shares of Class A Common Stock at a purchase price per share of Class A Common Stock equal to the fair market value of a share of Class A Common Stock as defined in paragraph 7 hereof (the “Option Price”) on the date of such Annual Meeting of Shareholders of the Company or appointment by the Board of Directors; and</w:t>
      </w:r>
    </w:p>
    <w:p>
      <w:pPr>
        <w:spacing w:after="0" w:line="147" w:lineRule="exact"/>
        <w:rPr>
          <w:rFonts w:ascii="Arial" w:cs="Arial" w:eastAsia="Arial" w:hAnsi="Arial"/>
          <w:sz w:val="18"/>
          <w:szCs w:val="18"/>
          <w:color w:val="auto"/>
        </w:rPr>
      </w:pPr>
    </w:p>
    <w:p>
      <w:pPr>
        <w:jc w:val="both"/>
        <w:ind w:right="179" w:firstLine="770"/>
        <w:spacing w:after="0" w:line="264" w:lineRule="auto"/>
        <w:tabs>
          <w:tab w:leader="none" w:pos="1051"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each Non-Employee Director who is elected or reelected as a director of the Company at an Annual Meeting of Shareholders of the Company, an Option to purchase 20,000 shares of Class A Common Stock at the Option Price on the date of each such Annual Meeting of Shareholders of the Company.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Option shall be granted pursuant to the Plan after March 25, 2007.</w:t>
      </w:r>
    </w:p>
    <w:p>
      <w:pPr>
        <w:spacing w:after="0" w:line="185" w:lineRule="exact"/>
        <w:rPr>
          <w:sz w:val="20"/>
          <w:szCs w:val="20"/>
          <w:color w:val="auto"/>
        </w:rPr>
      </w:pPr>
    </w:p>
    <w:p>
      <w:pPr>
        <w:ind w:right="179" w:firstLine="381"/>
        <w:spacing w:after="0" w:line="277" w:lineRule="auto"/>
        <w:tabs>
          <w:tab w:leader="none" w:pos="56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Each Option granted under the Plan shall be exercisable for a term of ten years from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earlier termination as provided in Paragraph 9 hereof.</w:t>
      </w:r>
    </w:p>
    <w:p>
      <w:pPr>
        <w:spacing w:after="0" w:line="129" w:lineRule="exact"/>
        <w:rPr>
          <w:rFonts w:ascii="Arial" w:cs="Arial" w:eastAsia="Arial" w:hAnsi="Arial"/>
          <w:sz w:val="18"/>
          <w:szCs w:val="18"/>
          <w:color w:val="auto"/>
        </w:rPr>
      </w:pPr>
    </w:p>
    <w:p>
      <w:pPr>
        <w:ind w:left="560" w:hanging="17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Amount Exercisable</w:t>
      </w:r>
      <w:r>
        <w:rPr>
          <w:rFonts w:ascii="Arial" w:cs="Arial" w:eastAsia="Arial" w:hAnsi="Arial"/>
          <w:sz w:val="18"/>
          <w:szCs w:val="18"/>
          <w:color w:val="auto"/>
        </w:rPr>
        <w:t>. Each Option granted pursuant to the Plan shall be fully exercisable on the date of grant.</w:t>
      </w:r>
    </w:p>
    <w:p>
      <w:pPr>
        <w:spacing w:after="0" w:line="198" w:lineRule="exact"/>
        <w:rPr>
          <w:rFonts w:ascii="Arial" w:cs="Arial" w:eastAsia="Arial" w:hAnsi="Arial"/>
          <w:sz w:val="18"/>
          <w:szCs w:val="18"/>
          <w:color w:val="auto"/>
        </w:rPr>
      </w:pPr>
    </w:p>
    <w:p>
      <w:pPr>
        <w:jc w:val="both"/>
        <w:ind w:right="159" w:firstLine="381"/>
        <w:spacing w:after="0" w:line="293" w:lineRule="auto"/>
        <w:tabs>
          <w:tab w:leader="none" w:pos="58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Payment of the purchase price of the shares of Common Stock subject to an Option granted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may be made in any combination of cash or whole shares of Common Stock already owned by the optionee. Subject to the terms and conditions of this Agreement, such Option may be exercised by written notice to the Company at its principal office, attention of the Secretary. Such notice shall (a) state the election to exercise such Option, the number of shares in respect of which it is being exercised and the manner of payment for such shares and (b) be signed by the person or persons so exercising such Option and, in the event such Option is being exercised pursuant to Paragraph 9 by any person or persons other than the optionee, accompanied by</w:t>
      </w:r>
    </w:p>
    <w:p>
      <w:pPr>
        <w:spacing w:after="0" w:line="200" w:lineRule="exact"/>
        <w:rPr>
          <w:rFonts w:ascii="Arial" w:cs="Arial" w:eastAsia="Arial" w:hAnsi="Arial"/>
          <w:sz w:val="16"/>
          <w:szCs w:val="16"/>
          <w:color w:val="auto"/>
        </w:rPr>
      </w:pPr>
    </w:p>
    <w:p>
      <w:pPr>
        <w:spacing w:after="0" w:line="316" w:lineRule="exact"/>
        <w:rPr>
          <w:rFonts w:ascii="Arial" w:cs="Arial" w:eastAsia="Arial" w:hAnsi="Arial"/>
          <w:sz w:val="16"/>
          <w:szCs w:val="16"/>
          <w:color w:val="auto"/>
        </w:rPr>
      </w:pPr>
    </w:p>
    <w:p>
      <w:pPr>
        <w:ind w:left="4800" w:hanging="96"/>
        <w:spacing w:after="0"/>
        <w:tabs>
          <w:tab w:leader="none" w:pos="4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7" w:name="page38"/>
    <w:bookmarkEnd w:id="37"/>
    <w:p>
      <w:pPr>
        <w:jc w:val="both"/>
        <w:ind w:right="159"/>
        <w:spacing w:after="0" w:line="286" w:lineRule="auto"/>
        <w:rPr>
          <w:sz w:val="20"/>
          <w:szCs w:val="20"/>
          <w:color w:val="auto"/>
        </w:rPr>
      </w:pPr>
      <w:r>
        <w:rPr>
          <w:rFonts w:ascii="Arial" w:cs="Arial" w:eastAsia="Arial" w:hAnsi="Arial"/>
          <w:sz w:val="16"/>
          <w:szCs w:val="16"/>
          <w:color w:val="auto"/>
        </w:rPr>
        <w:t>appropriate proof of the right of such person or persons to exercise such Option. Such notice shall either (i) be accompanied by payment of the full purchase price of such shares, in which event the Company shall issue and deliver a certificate or certificates representing such shares as soon as practicable after the notice is received, or (ii) fix a date (not more than 10 business days from the date of such notice) for the payment of the full purchase price of such shares at the Company’s principal office, against delivery of a certificate or certificates representing such shares. Cash payments of such purchase price shall, in case of clause (i) or (ii) above, be made by cash or check payable to the order of the Company. Common Stock payments (valued at fair market value on the date of exercise, as determined by the Committee), shall be made by delivery of stock certificates in negotiable form. All cash and Common Stock payments shall, in either case, be delivered to the Company at its principal office, attention of the Secretary. If certificates representing Common Stock are used to pay all or part of the purchase price of an Option granted hereunder, a replacement certificate shall be delivered by the Company representing the number of shares delivered but not so used, and an additional certificate shall be delivered representing the additional shares to which the holder of such Option is entitled as a result of the exercise of such Option. The certificate or certificates for the shares as to which such Option shall have been so exercised shall be registered in the name of the person or persons so exercising the Option and shall be delivered as aforesaid to or upon the written order of the person or persons exercising such Option. All shares issued as provided herein will be fully paid and nonassessable.</w:t>
      </w:r>
    </w:p>
    <w:p>
      <w:pPr>
        <w:spacing w:after="0" w:line="145" w:lineRule="exact"/>
        <w:rPr>
          <w:sz w:val="20"/>
          <w:szCs w:val="20"/>
          <w:color w:val="auto"/>
        </w:rPr>
      </w:pPr>
    </w:p>
    <w:p>
      <w:pPr>
        <w:jc w:val="both"/>
        <w:ind w:right="159" w:firstLine="389"/>
        <w:spacing w:after="0" w:line="291" w:lineRule="auto"/>
        <w:rPr>
          <w:sz w:val="20"/>
          <w:szCs w:val="20"/>
          <w:color w:val="auto"/>
        </w:rPr>
      </w:pPr>
      <w:r>
        <w:rPr>
          <w:rFonts w:ascii="Arial" w:cs="Arial" w:eastAsia="Arial" w:hAnsi="Arial"/>
          <w:sz w:val="16"/>
          <w:szCs w:val="16"/>
          <w:color w:val="auto"/>
        </w:rPr>
        <w:t>For purposes of this Paragraph 7, the “fair market value” of a share of Common Stock as of any particular date shall mean the closing sale price of a share of Common Stock on that date as reported by the principal national securities exchange on which the Common Stock is listed if the Common Stock is then listed on a national securities exchange, or if the Common Stock is not so listed, the average of the bid and asked price of a share of Common Stock on that date and reported in the National Association of Securities Dealers Automated Quotation system (the “NASDAQ System”); provided that if no such closing price or quotes are so reported on that date or if in the discretion of the Committee another means of determining the fair market value of a share of stock at such date shall be necessary or advisable, the Committee may provide for another means for determining such fair market value.</w:t>
      </w:r>
    </w:p>
    <w:p>
      <w:pPr>
        <w:spacing w:after="0" w:line="127" w:lineRule="exact"/>
        <w:rPr>
          <w:sz w:val="20"/>
          <w:szCs w:val="20"/>
          <w:color w:val="auto"/>
        </w:rPr>
      </w:pPr>
    </w:p>
    <w:p>
      <w:pPr>
        <w:ind w:right="179" w:firstLine="381"/>
        <w:spacing w:after="0" w:line="277" w:lineRule="auto"/>
        <w:tabs>
          <w:tab w:leader="none" w:pos="59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Transferability of Options</w:t>
      </w:r>
      <w:r>
        <w:rPr>
          <w:rFonts w:ascii="Arial" w:cs="Arial" w:eastAsia="Arial" w:hAnsi="Arial"/>
          <w:sz w:val="18"/>
          <w:szCs w:val="18"/>
          <w:color w:val="auto"/>
        </w:rPr>
        <w:t>. Options shall not be transferable by the optionee otherwise than by will or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129" w:lineRule="exact"/>
        <w:rPr>
          <w:rFonts w:ascii="Arial" w:cs="Arial" w:eastAsia="Arial" w:hAnsi="Arial"/>
          <w:sz w:val="18"/>
          <w:szCs w:val="18"/>
          <w:color w:val="auto"/>
        </w:rPr>
      </w:pPr>
    </w:p>
    <w:p>
      <w:pPr>
        <w:ind w:right="159" w:firstLine="381"/>
        <w:spacing w:after="0" w:line="277" w:lineRule="auto"/>
        <w:tabs>
          <w:tab w:leader="none" w:pos="582"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Except as may be otherwise expressly provided herein, each Option, to the extent it shall not previously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exercised, shall terminate on the earlier of the following:</w:t>
      </w:r>
    </w:p>
    <w:p>
      <w:pPr>
        <w:spacing w:after="0" w:line="143" w:lineRule="exact"/>
        <w:rPr>
          <w:rFonts w:ascii="Arial" w:cs="Arial" w:eastAsia="Arial" w:hAnsi="Arial"/>
          <w:sz w:val="18"/>
          <w:szCs w:val="18"/>
          <w:color w:val="auto"/>
        </w:rPr>
      </w:pPr>
    </w:p>
    <w:p>
      <w:pPr>
        <w:jc w:val="both"/>
        <w:ind w:right="159" w:firstLine="770"/>
        <w:spacing w:after="0" w:line="279" w:lineRule="auto"/>
        <w:tabs>
          <w:tab w:leader="none" w:pos="1024" w:val="left"/>
        </w:tabs>
        <w:numPr>
          <w:ilvl w:val="1"/>
          <w:numId w:val="11"/>
        </w:numPr>
        <w:rPr>
          <w:rFonts w:ascii="Arial" w:cs="Arial" w:eastAsia="Arial" w:hAnsi="Arial"/>
          <w:sz w:val="17"/>
          <w:szCs w:val="17"/>
          <w:color w:val="auto"/>
        </w:rPr>
      </w:pPr>
      <w:r>
        <w:rPr>
          <w:rFonts w:ascii="Arial" w:cs="Arial" w:eastAsia="Arial" w:hAnsi="Arial"/>
          <w:sz w:val="17"/>
          <w:szCs w:val="17"/>
          <w:color w:val="auto"/>
        </w:rPr>
        <w:t>On the last day within the thirty day period commencing on the date on which the optionee ceases to be a member of the Company’s Board of Directors, for any reason other than the death or disability of the optionee or his resignation after five years of service, during which period the optionee shall be entitled to exercise all Options fully vested as described in Paragraph 6 by the optionee on the date on which the optionee ceased to be a member of the Company’s Board of Directors;</w:t>
      </w: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ind w:left="4800" w:hanging="96"/>
        <w:spacing w:after="0"/>
        <w:tabs>
          <w:tab w:leader="none" w:pos="48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8" w:name="page39"/>
    <w:bookmarkEnd w:id="38"/>
    <w:p>
      <w:pPr>
        <w:jc w:val="both"/>
        <w:ind w:right="159" w:firstLine="770"/>
        <w:spacing w:after="0" w:line="259" w:lineRule="auto"/>
        <w:tabs>
          <w:tab w:leader="none" w:pos="10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On the last day within the one year period commencing on the date on which the optionee ceases to be a member of the Company’s Board of Directors because of permanent disability, during which period the optionee shall be entitled to exercise all Options fully vested as described in Paragraph 6 by the optionee on the date on which the optionee ceased to be a member of the Company’s Board of Directors because of such disability;</w:t>
      </w:r>
    </w:p>
    <w:p>
      <w:pPr>
        <w:spacing w:after="0" w:line="159" w:lineRule="exact"/>
        <w:rPr>
          <w:rFonts w:ascii="Arial" w:cs="Arial" w:eastAsia="Arial" w:hAnsi="Arial"/>
          <w:sz w:val="18"/>
          <w:szCs w:val="18"/>
          <w:color w:val="auto"/>
        </w:rPr>
      </w:pPr>
    </w:p>
    <w:p>
      <w:pPr>
        <w:jc w:val="both"/>
        <w:ind w:right="179" w:firstLine="770"/>
        <w:spacing w:after="0" w:line="257" w:lineRule="auto"/>
        <w:tabs>
          <w:tab w:leader="none" w:pos="10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On the last day within the one year period commencing on the date of the optionee’s death while serving as a member of the Company’s Board of Directors, during which period the executor or administrator of the optionee’s estate or the person or persons to whom the optionee’s Option shall have been transferred by will or the laws of descent or distribution, shall be entitled to exercise all Options in respect of the number of shares that the optionee would have been entitled to purchase had the optionee exercised such Options on the date of his death;</w:t>
      </w:r>
    </w:p>
    <w:p>
      <w:pPr>
        <w:spacing w:after="0" w:line="147" w:lineRule="exact"/>
        <w:rPr>
          <w:rFonts w:ascii="Arial" w:cs="Arial" w:eastAsia="Arial" w:hAnsi="Arial"/>
          <w:sz w:val="18"/>
          <w:szCs w:val="18"/>
          <w:color w:val="auto"/>
        </w:rPr>
      </w:pPr>
    </w:p>
    <w:p>
      <w:pPr>
        <w:jc w:val="both"/>
        <w:ind w:right="159" w:firstLine="770"/>
        <w:spacing w:after="0" w:line="273" w:lineRule="auto"/>
        <w:tabs>
          <w:tab w:leader="none" w:pos="1056" w:val="left"/>
        </w:tabs>
        <w:numPr>
          <w:ilvl w:val="1"/>
          <w:numId w:val="12"/>
        </w:numPr>
        <w:rPr>
          <w:rFonts w:ascii="Arial" w:cs="Arial" w:eastAsia="Arial" w:hAnsi="Arial"/>
          <w:sz w:val="17"/>
          <w:szCs w:val="17"/>
          <w:color w:val="auto"/>
        </w:rPr>
      </w:pPr>
      <w:r>
        <w:rPr>
          <w:rFonts w:ascii="Arial" w:cs="Arial" w:eastAsia="Arial" w:hAnsi="Arial"/>
          <w:sz w:val="17"/>
          <w:szCs w:val="17"/>
          <w:color w:val="auto"/>
        </w:rPr>
        <w:t>On the last day within the one year period commencing on the date an optionee who has had at least five years of service on the Board of Directors of the Company resigns from the Board of Directors of the Company, during which period the optionee, or the executor or administrator of the optionee’s estate or the person or persons to whom such Option shall have been transferred by the will or the laws of descent or distribution in the event of the optionee’s death within such one year period, as the case may be, shall be entitled to exercise all Options in respect of the number of shares that the optionee would have been entitled to purchase had the optionee exercised such Options on the date of such resignation; and</w:t>
      </w:r>
    </w:p>
    <w:p>
      <w:pPr>
        <w:spacing w:after="0" w:line="137" w:lineRule="exact"/>
        <w:rPr>
          <w:rFonts w:ascii="Arial" w:cs="Arial" w:eastAsia="Arial" w:hAnsi="Arial"/>
          <w:sz w:val="17"/>
          <w:szCs w:val="17"/>
          <w:color w:val="auto"/>
        </w:rPr>
      </w:pPr>
    </w:p>
    <w:p>
      <w:pPr>
        <w:ind w:left="1020" w:hanging="250"/>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Ten years after the date of grant of such Option.</w:t>
      </w:r>
    </w:p>
    <w:p>
      <w:pPr>
        <w:spacing w:after="0" w:line="198" w:lineRule="exact"/>
        <w:rPr>
          <w:rFonts w:ascii="Arial" w:cs="Arial" w:eastAsia="Arial" w:hAnsi="Arial"/>
          <w:sz w:val="18"/>
          <w:szCs w:val="18"/>
          <w:color w:val="auto"/>
        </w:rPr>
      </w:pPr>
    </w:p>
    <w:p>
      <w:pPr>
        <w:jc w:val="both"/>
        <w:ind w:right="159" w:firstLine="381"/>
        <w:spacing w:after="0" w:line="285" w:lineRule="auto"/>
        <w:tabs>
          <w:tab w:leader="none" w:pos="65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Requirements of Law</w:t>
      </w:r>
      <w:r>
        <w:rPr>
          <w:rFonts w:ascii="Arial" w:cs="Arial" w:eastAsia="Arial" w:hAnsi="Arial"/>
          <w:sz w:val="16"/>
          <w:szCs w:val="16"/>
          <w:color w:val="auto"/>
        </w:rPr>
        <w:t>. The Company shall not be required to sell or issue any shares under any Option if the issuance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shall constitute a violation by the optionee or the Company of any provisions of any law or regulation of any governmental authority. Each Option granted under the Plan shall be subject to the requirements that, if at any time the Board of Directors of the Company or the Committee shall determine that the listing, registration or qualification of the shares subject thereto upon any securities exchange or under any state or federal law of the United States or of any other country or governmental subdivision thereof, or the consent or approval of any governmental regulatory body, or investment or other representations, are necessary or desirable in connection with the issue or purchase of shares subject thereto, no such Option may be exercised in whole or in part unless such listing, registration, qualification, consent, approval or representation shall have been effected or obtained free of any conditions not acceptable to the Board of Directors. If required at any time by the Board of Directors or the Committee, an Option may not be exercised until the optionee has delivered an investment letter to the Company. In addition, specifically in connection with the Securities Act of 1933 (as now in effect or hereafter amended), upon exercise of any Option, the Company shall not be required to issue the underlying shares unless the Committee has received evidence satisfactory to it to the effect that the holder of such Option will not transfer such shares except pursuant to a registration statement in effect under such Act or unless an opinion of counsel satisfactory to the Company has been received by the Committee to the effect that such registration is not required. Any determination in this connection by the Committee shall be final, binding and conclusive. In the event the shares issuable on exercise of an Option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135" w:lineRule="exact"/>
        <w:rPr>
          <w:sz w:val="20"/>
          <w:szCs w:val="20"/>
          <w:color w:val="auto"/>
        </w:rPr>
      </w:pPr>
    </w:p>
    <w:p>
      <w:pPr>
        <w:jc w:val="both"/>
        <w:ind w:right="159" w:firstLine="389"/>
        <w:spacing w:after="0" w:line="312" w:lineRule="auto"/>
        <w:rPr>
          <w:sz w:val="20"/>
          <w:szCs w:val="20"/>
          <w:color w:val="auto"/>
        </w:rPr>
      </w:pPr>
      <w:r>
        <w:rPr>
          <w:rFonts w:ascii="Arial" w:cs="Arial" w:eastAsia="Arial" w:hAnsi="Arial"/>
          <w:sz w:val="16"/>
          <w:szCs w:val="16"/>
          <w:color w:val="auto"/>
        </w:rPr>
        <w:t>“The shares of stock represented by this certificate have not been registered under the Securities Act of 1933 or under the securities laws of any state and may not be sold or transferred except upon such registration or upon receipt by the Corporation of an opinion of counsel satisfactory, in form and substance to the Corporation, that registration is not required for such sale or transfer.”</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9" w:name="page40"/>
    <w:bookmarkEnd w:id="39"/>
    <w:p>
      <w:pPr>
        <w:jc w:val="both"/>
        <w:ind w:left="8" w:right="159" w:firstLine="389"/>
        <w:spacing w:after="0" w:line="302" w:lineRule="auto"/>
        <w:rPr>
          <w:sz w:val="20"/>
          <w:szCs w:val="20"/>
          <w:color w:val="auto"/>
        </w:rPr>
      </w:pPr>
      <w:r>
        <w:rPr>
          <w:rFonts w:ascii="Arial" w:cs="Arial" w:eastAsia="Arial" w:hAnsi="Arial"/>
          <w:sz w:val="16"/>
          <w:szCs w:val="16"/>
          <w:color w:val="auto"/>
        </w:rPr>
        <w:t>The Company may, but shall in no event be obligated to, register any securities covered hereby pursuant to the Securities Act of 1933 (as now in effect or as hereafter amended) and, in the event any shares are so registered, the Company may remove any legend on certificates representing such shares. The Company shall not be obligated to take any other affirmative action in order to cause the exercise of an Option or the issuance of shares pursuant thereto to comply with any law or regulation of any governmental authority.</w:t>
      </w:r>
    </w:p>
    <w:p>
      <w:pPr>
        <w:spacing w:after="0" w:line="127" w:lineRule="exact"/>
        <w:rPr>
          <w:sz w:val="20"/>
          <w:szCs w:val="20"/>
          <w:color w:val="auto"/>
        </w:rPr>
      </w:pPr>
    </w:p>
    <w:p>
      <w:pPr>
        <w:jc w:val="both"/>
        <w:ind w:left="8" w:right="159" w:firstLine="381"/>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No Rights as Shareholder</w:t>
      </w:r>
      <w:r>
        <w:rPr>
          <w:rFonts w:ascii="Arial" w:cs="Arial" w:eastAsia="Arial" w:hAnsi="Arial"/>
          <w:sz w:val="17"/>
          <w:szCs w:val="17"/>
          <w:color w:val="auto"/>
        </w:rPr>
        <w:t>. No optionee shall have rights as a shareholder with respect to shares covered by his Option until</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issuance of a stock certificate for such shares; and, except as otherwise provided in Paragraph 12 hereof, no adjustment for dividends, or otherwise, shall be made if the record date therefor is prior to the date of issuance of such certificate.</w:t>
      </w:r>
    </w:p>
    <w:p>
      <w:pPr>
        <w:spacing w:after="0" w:line="125" w:lineRule="exact"/>
        <w:rPr>
          <w:rFonts w:ascii="Arial" w:cs="Arial" w:eastAsia="Arial" w:hAnsi="Arial"/>
          <w:sz w:val="17"/>
          <w:szCs w:val="17"/>
          <w:color w:val="auto"/>
        </w:rPr>
      </w:pPr>
    </w:p>
    <w:p>
      <w:pPr>
        <w:jc w:val="both"/>
        <w:ind w:left="8" w:right="159" w:firstLine="381"/>
        <w:spacing w:after="0" w:line="289" w:lineRule="auto"/>
        <w:tabs>
          <w:tab w:leader="none" w:pos="72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Changes in the Company’s Capital Structure</w:t>
      </w:r>
      <w:r>
        <w:rPr>
          <w:rFonts w:ascii="Arial" w:cs="Arial" w:eastAsia="Arial" w:hAnsi="Arial"/>
          <w:sz w:val="16"/>
          <w:szCs w:val="16"/>
          <w:color w:val="auto"/>
        </w:rPr>
        <w:t>. In the event of any stock dividends, stock splits, recapitalizations,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exchanges of shares, mergers, consolidation, liquidations, split-ups, split-offs, spin-offs, or other similar changes in capitalization, or any distribution to shareholders, including a rights offering, other than regular cash dividends, changes in the outstanding stock of the Company by reason of any increase or decrease in the number of issued shares of Common Stock resulting from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the Committee shall make appropriate adjustment in the number and kind of shares authorized by the Plan, in the number, price or kind of shares covered by the Options and in any outstanding Options under the Plan; provided, however, that no such adjustment shall increase the aggregate value of any outstanding Option.</w:t>
      </w:r>
    </w:p>
    <w:p>
      <w:pPr>
        <w:spacing w:after="0" w:line="126" w:lineRule="exact"/>
        <w:rPr>
          <w:sz w:val="20"/>
          <w:szCs w:val="20"/>
          <w:color w:val="auto"/>
        </w:rPr>
      </w:pPr>
    </w:p>
    <w:p>
      <w:pPr>
        <w:ind w:left="8" w:right="159" w:firstLine="389"/>
        <w:spacing w:after="0" w:line="308" w:lineRule="auto"/>
        <w:rPr>
          <w:sz w:val="20"/>
          <w:szCs w:val="20"/>
          <w:color w:val="auto"/>
        </w:rPr>
      </w:pPr>
      <w:r>
        <w:rPr>
          <w:rFonts w:ascii="Arial" w:cs="Arial" w:eastAsia="Arial" w:hAnsi="Arial"/>
          <w:sz w:val="17"/>
          <w:szCs w:val="17"/>
          <w:color w:val="auto"/>
        </w:rPr>
        <w:t>In the event of any adjustment in the number of shares covered by any Option, any fractional shares resulting from such adjustment shall be disregarded and each such Option shall cover only the number of full shares resulting from such adjustment.</w:t>
      </w:r>
    </w:p>
    <w:p>
      <w:pPr>
        <w:spacing w:after="0" w:line="120" w:lineRule="exact"/>
        <w:rPr>
          <w:sz w:val="20"/>
          <w:szCs w:val="20"/>
          <w:color w:val="auto"/>
        </w:rPr>
      </w:pPr>
    </w:p>
    <w:p>
      <w:pPr>
        <w:jc w:val="both"/>
        <w:ind w:left="8" w:right="159" w:firstLine="381"/>
        <w:spacing w:after="0" w:line="285" w:lineRule="auto"/>
        <w:tabs>
          <w:tab w:leader="none" w:pos="667"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Amendment or Termination of Plan</w:t>
      </w:r>
      <w:r>
        <w:rPr>
          <w:rFonts w:ascii="Arial" w:cs="Arial" w:eastAsia="Arial" w:hAnsi="Arial"/>
          <w:sz w:val="16"/>
          <w:szCs w:val="16"/>
          <w:color w:val="auto"/>
        </w:rPr>
        <w:t>. The Board of Directors may at any time and from time to time modify, revise or amend</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such respects as the Board of Directors may deem advisable in order that the Options granted hereunder may conform to any changes in the law or in any other respect that the Board of Directors may deem to be in the best interests of the Company; provided, however, that without approval by the shareholders of the Company voting the proper percentage of its voting power, no such amendment shall make any change in the Plan for which shareholder approval is required in order to comply with (i) Rule 16b-3,</w:t>
      </w:r>
    </w:p>
    <w:p>
      <w:pPr>
        <w:spacing w:after="0" w:line="2" w:lineRule="exact"/>
        <w:rPr>
          <w:rFonts w:ascii="Arial" w:cs="Arial" w:eastAsia="Arial" w:hAnsi="Arial"/>
          <w:sz w:val="16"/>
          <w:szCs w:val="16"/>
          <w:color w:val="auto"/>
        </w:rPr>
      </w:pPr>
    </w:p>
    <w:p>
      <w:pPr>
        <w:jc w:val="both"/>
        <w:ind w:left="8" w:right="159" w:hanging="8"/>
        <w:spacing w:after="0" w:line="253" w:lineRule="auto"/>
        <w:tabs>
          <w:tab w:leader="none" w:pos="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Internal Revenue Code, or regulatory provisions dealing with Incentive Stock Options, (iii) any rules for listed companies promulgated by any national securities exchange on which the Company’s Common Stock is traded or (iv) any other applicable rule or law. All Options granted under the Plan shall be subject to the terms and provisions of the Plan and any amendment, modification or revision of the Plan shall be deemed to amend, modify or revise all Options outstanding under the Plan at the time of the amendment, modification or revision.</w:t>
      </w:r>
    </w:p>
    <w:p>
      <w:pPr>
        <w:spacing w:after="0" w:line="200" w:lineRule="exact"/>
        <w:rPr>
          <w:rFonts w:ascii="Arial" w:cs="Arial" w:eastAsia="Arial" w:hAnsi="Arial"/>
          <w:sz w:val="18"/>
          <w:szCs w:val="18"/>
          <w:color w:val="auto"/>
        </w:rPr>
      </w:pPr>
    </w:p>
    <w:p>
      <w:pPr>
        <w:spacing w:after="0" w:line="342" w:lineRule="exact"/>
        <w:rPr>
          <w:rFonts w:ascii="Arial" w:cs="Arial" w:eastAsia="Arial" w:hAnsi="Arial"/>
          <w:sz w:val="18"/>
          <w:szCs w:val="18"/>
          <w:color w:val="auto"/>
        </w:rPr>
      </w:pPr>
    </w:p>
    <w:p>
      <w:pPr>
        <w:ind w:left="4808" w:hanging="96"/>
        <w:spacing w:after="0"/>
        <w:tabs>
          <w:tab w:leader="none" w:pos="4808" w:val="left"/>
        </w:tabs>
        <w:numPr>
          <w:ilvl w:val="2"/>
          <w:numId w:val="1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0" w:name="page41"/>
    <w:bookmarkEnd w:id="40"/>
    <w:p>
      <w:pPr>
        <w:jc w:val="both"/>
        <w:ind w:left="-381" w:right="159" w:firstLine="381"/>
        <w:spacing w:after="0" w:line="259" w:lineRule="auto"/>
        <w:tabs>
          <w:tab w:leader="none" w:pos="27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Written Agreement</w:t>
      </w:r>
      <w:r>
        <w:rPr>
          <w:rFonts w:ascii="Arial" w:cs="Arial" w:eastAsia="Arial" w:hAnsi="Arial"/>
          <w:sz w:val="18"/>
          <w:szCs w:val="18"/>
          <w:color w:val="auto"/>
        </w:rPr>
        <w:t>. Each Option granted hereunder shall be embodied in a written option agreement, which shall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prescribed above, and shall be signed by the optionee and by the appropriate officer of the Company for and in the name and on behalf of the Company. Such an option agreement shall contain such other provisions as the Committee in its discretion shall deem advisable.</w:t>
      </w:r>
    </w:p>
    <w:p>
      <w:pPr>
        <w:spacing w:after="0" w:line="159" w:lineRule="exact"/>
        <w:rPr>
          <w:rFonts w:ascii="Arial" w:cs="Arial" w:eastAsia="Arial" w:hAnsi="Arial"/>
          <w:sz w:val="18"/>
          <w:szCs w:val="18"/>
          <w:color w:val="auto"/>
        </w:rPr>
      </w:pPr>
    </w:p>
    <w:p>
      <w:pPr>
        <w:jc w:val="both"/>
        <w:ind w:left="-381" w:right="159" w:firstLine="381"/>
        <w:spacing w:after="0" w:line="285" w:lineRule="auto"/>
        <w:tabs>
          <w:tab w:leader="none" w:pos="27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Indemnification of Committee</w:t>
      </w:r>
      <w:r>
        <w:rPr>
          <w:rFonts w:ascii="Arial" w:cs="Arial" w:eastAsia="Arial" w:hAnsi="Arial"/>
          <w:sz w:val="16"/>
          <w:szCs w:val="16"/>
          <w:color w:val="auto"/>
        </w:rPr>
        <w:t>. The Company shall indemnify each present and future member of the Committee against,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member of the Committee shall be entitled without further act on his part to indemnity from the Company for, all expenses (including the amount of judgments and the amount of approved settlements made with a view to the curtailment of costs of litigation, other than amounts paid to the Company itself) reasonably incurred by him in connection with or arising out of any action, suit or proceeding in which he may be involved by reason of his being or having been a member of the Committee, whether or not he continues to be such member of the Committee at the time of incurring such expenses; provided, however, that such indemnity shall not include any expenses incurred by any such member of the Committee (a) in respect of matters as to which he shall be finally adjudged in any such action, suit or proceeding to have been guilty of gross negligence or willful misconduct in the performance of his duty as such member of the Committee, or (b) in respect of any matter in which any settlement is effected, to an amount in excess of the amount approved by the Company on the advice of its legal counsel; and provided further, that no right of indemnification under the provisions set forth herein shall be available to or enforceable by any such member of the Committee unless, within sixty (60) days after institution of any such action, suit or proceeding, he shall have offered the Company, in writing, the opportunity to handle and defend same at its own expense. The foregoing right of indemnification shall inure to the benefit of the heirs, executors or administrators of each such member of the Committee and shall be in addition to all other rights to which such member of the Committee may be entitled to as a matter of law, contract, or otherwise. Nothing in this Paragraph 15 shall be construed to limit or otherwise affect any right to indemnification, or payment of expense, or any provisions limiting the liability of any officer or director of the Company or any member of the Committee, provided by law, the Certificate of Incorporation of the Company or otherwise.</w:t>
      </w:r>
    </w:p>
    <w:p>
      <w:pPr>
        <w:spacing w:after="0" w:line="134" w:lineRule="exact"/>
        <w:rPr>
          <w:rFonts w:ascii="Arial" w:cs="Arial" w:eastAsia="Arial" w:hAnsi="Arial"/>
          <w:sz w:val="16"/>
          <w:szCs w:val="16"/>
          <w:color w:val="auto"/>
        </w:rPr>
      </w:pPr>
    </w:p>
    <w:p>
      <w:pPr>
        <w:ind w:left="-381" w:right="159" w:firstLine="381"/>
        <w:spacing w:after="0" w:line="277" w:lineRule="auto"/>
        <w:tabs>
          <w:tab w:leader="none" w:pos="29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Effective Date of Plan</w:t>
      </w:r>
      <w:r>
        <w:rPr>
          <w:rFonts w:ascii="Arial" w:cs="Arial" w:eastAsia="Arial" w:hAnsi="Arial"/>
          <w:sz w:val="18"/>
          <w:szCs w:val="18"/>
          <w:color w:val="auto"/>
        </w:rPr>
        <w:t>. The Plan became effective and was deemed to have been adopted on March 25, 1997. No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incentive stock options shall be granted pursuant to the Plan after March 25, 2007.</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419" w:hanging="96"/>
        <w:spacing w:after="0"/>
        <w:tabs>
          <w:tab w:leader="none" w:pos="44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9498"/>
          </w:cols>
          <w:pgMar w:left="961" w:top="936"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8"/>
          <w:szCs w:val="18"/>
          <w:color w:val="auto"/>
        </w:rPr>
        <w:t>Exhibit 10.2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2006 NON-EMPLOYEE DIRECTOR STOCK PLAN</w:t>
      </w:r>
    </w:p>
    <w:p>
      <w:pPr>
        <w:spacing w:after="0" w:line="184" w:lineRule="exact"/>
        <w:rPr>
          <w:sz w:val="20"/>
          <w:szCs w:val="20"/>
          <w:color w:val="auto"/>
        </w:rPr>
      </w:pPr>
    </w:p>
    <w:p>
      <w:pPr>
        <w:jc w:val="both"/>
        <w:ind w:right="159" w:firstLine="381"/>
        <w:spacing w:after="0" w:line="257" w:lineRule="auto"/>
        <w:tabs>
          <w:tab w:leader="none" w:pos="56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This Rush Enterprises, Inc. Amended and Restated 2006 Non-Employee Director Stock Plan (the “Plan”) sponsored</w:t>
      </w:r>
      <w:r>
        <w:rPr>
          <w:rFonts w:ascii="Arial" w:cs="Arial" w:eastAsia="Arial" w:hAnsi="Arial"/>
          <w:sz w:val="18"/>
          <w:szCs w:val="18"/>
          <w:i w:val="1"/>
          <w:iCs w:val="1"/>
          <w:color w:val="auto"/>
        </w:rPr>
        <w:t xml:space="preserve"> </w:t>
      </w:r>
      <w:r>
        <w:rPr>
          <w:rFonts w:ascii="Arial" w:cs="Arial" w:eastAsia="Arial" w:hAnsi="Arial"/>
          <w:sz w:val="18"/>
          <w:szCs w:val="18"/>
          <w:color w:val="auto"/>
        </w:rPr>
        <w:t>by Rush Enterprises, Inc., a Texas corporation (the “Company”), is adopted for the benefit of the directors of the Company who at the time of their service are not employees of the Company or any of its subsidiaries (“Non-Employee Directors”), and is intended to advance the interests of the Company by providing the Non-Employee Directors with additional incentive to serve the Company by increasing their proprietary interest in the success of the Company.</w:t>
      </w:r>
    </w:p>
    <w:p>
      <w:pPr>
        <w:spacing w:after="0" w:line="147" w:lineRule="exact"/>
        <w:rPr>
          <w:rFonts w:ascii="Arial" w:cs="Arial" w:eastAsia="Arial" w:hAnsi="Arial"/>
          <w:sz w:val="18"/>
          <w:szCs w:val="18"/>
          <w:color w:val="auto"/>
        </w:rPr>
      </w:pPr>
    </w:p>
    <w:p>
      <w:pPr>
        <w:jc w:val="both"/>
        <w:ind w:right="159" w:firstLine="381"/>
        <w:spacing w:after="0" w:line="267" w:lineRule="auto"/>
        <w:tabs>
          <w:tab w:leader="none" w:pos="569"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Plan shall be administered by the Board of Directors of the Company (the “Board”) or a committee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which shall consist solely of two or more directors appointed by the Board who are not employees of the Company (the Board acting in such capacity or such committee being referred to as the “Committee”). For the purposes of the Plan, a majority of the members of the Committee shall constitute a quorum for the transaction of business, and the vote of a majority of those members present at any meeting shall decide any question brought before that meeting. In addition, the Committee may take any action otherwise proper under the Plan by the affirmative vote, taken without a meeting, of a majority of its members.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Except as otherwise expressly provided for herein, all questions of interpretation and application of the Plan, or as to an option (“Option”) or stock award (“Stock Award”) granted hereunder (an “Option” and “Stock Award” sometimes hereinafter referred to as an “Award” or collectively as “Awards”), shall be subject to the determination, which shall be final and binding, of a majority of the whole Committee. The Committee may, in its discretion, provide for the extension of the exercisability of an Award, accelerate the vesting or exercisability of an Award, eliminate or make less restrictive any restrictions contained in an Award, waive any restriction or other provision of this Plan or an Award or otherwise amend or modify an Award in any manner that is (i) not adverse to the Non-Employee Director to whom such Award was granted, (ii) consented to by such Non-Employee Director or (iii) authorized by Section 8 hereof; provided, however, that no such action shall permit the term of any Option to be greater than ten years from the applicable grant date, or to be extended beyond the original stated term of the Option, if less than ten years, if such extension would cause the Option to be subject to adverse tax consequences under Section 409A of the Internal Revenue Code of 1986, as amended (the “Internal Revenue Code”). Notwithstanding anything to the contrary contained herein, the Committee may not amend or replace outstanding Options in a transaction that constitutes a repricing without the approval of the shareholders of the Company. For these purposes, a cancellation, exchange or other modification to an outstanding Option that occurs in connection with a merger, acquisition, spin-off or other corporate transaction, including under Section 8 hereof will not be deemed a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629920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2" w:name="page43"/>
    <w:bookmarkEnd w:id="42"/>
    <w:p>
      <w:pPr>
        <w:ind w:left="179" w:hanging="179"/>
        <w:spacing w:after="0"/>
        <w:tabs>
          <w:tab w:leader="none" w:pos="17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 w:right="159" w:firstLine="374"/>
        <w:spacing w:after="0" w:line="293" w:lineRule="auto"/>
        <w:tabs>
          <w:tab w:leader="none" w:pos="617"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Aggregate Number of Shares Available for Awards</w:t>
      </w:r>
      <w:r>
        <w:rPr>
          <w:rFonts w:ascii="Arial" w:cs="Arial" w:eastAsia="Arial" w:hAnsi="Arial"/>
          <w:sz w:val="16"/>
          <w:szCs w:val="16"/>
          <w:color w:val="auto"/>
        </w:rPr>
        <w:t>. The aggregate number of shares of the Company’s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$.01 par value (or such other par value as may be designated by act of the Company’s shareholders) (the “Common Stock”), with respect to which Options or Stock Awards may be granted under the Plan shall not exceed 1,500,000 shares (as adjusted pursuant to the 3-for-2 stock split effected by the Company on October 10, 2007); provided, that the class and aggregate number of shares which may be subject to such Options or Stock Awards granted hereunder shall be subject to adjustment in accordance with the provisions of Section 8 hereof. Such shares may be treasury shares or authorized but unissued shares.</w:t>
      </w:r>
    </w:p>
    <w:p>
      <w:pPr>
        <w:spacing w:after="0" w:line="124" w:lineRule="exact"/>
        <w:rPr>
          <w:rFonts w:ascii="Arial" w:cs="Arial" w:eastAsia="Arial" w:hAnsi="Arial"/>
          <w:sz w:val="16"/>
          <w:szCs w:val="16"/>
          <w:color w:val="auto"/>
        </w:rPr>
      </w:pPr>
    </w:p>
    <w:p>
      <w:pPr>
        <w:jc w:val="both"/>
        <w:ind w:left="-1" w:right="159" w:firstLine="374"/>
        <w:spacing w:after="0" w:line="257" w:lineRule="auto"/>
        <w:tabs>
          <w:tab w:leader="none" w:pos="627"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Expired, Terminated or Forfeited Shares</w:t>
      </w:r>
      <w:r>
        <w:rPr>
          <w:rFonts w:ascii="Arial" w:cs="Arial" w:eastAsia="Arial" w:hAnsi="Arial"/>
          <w:sz w:val="18"/>
          <w:szCs w:val="18"/>
          <w:color w:val="auto"/>
        </w:rPr>
        <w:t>. In the event that any outstanding Option or Stock Award for any reason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expire, terminate, or be forfeited by reason of (i) the death of a Non-Employee Director, (ii) the fact that the Non-Employee Director ceases to be a director, (iii) the surrender of any such Award, or (iv) any other cause, the shares of Common Stock allocable to the unexercised or unvested portion of such Option or Stock Award may again be subject to an Award under the Plan.</w:t>
      </w:r>
    </w:p>
    <w:p>
      <w:pPr>
        <w:spacing w:after="0" w:line="147" w:lineRule="exact"/>
        <w:rPr>
          <w:rFonts w:ascii="Arial" w:cs="Arial" w:eastAsia="Arial" w:hAnsi="Arial"/>
          <w:sz w:val="18"/>
          <w:szCs w:val="18"/>
          <w:color w:val="auto"/>
        </w:rPr>
      </w:pPr>
    </w:p>
    <w:p>
      <w:pPr>
        <w:ind w:left="179" w:hanging="179"/>
        <w:spacing w:after="0"/>
        <w:tabs>
          <w:tab w:leader="none" w:pos="17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 w:right="179" w:firstLine="374"/>
        <w:spacing w:after="0" w:line="264"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Grant of Options</w:t>
      </w:r>
      <w:r>
        <w:rPr>
          <w:rFonts w:ascii="Arial" w:cs="Arial" w:eastAsia="Arial" w:hAnsi="Arial"/>
          <w:sz w:val="18"/>
          <w:szCs w:val="18"/>
          <w:color w:val="auto"/>
        </w:rPr>
        <w:t>. Subject to the terms and provisions of the Plan, the Committee,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Options to a Non-Employee Director in such amounts as the Committee shall determine, in its sole and absolute discretion.</w:t>
      </w:r>
    </w:p>
    <w:p>
      <w:pPr>
        <w:spacing w:after="0" w:line="140" w:lineRule="exact"/>
        <w:rPr>
          <w:rFonts w:ascii="Arial" w:cs="Arial" w:eastAsia="Arial" w:hAnsi="Arial"/>
          <w:sz w:val="18"/>
          <w:szCs w:val="18"/>
          <w:color w:val="auto"/>
        </w:rPr>
      </w:pPr>
    </w:p>
    <w:p>
      <w:pPr>
        <w:jc w:val="both"/>
        <w:ind w:left="-1" w:right="159" w:firstLine="374"/>
        <w:spacing w:after="0" w:line="264" w:lineRule="auto"/>
        <w:tabs>
          <w:tab w:leader="none" w:pos="627"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Exercise Price of Options</w:t>
      </w:r>
      <w:r>
        <w:rPr>
          <w:rFonts w:ascii="Arial" w:cs="Arial" w:eastAsia="Arial" w:hAnsi="Arial"/>
          <w:sz w:val="18"/>
          <w:szCs w:val="18"/>
          <w:color w:val="auto"/>
        </w:rPr>
        <w:t>. The exercise price per share of Common Stock covered by an Option granted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be not less than 100% of the fair market value, as defined in paragraph (e) of this Section 4, of a share of Common Stock on the date such Option is granted.</w:t>
      </w:r>
    </w:p>
    <w:p>
      <w:pPr>
        <w:spacing w:after="0" w:line="140" w:lineRule="exact"/>
        <w:rPr>
          <w:rFonts w:ascii="Arial" w:cs="Arial" w:eastAsia="Arial" w:hAnsi="Arial"/>
          <w:sz w:val="18"/>
          <w:szCs w:val="18"/>
          <w:color w:val="auto"/>
        </w:rPr>
      </w:pPr>
    </w:p>
    <w:p>
      <w:pPr>
        <w:ind w:left="-1" w:right="159" w:firstLine="374"/>
        <w:spacing w:after="0" w:line="277"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Each Option granted under the Plan shall be exercisable for a term of ten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subject to earlier termination as provided in paragraph (g) of this Section 4.</w:t>
      </w:r>
    </w:p>
    <w:p>
      <w:pPr>
        <w:spacing w:after="0" w:line="143" w:lineRule="exact"/>
        <w:rPr>
          <w:rFonts w:ascii="Arial" w:cs="Arial" w:eastAsia="Arial" w:hAnsi="Arial"/>
          <w:sz w:val="18"/>
          <w:szCs w:val="18"/>
          <w:color w:val="auto"/>
        </w:rPr>
      </w:pPr>
    </w:p>
    <w:p>
      <w:pPr>
        <w:ind w:left="619" w:hanging="246"/>
        <w:spacing w:after="0"/>
        <w:tabs>
          <w:tab w:leader="none" w:pos="619"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Amount Exercisable</w:t>
      </w:r>
      <w:r>
        <w:rPr>
          <w:rFonts w:ascii="Arial" w:cs="Arial" w:eastAsia="Arial" w:hAnsi="Arial"/>
          <w:sz w:val="18"/>
          <w:szCs w:val="18"/>
          <w:color w:val="auto"/>
        </w:rPr>
        <w:t>. Each Option granted pursuant to the Plan shall be fully exercisable on the date of grant.</w:t>
      </w:r>
    </w:p>
    <w:p>
      <w:pPr>
        <w:spacing w:after="0" w:line="184" w:lineRule="exact"/>
        <w:rPr>
          <w:rFonts w:ascii="Arial" w:cs="Arial" w:eastAsia="Arial" w:hAnsi="Arial"/>
          <w:sz w:val="18"/>
          <w:szCs w:val="18"/>
          <w:color w:val="auto"/>
        </w:rPr>
      </w:pPr>
    </w:p>
    <w:p>
      <w:pPr>
        <w:jc w:val="both"/>
        <w:ind w:left="-1" w:right="159" w:firstLine="374"/>
        <w:spacing w:after="0" w:line="293" w:lineRule="auto"/>
        <w:tabs>
          <w:tab w:leader="none" w:pos="644"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Payment of the purchase price of the shares of Common Stock subject to an Option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may be made (i) in cash or cash equivalents (including certified check or bank check payable to the order of the Company), (ii) by tendering previously acquired shares of Common Stock (either actually or by attestation, valued at their then “fair market value”), (iii) in shares of Common Stock withheld by the Company from the shares of Common Stock otherwise issuable to the optionee as a result of the exercise of the Option, or (iv) by any combination of any the foregoing. Subject to the terms and conditions of this Plan, an Option may be exercised by written notice to the Company at its principal office, attention</w:t>
      </w: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4419" w:hanging="96"/>
        <w:spacing w:after="0"/>
        <w:tabs>
          <w:tab w:leader="none" w:pos="4419" w:val="left"/>
        </w:tabs>
        <w:numPr>
          <w:ilvl w:val="2"/>
          <w:numId w:val="1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6" w:right="1440" w:bottom="1440" w:gutter="0" w:footer="0" w:header="0"/>
        </w:sectPr>
      </w:pPr>
    </w:p>
    <w:bookmarkStart w:id="43" w:name="page44"/>
    <w:bookmarkEnd w:id="43"/>
    <w:p>
      <w:pPr>
        <w:jc w:val="both"/>
        <w:ind w:right="159"/>
        <w:spacing w:after="0" w:line="254" w:lineRule="auto"/>
        <w:rPr>
          <w:sz w:val="20"/>
          <w:szCs w:val="20"/>
          <w:color w:val="auto"/>
        </w:rPr>
      </w:pPr>
      <w:r>
        <w:rPr>
          <w:rFonts w:ascii="Arial" w:cs="Arial" w:eastAsia="Arial" w:hAnsi="Arial"/>
          <w:sz w:val="18"/>
          <w:szCs w:val="18"/>
          <w:color w:val="auto"/>
        </w:rPr>
        <w:t>of the Secretary. Such notice shall (i) state the election to exercise such Option, the number of shares in respect of which it is being exercised and the manner of payment for such shares and (ii) be signed by the person or persons so exercising such Option and, in the event such Option is being exercised pursuant to paragraph (f) of this Section 4 by any person or persons other than the optionee, accompanied by appropriate proof of the right of such person or persons to exercise such Option. If payment of the purchase price of the shares is being paid in cash or by tendering previously acquired shares of Common Stock, such notice shall be accompanied by payment of the full purchase price of such shares. All cash and Common Stock payments shall, in either case, be delivered to the Company at its principal office, attention of the Secretary. All shares issued as provided herein will be fully paid and nonassessable.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purposes of this paragraph (e), the “fair market value” of a share of Common Stock as of any particular date shall mean:</w:t>
      </w:r>
    </w:p>
    <w:p>
      <w:pPr>
        <w:spacing w:after="0" w:line="208" w:lineRule="exact"/>
        <w:rPr>
          <w:sz w:val="20"/>
          <w:szCs w:val="20"/>
          <w:color w:val="auto"/>
        </w:rPr>
      </w:pPr>
    </w:p>
    <w:p>
      <w:pPr>
        <w:jc w:val="both"/>
        <w:ind w:left="400" w:right="159" w:firstLine="348"/>
        <w:spacing w:after="0" w:line="252" w:lineRule="auto"/>
        <w:tabs>
          <w:tab w:leader="none" w:pos="975" w:val="left"/>
        </w:tabs>
        <w:numPr>
          <w:ilvl w:val="2"/>
          <w:numId w:val="20"/>
        </w:numPr>
        <w:rPr>
          <w:rFonts w:ascii="Arial" w:cs="Arial" w:eastAsia="Arial" w:hAnsi="Arial"/>
          <w:sz w:val="17"/>
          <w:szCs w:val="17"/>
          <w:color w:val="auto"/>
        </w:rPr>
      </w:pPr>
      <w:r>
        <w:rPr>
          <w:rFonts w:ascii="Arial" w:cs="Arial" w:eastAsia="Arial" w:hAnsi="Arial"/>
          <w:sz w:val="17"/>
          <w:szCs w:val="17"/>
          <w:color w:val="auto"/>
        </w:rPr>
        <w:t>if the respective shares of Common Stock are listed on any established stock exchange or a national market system, including without limitation, the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Global Select Market,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Global Market or NASDAQ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Capital Market, the fair market value will be the closing sales price of such respective shares (or the closing bid, if no sales were reported) as quoted on such system or exchange (or the exchange or system with the greatest volume of trading in the respective Shares)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 or</w:t>
      </w:r>
    </w:p>
    <w:p>
      <w:pPr>
        <w:spacing w:after="0" w:line="154" w:lineRule="exact"/>
        <w:rPr>
          <w:rFonts w:ascii="Arial" w:cs="Arial" w:eastAsia="Arial" w:hAnsi="Arial"/>
          <w:sz w:val="17"/>
          <w:szCs w:val="17"/>
          <w:color w:val="auto"/>
        </w:rPr>
      </w:pPr>
    </w:p>
    <w:p>
      <w:pPr>
        <w:jc w:val="both"/>
        <w:ind w:left="400" w:right="159" w:firstLine="348"/>
        <w:spacing w:after="0" w:line="276" w:lineRule="auto"/>
        <w:tabs>
          <w:tab w:leader="none" w:pos="1038" w:val="left"/>
        </w:tabs>
        <w:numPr>
          <w:ilvl w:val="2"/>
          <w:numId w:val="20"/>
        </w:numPr>
        <w:rPr>
          <w:rFonts w:ascii="Arial" w:cs="Arial" w:eastAsia="Arial" w:hAnsi="Arial"/>
          <w:sz w:val="17"/>
          <w:szCs w:val="17"/>
          <w:color w:val="auto"/>
        </w:rPr>
      </w:pPr>
      <w:r>
        <w:rPr>
          <w:rFonts w:ascii="Arial" w:cs="Arial" w:eastAsia="Arial" w:hAnsi="Arial"/>
          <w:sz w:val="17"/>
          <w:szCs w:val="17"/>
          <w:color w:val="auto"/>
        </w:rPr>
        <w:t>if the respective shares of Common Stock are regularly quoted on an automated quotation system (including the OTC Bulletin Board) or by a recognized securities dealer, but selling prices are not reported, the fair market value of such respective shares will be the mean between the high bid and high asked prices for such shares on the date of determination (or, if no such prices were reported on that date, on the last date such prices were reported), as reported in The Wall Street Journal or such other source as the Committee deems reliable; or</w:t>
      </w:r>
    </w:p>
    <w:p>
      <w:pPr>
        <w:spacing w:after="0" w:line="145" w:lineRule="exact"/>
        <w:rPr>
          <w:rFonts w:ascii="Arial" w:cs="Arial" w:eastAsia="Arial" w:hAnsi="Arial"/>
          <w:sz w:val="17"/>
          <w:szCs w:val="17"/>
          <w:color w:val="auto"/>
        </w:rPr>
      </w:pPr>
    </w:p>
    <w:p>
      <w:pPr>
        <w:ind w:left="1080" w:hanging="332"/>
        <w:spacing w:after="0"/>
        <w:tabs>
          <w:tab w:leader="none" w:pos="1080" w:val="left"/>
        </w:tabs>
        <w:numPr>
          <w:ilvl w:val="2"/>
          <w:numId w:val="20"/>
        </w:numPr>
        <w:rPr>
          <w:rFonts w:ascii="Arial" w:cs="Arial" w:eastAsia="Arial" w:hAnsi="Arial"/>
          <w:sz w:val="17"/>
          <w:szCs w:val="17"/>
          <w:color w:val="auto"/>
        </w:rPr>
      </w:pPr>
      <w:r>
        <w:rPr>
          <w:rFonts w:ascii="Arial" w:cs="Arial" w:eastAsia="Arial" w:hAnsi="Arial"/>
          <w:sz w:val="17"/>
          <w:szCs w:val="17"/>
          <w:color w:val="auto"/>
        </w:rPr>
        <w:t>in the absence of an established market for such respective shares of Common Stock of the type described in</w:t>
      </w:r>
    </w:p>
    <w:p>
      <w:pPr>
        <w:spacing w:after="0" w:line="34" w:lineRule="exact"/>
        <w:rPr>
          <w:rFonts w:ascii="Arial" w:cs="Arial" w:eastAsia="Arial" w:hAnsi="Arial"/>
          <w:sz w:val="17"/>
          <w:szCs w:val="17"/>
          <w:color w:val="auto"/>
        </w:rPr>
      </w:pPr>
    </w:p>
    <w:p>
      <w:pPr>
        <w:ind w:left="600" w:hanging="210"/>
        <w:spacing w:after="0"/>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and (ii), above, the fair market value thereof will be determined by the Committee in good faith.</w:t>
      </w:r>
    </w:p>
    <w:p>
      <w:pPr>
        <w:spacing w:after="0" w:line="170" w:lineRule="exact"/>
        <w:rPr>
          <w:rFonts w:ascii="Arial" w:cs="Arial" w:eastAsia="Arial" w:hAnsi="Arial"/>
          <w:sz w:val="18"/>
          <w:szCs w:val="18"/>
          <w:color w:val="auto"/>
        </w:rPr>
      </w:pPr>
    </w:p>
    <w:p>
      <w:pPr>
        <w:ind w:right="159" w:firstLine="374"/>
        <w:spacing w:after="0" w:line="277" w:lineRule="auto"/>
        <w:tabs>
          <w:tab w:leader="none" w:pos="61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Transferability of Options</w:t>
      </w:r>
      <w:r>
        <w:rPr>
          <w:rFonts w:ascii="Arial" w:cs="Arial" w:eastAsia="Arial" w:hAnsi="Arial"/>
          <w:sz w:val="18"/>
          <w:szCs w:val="18"/>
          <w:color w:val="auto"/>
        </w:rPr>
        <w:t>. Options shall not be transferable by the optionee other than by will or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descent and distribution, and shall be exercisable, during his lifetime, only by the optionee.</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420" w:hanging="96"/>
        <w:spacing w:after="0"/>
        <w:tabs>
          <w:tab w:leader="none" w:pos="4420" w:val="left"/>
        </w:tabs>
        <w:numPr>
          <w:ilvl w:val="3"/>
          <w:numId w:val="2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6" w:right="1440" w:bottom="1440" w:gutter="0" w:footer="0" w:header="0"/>
        </w:sectPr>
      </w:pPr>
    </w:p>
    <w:bookmarkStart w:id="44" w:name="page45"/>
    <w:bookmarkEnd w:id="44"/>
    <w:p>
      <w:pPr>
        <w:ind w:right="159" w:firstLine="374"/>
        <w:spacing w:after="0" w:line="277" w:lineRule="auto"/>
        <w:tabs>
          <w:tab w:leader="none" w:pos="64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Except as may be otherwise expressly provided herein, each Option, to the extent it shall not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exercised, shall terminate on the earliest of the following:</w:t>
      </w:r>
    </w:p>
    <w:p>
      <w:pPr>
        <w:spacing w:after="0" w:line="143" w:lineRule="exact"/>
        <w:rPr>
          <w:rFonts w:ascii="Arial" w:cs="Arial" w:eastAsia="Arial" w:hAnsi="Arial"/>
          <w:sz w:val="18"/>
          <w:szCs w:val="18"/>
          <w:color w:val="auto"/>
        </w:rPr>
      </w:pPr>
    </w:p>
    <w:p>
      <w:pPr>
        <w:jc w:val="both"/>
        <w:ind w:left="400" w:right="159" w:firstLine="348"/>
        <w:spacing w:after="0" w:line="264" w:lineRule="auto"/>
        <w:tabs>
          <w:tab w:leader="none" w:pos="1022"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the last day of the thirty-day period commencing on the date on which the optionee ceases to be a member of the Board, for any reason other than the death or permanent disability of the optionee or his resignation after five years of service;</w:t>
      </w:r>
    </w:p>
    <w:p>
      <w:pPr>
        <w:spacing w:after="0" w:line="140" w:lineRule="exact"/>
        <w:rPr>
          <w:rFonts w:ascii="Arial" w:cs="Arial" w:eastAsia="Arial" w:hAnsi="Arial"/>
          <w:sz w:val="18"/>
          <w:szCs w:val="18"/>
          <w:color w:val="auto"/>
        </w:rPr>
      </w:pPr>
    </w:p>
    <w:p>
      <w:pPr>
        <w:ind w:left="400" w:right="179" w:firstLine="348"/>
        <w:spacing w:after="0" w:line="277" w:lineRule="auto"/>
        <w:tabs>
          <w:tab w:leader="none" w:pos="10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on which the optionee ceases to be a member of the Board because of permanent disability;</w:t>
      </w:r>
    </w:p>
    <w:p>
      <w:pPr>
        <w:spacing w:after="0" w:line="129" w:lineRule="exact"/>
        <w:rPr>
          <w:rFonts w:ascii="Arial" w:cs="Arial" w:eastAsia="Arial" w:hAnsi="Arial"/>
          <w:sz w:val="18"/>
          <w:szCs w:val="18"/>
          <w:color w:val="auto"/>
        </w:rPr>
      </w:pPr>
    </w:p>
    <w:p>
      <w:pPr>
        <w:jc w:val="both"/>
        <w:ind w:left="400" w:right="179" w:firstLine="348"/>
        <w:spacing w:after="0" w:line="257" w:lineRule="auto"/>
        <w:tabs>
          <w:tab w:leader="none" w:pos="1019"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of the optionee’s death while serving as a member of the Board (during which period the executor or administrator of the optionee’s estate or the person or persons to whom the optionee’s Option shall have been transferred by will or the laws of descent or distribution, shall be entitled to exercise the Option in respect of the number of shares that the optionee would have been entitled to purchase had the optionee exercised the Option on the date of his death);</w:t>
      </w:r>
    </w:p>
    <w:p>
      <w:pPr>
        <w:spacing w:after="0" w:line="161" w:lineRule="exact"/>
        <w:rPr>
          <w:rFonts w:ascii="Arial" w:cs="Arial" w:eastAsia="Arial" w:hAnsi="Arial"/>
          <w:sz w:val="18"/>
          <w:szCs w:val="18"/>
          <w:color w:val="auto"/>
        </w:rPr>
      </w:pPr>
    </w:p>
    <w:p>
      <w:pPr>
        <w:ind w:left="400" w:right="179" w:firstLine="348"/>
        <w:spacing w:after="0" w:line="277" w:lineRule="auto"/>
        <w:tabs>
          <w:tab w:leader="none" w:pos="10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the last day of the one-year period commencing on the date an optionee who has had at least five years of service on the Board resigns from the Board; and</w:t>
      </w:r>
    </w:p>
    <w:p>
      <w:pPr>
        <w:spacing w:after="0" w:line="129" w:lineRule="exact"/>
        <w:rPr>
          <w:rFonts w:ascii="Arial" w:cs="Arial" w:eastAsia="Arial" w:hAnsi="Arial"/>
          <w:sz w:val="18"/>
          <w:szCs w:val="18"/>
          <w:color w:val="auto"/>
        </w:rPr>
      </w:pPr>
    </w:p>
    <w:p>
      <w:pPr>
        <w:ind w:left="1040" w:hanging="261"/>
        <w:spacing w:after="0"/>
        <w:tabs>
          <w:tab w:leader="none" w:pos="10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Ten years after the date of grant of such Option.</w:t>
      </w:r>
    </w:p>
    <w:p>
      <w:pPr>
        <w:spacing w:after="0" w:line="185" w:lineRule="exact"/>
        <w:rPr>
          <w:sz w:val="20"/>
          <w:szCs w:val="20"/>
          <w:color w:val="auto"/>
        </w:rPr>
      </w:pPr>
    </w:p>
    <w:p>
      <w:pPr>
        <w:ind w:right="179" w:firstLine="373"/>
        <w:spacing w:after="0" w:line="277" w:lineRule="auto"/>
        <w:rPr>
          <w:sz w:val="20"/>
          <w:szCs w:val="20"/>
          <w:color w:val="auto"/>
        </w:rPr>
      </w:pPr>
      <w:r>
        <w:rPr>
          <w:rFonts w:ascii="Arial" w:cs="Arial" w:eastAsia="Arial" w:hAnsi="Arial"/>
          <w:sz w:val="18"/>
          <w:szCs w:val="18"/>
          <w:color w:val="auto"/>
        </w:rPr>
        <w:t>Unless otherwise specifically provided in an Award agreement, for purposes of this paragraph (g), “permanent disability” means permanent and total disability within the meaning of section 22(e)(3) of the Internal Revenue Code.</w:t>
      </w:r>
    </w:p>
    <w:p>
      <w:pPr>
        <w:spacing w:after="0" w:line="143" w:lineRule="exact"/>
        <w:rPr>
          <w:sz w:val="20"/>
          <w:szCs w:val="20"/>
          <w:color w:val="auto"/>
        </w:rPr>
      </w:pPr>
    </w:p>
    <w:p>
      <w:pPr>
        <w:jc w:val="both"/>
        <w:ind w:right="159" w:firstLine="374"/>
        <w:spacing w:after="0" w:line="259" w:lineRule="auto"/>
        <w:tabs>
          <w:tab w:leader="none" w:pos="642"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No Rights as Shareholder</w:t>
      </w:r>
      <w:r>
        <w:rPr>
          <w:rFonts w:ascii="Arial" w:cs="Arial" w:eastAsia="Arial" w:hAnsi="Arial"/>
          <w:sz w:val="18"/>
          <w:szCs w:val="18"/>
          <w:color w:val="auto"/>
        </w:rPr>
        <w:t>. No optionee shall have rights as a shareholder with respect to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by an Option until shares are issued to the optionee upon the exercise of such Option; and, except as otherwise provided in Section 8 hereof, no adjustment for dividends, or otherwise, shall be made if the record date therefor is prior to the date of issuance of such shares.</w:t>
      </w:r>
    </w:p>
    <w:p>
      <w:pPr>
        <w:spacing w:after="0" w:line="146" w:lineRule="exact"/>
        <w:rPr>
          <w:rFonts w:ascii="Arial" w:cs="Arial" w:eastAsia="Arial" w:hAnsi="Arial"/>
          <w:sz w:val="18"/>
          <w:szCs w:val="18"/>
          <w:color w:val="auto"/>
        </w:rPr>
      </w:pPr>
    </w:p>
    <w:p>
      <w:pPr>
        <w:ind w:left="180" w:hanging="179"/>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Stock Awards.</w:t>
      </w:r>
    </w:p>
    <w:p>
      <w:pPr>
        <w:spacing w:after="0" w:line="184" w:lineRule="exact"/>
        <w:rPr>
          <w:rFonts w:ascii="Arial" w:cs="Arial" w:eastAsia="Arial" w:hAnsi="Arial"/>
          <w:sz w:val="18"/>
          <w:szCs w:val="18"/>
          <w:color w:val="auto"/>
        </w:rPr>
      </w:pPr>
    </w:p>
    <w:p>
      <w:pPr>
        <w:jc w:val="both"/>
        <w:ind w:right="179" w:firstLine="374"/>
        <w:spacing w:after="0" w:line="259" w:lineRule="auto"/>
        <w:tabs>
          <w:tab w:leader="none" w:pos="618"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Grant of a Stock Award</w:t>
      </w:r>
      <w:r>
        <w:rPr>
          <w:rFonts w:ascii="Arial" w:cs="Arial" w:eastAsia="Arial" w:hAnsi="Arial"/>
          <w:sz w:val="18"/>
          <w:szCs w:val="18"/>
          <w:color w:val="auto"/>
        </w:rPr>
        <w:t>. Subject to the terms and provisions of the Plan, the Committee, at any time and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may grant a Stock Award in the form of an outright grant of shares of Common Stock or in the form of restricted stock (“Restricted Stock Awards”) to a Non-Employee Director in such amounts as the Committee shall determine, in its sole and absolute discretion.</w:t>
      </w:r>
    </w:p>
    <w:p>
      <w:pPr>
        <w:spacing w:after="0" w:line="159" w:lineRule="exact"/>
        <w:rPr>
          <w:rFonts w:ascii="Arial" w:cs="Arial" w:eastAsia="Arial" w:hAnsi="Arial"/>
          <w:sz w:val="18"/>
          <w:szCs w:val="18"/>
          <w:color w:val="auto"/>
        </w:rPr>
      </w:pPr>
    </w:p>
    <w:p>
      <w:pPr>
        <w:jc w:val="both"/>
        <w:ind w:right="159" w:firstLine="374"/>
        <w:spacing w:after="0" w:line="293" w:lineRule="auto"/>
        <w:tabs>
          <w:tab w:leader="none" w:pos="642"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Award Restrictions</w:t>
      </w:r>
      <w:r>
        <w:rPr>
          <w:rFonts w:ascii="Arial" w:cs="Arial" w:eastAsia="Arial" w:hAnsi="Arial"/>
          <w:sz w:val="16"/>
          <w:szCs w:val="16"/>
          <w:color w:val="auto"/>
        </w:rPr>
        <w:t>. The Committee may impose such terms, conditions, and/or restrictions as the Committee deems</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on any Restricted Stock Award. Such terms, conditions, and/or restrictions may include, but not be limited to, the requirement that a Non-Employee Director pay a purchase price for each share of Common Stock subject to the Award, restrictions on transferability, requirements regarding continued service as a member of the Board or other time-based restrictions, or the achievement of individual performance goals or attainment of pre-established performance targets. The period of vesting and the lapsing of any applicable forfeiture restrictions shall be established by the Committee at the time of grant.</w:t>
      </w:r>
    </w:p>
    <w:p>
      <w:pPr>
        <w:spacing w:after="0" w:line="200" w:lineRule="exact"/>
        <w:rPr>
          <w:rFonts w:ascii="Arial" w:cs="Arial" w:eastAsia="Arial" w:hAnsi="Arial"/>
          <w:sz w:val="16"/>
          <w:szCs w:val="16"/>
          <w:color w:val="auto"/>
        </w:rPr>
      </w:pPr>
    </w:p>
    <w:p>
      <w:pPr>
        <w:spacing w:after="0" w:line="316" w:lineRule="exact"/>
        <w:rPr>
          <w:rFonts w:ascii="Arial" w:cs="Arial" w:eastAsia="Arial" w:hAnsi="Arial"/>
          <w:sz w:val="16"/>
          <w:szCs w:val="16"/>
          <w:color w:val="auto"/>
        </w:rPr>
      </w:pPr>
    </w:p>
    <w:p>
      <w:pPr>
        <w:ind w:left="4420" w:hanging="96"/>
        <w:spacing w:after="0"/>
        <w:tabs>
          <w:tab w:leader="none" w:pos="4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45" w:name="page46"/>
    <w:bookmarkEnd w:id="45"/>
    <w:p>
      <w:pPr>
        <w:jc w:val="both"/>
        <w:ind w:left="-1" w:right="159" w:firstLine="374"/>
        <w:spacing w:after="0" w:line="289" w:lineRule="auto"/>
        <w:tabs>
          <w:tab w:leader="none" w:pos="63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as may otherwise be provided by the Committee or the terms of any Restricted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shares subject to a Restricted Stock Award shall generally not be transferable until all forfeiture restrictions applicable to such Restricted Stock Award have lapsed or, in the sole and absolute discretion of the Committee, cancelled. Once the forfeiture restrictions have lapsed or been cancelled, the shares of Common Stock that were subject to the Restricted Stock Award shall, subject to any restrictions under applicable securities laws, become freely transferable. Any Restricted Stock Award granted under the Plan may be evidenced in such manner as the Committee deems appropriate, including, without limitation, book entry registration or issuance of a stock certificate or certificates. The Company may retain the certificates, if any, representing the shares of Common Stock that are subject to a Restricted Stock Award in the Company’s possession until such time as all conditions and/or restrictions applicable to such shares of Common Stock have been satisfied.</w:t>
      </w:r>
    </w:p>
    <w:p>
      <w:pPr>
        <w:spacing w:after="0" w:line="139" w:lineRule="exact"/>
        <w:rPr>
          <w:rFonts w:ascii="Arial" w:cs="Arial" w:eastAsia="Arial" w:hAnsi="Arial"/>
          <w:sz w:val="16"/>
          <w:szCs w:val="16"/>
          <w:color w:val="auto"/>
        </w:rPr>
      </w:pPr>
    </w:p>
    <w:p>
      <w:pPr>
        <w:jc w:val="both"/>
        <w:ind w:left="-1" w:right="159" w:firstLine="374"/>
        <w:spacing w:after="0" w:line="279" w:lineRule="auto"/>
        <w:tabs>
          <w:tab w:leader="none" w:pos="641"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Rights as Shareholders</w:t>
      </w:r>
      <w:r>
        <w:rPr>
          <w:rFonts w:ascii="Arial" w:cs="Arial" w:eastAsia="Arial" w:hAnsi="Arial"/>
          <w:sz w:val="17"/>
          <w:szCs w:val="17"/>
          <w:color w:val="auto"/>
        </w:rPr>
        <w:t>. During the period in which any restricted shares of Common Stock are subject to forfeiture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imposed under paragraph (b) of this Section 5, the Committee may, in its sole discretion, grant to the Non-Employee Director to whom such restricted shares have been awarded, all or any of the rights of a shareholder with respect to such shares, including, but not limited to, the right to vote such shares and to receive dividends.</w:t>
      </w:r>
    </w:p>
    <w:p>
      <w:pPr>
        <w:spacing w:after="0" w:line="130" w:lineRule="exact"/>
        <w:rPr>
          <w:rFonts w:ascii="Arial" w:cs="Arial" w:eastAsia="Arial" w:hAnsi="Arial"/>
          <w:sz w:val="17"/>
          <w:szCs w:val="17"/>
          <w:color w:val="auto"/>
        </w:rPr>
      </w:pPr>
    </w:p>
    <w:p>
      <w:pPr>
        <w:jc w:val="both"/>
        <w:ind w:left="-381" w:right="159" w:firstLine="381"/>
        <w:spacing w:after="0" w:line="257" w:lineRule="auto"/>
        <w:tabs>
          <w:tab w:leader="none" w:pos="20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Written Agreement</w:t>
      </w:r>
      <w:r>
        <w:rPr>
          <w:rFonts w:ascii="Arial" w:cs="Arial" w:eastAsia="Arial" w:hAnsi="Arial"/>
          <w:sz w:val="18"/>
          <w:szCs w:val="18"/>
          <w:color w:val="auto"/>
        </w:rPr>
        <w:t>. Each Option or Stock Award granted hereunder shall be, to the extent necessary, embodied in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which shall be subject to the terms and conditions of this Plan, as applicable, and shall be signed by the Non-Employee Director and by the appropriate officer of the Company for and in the name and on behalf of the Company. Such an Award agreement shall contain the specific terms applicable to the Non-Employee Director’s Award and shall contain such other provisions as the Committee in its sole discretion shall deem advisable.</w:t>
      </w:r>
    </w:p>
    <w:p>
      <w:pPr>
        <w:spacing w:after="0" w:line="147" w:lineRule="exact"/>
        <w:rPr>
          <w:rFonts w:ascii="Arial" w:cs="Arial" w:eastAsia="Arial" w:hAnsi="Arial"/>
          <w:sz w:val="18"/>
          <w:szCs w:val="18"/>
          <w:color w:val="auto"/>
        </w:rPr>
      </w:pPr>
    </w:p>
    <w:p>
      <w:pPr>
        <w:jc w:val="both"/>
        <w:ind w:left="-381" w:right="159" w:firstLine="381"/>
        <w:spacing w:after="0" w:line="288" w:lineRule="auto"/>
        <w:tabs>
          <w:tab w:leader="none" w:pos="18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Requirements of Law</w:t>
      </w:r>
      <w:r>
        <w:rPr>
          <w:rFonts w:ascii="Arial" w:cs="Arial" w:eastAsia="Arial" w:hAnsi="Arial"/>
          <w:sz w:val="16"/>
          <w:szCs w:val="16"/>
          <w:color w:val="auto"/>
        </w:rPr>
        <w:t>. The Company shall not be required to sell or issue any shares under any Option or Stock Award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shares shall constitute a violation by the Non-Employee Director or the Company of any provisions of any law or regulation of any governmental authority. Each Option and Stock Award granted under the Plan shall be subject to the requirement that, if at any time the Board or the Committee shall determine that the listing, registration or qualification of the shares subject thereto upon any securities exchange or under any state or federal law of the United States or of any other country or governmental subdivision thereof, or the consent or approval of any governmental regulatory body, or investment or other representations, are necessary or desirable in connection with the issue or purchase of shares subject thereto, no such Option or Stock Award may be exercised in whole or in part unless such listing, registration, qualification, consent, approval or representation shall have been effected or obtained free of any conditions not acceptable to the Board. If required at any time by the Board or the Committee, an Option may not be exercised and any restrictions applicable to a Stock Award shall not lapse until the Non-Employee Director has</w:t>
      </w:r>
    </w:p>
    <w:p>
      <w:pPr>
        <w:spacing w:after="0" w:line="200" w:lineRule="exact"/>
        <w:rPr>
          <w:rFonts w:ascii="Arial" w:cs="Arial" w:eastAsia="Arial" w:hAnsi="Arial"/>
          <w:sz w:val="16"/>
          <w:szCs w:val="16"/>
          <w:color w:val="auto"/>
        </w:rPr>
      </w:pPr>
    </w:p>
    <w:p>
      <w:pPr>
        <w:spacing w:after="0" w:line="333" w:lineRule="exact"/>
        <w:rPr>
          <w:rFonts w:ascii="Arial" w:cs="Arial" w:eastAsia="Arial" w:hAnsi="Arial"/>
          <w:sz w:val="16"/>
          <w:szCs w:val="16"/>
          <w:color w:val="auto"/>
        </w:rPr>
      </w:pPr>
    </w:p>
    <w:p>
      <w:pPr>
        <w:ind w:left="4419" w:hanging="96"/>
        <w:spacing w:after="0"/>
        <w:tabs>
          <w:tab w:leader="none" w:pos="4419" w:val="left"/>
        </w:tabs>
        <w:numPr>
          <w:ilvl w:val="2"/>
          <w:numId w:val="2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5" w:right="1440" w:bottom="1440" w:gutter="0" w:footer="0" w:header="0"/>
        </w:sectPr>
      </w:pPr>
    </w:p>
    <w:bookmarkStart w:id="46" w:name="page47"/>
    <w:bookmarkEnd w:id="46"/>
    <w:p>
      <w:pPr>
        <w:jc w:val="both"/>
        <w:ind w:right="159"/>
        <w:spacing w:after="0" w:line="253" w:lineRule="auto"/>
        <w:rPr>
          <w:sz w:val="20"/>
          <w:szCs w:val="20"/>
          <w:color w:val="auto"/>
        </w:rPr>
      </w:pPr>
      <w:r>
        <w:rPr>
          <w:rFonts w:ascii="Arial" w:cs="Arial" w:eastAsia="Arial" w:hAnsi="Arial"/>
          <w:sz w:val="18"/>
          <w:szCs w:val="18"/>
          <w:color w:val="auto"/>
        </w:rPr>
        <w:t>delivered an investment letter to the Company. In addition, specifically in connection with the Securities Act of 1933 (as now in effect or hereafter amended), upon exercise of any Option, or the lapsing of any restrictions applicable to a Stock Award, the Company shall not be required to issue the underlying shares unless the Committee has received evidence satisfactory to it to the effect that the holder of such Award will not transfer such shares except pursuant to a registration statement in effect under such Act or unless an opinion of counsel satisfactory to the Company has been received by the Committee to the effect that such registration is not required. Any determination in this regard by the Committee shall be final, binding and conclusive. In the event the shares issuable on exercise of an Option or Stock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170"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The shares of stock represented by this certificate have not been registered under the Securities Act of 1933 or under the securities laws of any state and may not be sold or transferred except upon such registration or upon receipt by Rush Enterprises, Inc., a Texas corporation (the “Corporation”) of an opinion of counsel satisfactory, in form and substance, to the Corporation that registration is not required for such sale or transfer.</w:t>
      </w:r>
    </w:p>
    <w:p>
      <w:pPr>
        <w:spacing w:after="0" w:line="146"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The Company may, but shall in no event be obligated to, register any securities covered hereby pursuant to the Securities Act of 1933 (as now in effect or as hereafter amended) and, in the event any shares are so registered, the Company may remove any legend on certificates representing such shares. The Company shall not be obligated to take any other affirmative action in order to cause the exercise of an Option or the issuance of shares pursuant thereto, or pursuant to the terms of a Stock Award to comply with any law or regulation of any governmental authority.</w:t>
      </w:r>
    </w:p>
    <w:p>
      <w:pPr>
        <w:spacing w:after="0" w:line="148" w:lineRule="exact"/>
        <w:rPr>
          <w:sz w:val="20"/>
          <w:szCs w:val="20"/>
          <w:color w:val="auto"/>
        </w:rPr>
      </w:pPr>
    </w:p>
    <w:p>
      <w:pPr>
        <w:jc w:val="both"/>
        <w:ind w:right="159" w:firstLine="381"/>
        <w:spacing w:after="0" w:line="287" w:lineRule="auto"/>
        <w:tabs>
          <w:tab w:leader="none" w:pos="56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Changes in the Company’s Capital Structure</w:t>
      </w:r>
      <w:r>
        <w:rPr>
          <w:rFonts w:ascii="Arial" w:cs="Arial" w:eastAsia="Arial" w:hAnsi="Arial"/>
          <w:sz w:val="16"/>
          <w:szCs w:val="16"/>
          <w:color w:val="auto"/>
        </w:rPr>
        <w:t>. In the event of any stock dividends, stock splits, recapitalizations,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exchanges of shares, mergers, consolidation, liquidations, split-ups, split-offs, spin-offs, or other similar changes in capitalization, or any distribution to shareholders, including a rights offering, other than regular cash dividends, changes in the outstanding stock of the Company by reason of any increase or decrease in the number of issued shares of Common Stock resulting from a split-up or consolidation of shares or any similar capital adjustment or the payment of any stock dividend, any share repurchase at a price in excess of the market price of the Common Stock at the time such repurchase is announced or other increase or decrease in the number of such shares, the Committee shall make appropriate adjustment (a) in the aggregate number and kind of shares authorized by the Plan and (b) in the number, kind and price, as applicable, of any outstanding Awards granted under the Plan (or, if deemed appropriate, the Committee may, where applicable, make provision for a payment of cash or property to the holder in cancellation of an outstanding Award with respect to which Common Stock has not been previously issued); provided, however, that no such adjustment shall increase the aggregate value of any outstanding Option or Stock Award.</w:t>
      </w:r>
    </w:p>
    <w:p>
      <w:pPr>
        <w:spacing w:after="0" w:line="146" w:lineRule="exact"/>
        <w:rPr>
          <w:sz w:val="20"/>
          <w:szCs w:val="20"/>
          <w:color w:val="auto"/>
        </w:rPr>
      </w:pPr>
    </w:p>
    <w:p>
      <w:pPr>
        <w:ind w:right="159" w:firstLine="389"/>
        <w:spacing w:after="0" w:line="308" w:lineRule="auto"/>
        <w:rPr>
          <w:sz w:val="20"/>
          <w:szCs w:val="20"/>
          <w:color w:val="auto"/>
        </w:rPr>
      </w:pPr>
      <w:r>
        <w:rPr>
          <w:rFonts w:ascii="Arial" w:cs="Arial" w:eastAsia="Arial" w:hAnsi="Arial"/>
          <w:sz w:val="17"/>
          <w:szCs w:val="17"/>
          <w:color w:val="auto"/>
        </w:rPr>
        <w:t>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7" w:name="page48"/>
    <w:bookmarkEnd w:id="47"/>
    <w:p>
      <w:pPr>
        <w:jc w:val="both"/>
        <w:ind w:left="-381" w:right="159" w:firstLine="381"/>
        <w:spacing w:after="0" w:line="287" w:lineRule="auto"/>
        <w:tabs>
          <w:tab w:leader="none" w:pos="20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Amendment or Termination of Plan</w:t>
      </w:r>
      <w:r>
        <w:rPr>
          <w:rFonts w:ascii="Arial" w:cs="Arial" w:eastAsia="Arial" w:hAnsi="Arial"/>
          <w:sz w:val="16"/>
          <w:szCs w:val="16"/>
          <w:color w:val="auto"/>
        </w:rPr>
        <w:t>. The Board may at any time and from time to time modify, revise or amend the Plan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respects as the Board may deem advisable in order that Options or Stock Awards granted hereunder may conform to any changes in the law or in any other respect that the Board may deem to be in the best interests of the Company; provided, however, that without approval by the shareholders of the Company, no such amendment shall make any change in the Plan for which shareholder approval is required in order to comply with any rules for listed companies promulgated by any national securities exchange on which the Common Stock is traded or any other applicable rule or law. All Options and Stock Awards granted under the Plan shall be subject to the terms and provisions of the Plan and, except as otherwise provided in the Plan, any amendment, modification or revision of the Plan shall be deemed to amend, modify or revise all Options and Stock Awards outstanding under the Plan at the time of the amendment, modification or revision. The Board may terminate the Plan at any time. The rights of any Non-Employee Director with respect to any Award granted under the Plan that is outstanding at the time of the termination of the Plan shall not be affected solely by reason of the termination of the Plan and shall continue in accordance with the terms of the Award and of the Plan.</w:t>
      </w:r>
    </w:p>
    <w:p>
      <w:pPr>
        <w:spacing w:after="0" w:line="145" w:lineRule="exact"/>
        <w:rPr>
          <w:rFonts w:ascii="Arial" w:cs="Arial" w:eastAsia="Arial" w:hAnsi="Arial"/>
          <w:sz w:val="16"/>
          <w:szCs w:val="16"/>
          <w:color w:val="auto"/>
        </w:rPr>
      </w:pPr>
    </w:p>
    <w:p>
      <w:pPr>
        <w:jc w:val="both"/>
        <w:ind w:left="-381" w:right="159" w:firstLine="381"/>
        <w:spacing w:after="0" w:line="285"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Indemnification of Committee</w:t>
      </w:r>
      <w:r>
        <w:rPr>
          <w:rFonts w:ascii="Arial" w:cs="Arial" w:eastAsia="Arial" w:hAnsi="Arial"/>
          <w:sz w:val="16"/>
          <w:szCs w:val="16"/>
          <w:color w:val="auto"/>
        </w:rPr>
        <w:t>. The Company shall indemnify each present and future member of the Committee against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suit or proceeding in which he may be involved by reason of his being or having been a member of the Committee. Each member of the Committee shall be entitled, without further act on his part, to indemnity from the Company for all expenses (including the amount of judgments and the amount of approved settlements made with a view to the curtailment of costs of litigation, other than amounts paid to the Company itself) reasonably incurred by him in connection with or arising out of any action, suit or proceeding in which he may be involved by reason of his being or having been a member of the Committee, whether or not he continues to be such member of the Committee at the time of incurring such expenses. Such indemnity, however, shall not include any expenses incurred by any such member of the Committee (i) in respect of matters as to which he shall be finally adjudged in any such action, suit or proceeding to have been guilty of gross negligence or willful misconduct in the performance of his duty as such member of the Committee, or (ii) in respect of any matter in which any settlement is effected, to an amount in excess of the amount approved by the Company on the advice of its legal counsel. No right of indemnification under the provisions set forth herein shall be available to or enforceable by any such member of the Committee unless, within sixty (60) days after institution of any such action, suit or proceeding, he shall have offered the Company, in writing, the opportunity to handle and defend same at its own expense. The foregoing right of indemnification shall inure to the benefit of the heirs, executors or administrators of each such member of the Committee and shall be in addition to all other rights to which such member of the Committee may be entitled to as a matter of law, contract, or otherwise. Nothing in this Section 10 shall be construed to limit or otherwise affect any right to indemnification, or payment of expense, or any provisions limiting the liability of any officer or director of the Company or any member of the Committee, provided by law, the Articles of Incorporation of the Company or otherwise.</w:t>
      </w:r>
    </w:p>
    <w:p>
      <w:pPr>
        <w:spacing w:after="0" w:line="346" w:lineRule="exact"/>
        <w:rPr>
          <w:rFonts w:ascii="Arial" w:cs="Arial" w:eastAsia="Arial" w:hAnsi="Arial"/>
          <w:sz w:val="16"/>
          <w:szCs w:val="16"/>
          <w:color w:val="auto"/>
        </w:rPr>
      </w:pPr>
    </w:p>
    <w:p>
      <w:pPr>
        <w:ind w:left="-381" w:right="159" w:firstLine="381"/>
        <w:spacing w:after="0" w:line="282"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Effective Date of Plan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as amended and restated shall become effective upon its approval by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4419" w:hanging="96"/>
        <w:spacing w:after="0"/>
        <w:tabs>
          <w:tab w:leader="none" w:pos="44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9498"/>
          </w:cols>
          <w:pgMar w:left="961" w:top="936" w:right="1440" w:bottom="1440" w:gutter="0" w:footer="0" w:header="0"/>
        </w:sectPr>
      </w:pPr>
    </w:p>
    <w:bookmarkStart w:id="48" w:name="page49"/>
    <w:bookmarkEnd w:id="48"/>
    <w:p>
      <w:pPr>
        <w:jc w:val="right"/>
        <w:ind w:right="159"/>
        <w:spacing w:after="0"/>
        <w:rPr>
          <w:sz w:val="20"/>
          <w:szCs w:val="20"/>
          <w:color w:val="auto"/>
        </w:rPr>
      </w:pPr>
      <w:r>
        <w:rPr>
          <w:rFonts w:ascii="Arial" w:cs="Arial" w:eastAsia="Arial" w:hAnsi="Arial"/>
          <w:sz w:val="18"/>
          <w:szCs w:val="18"/>
          <w:u w:val="single" w:color="auto"/>
          <w:color w:val="auto"/>
        </w:rPr>
        <w:t>EXHIBIT 31.1</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November 9, 2010</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By: /s/ W.M. “RUSTY” RUSH</w:t>
            </w:r>
          </w:p>
        </w:tc>
      </w:tr>
      <w:tr>
        <w:trPr>
          <w:trHeight w:val="195"/>
        </w:trPr>
        <w:tc>
          <w:tcPr>
            <w:tcW w:w="3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49" w:name="page50"/>
    <w:bookmarkEnd w:id="49"/>
    <w:p>
      <w:pPr>
        <w:jc w:val="right"/>
        <w:ind w:right="159"/>
        <w:spacing w:after="0"/>
        <w:rPr>
          <w:sz w:val="20"/>
          <w:szCs w:val="20"/>
          <w:color w:val="auto"/>
        </w:rPr>
      </w:pPr>
      <w:r>
        <w:rPr>
          <w:rFonts w:ascii="Arial" w:cs="Arial" w:eastAsia="Arial" w:hAnsi="Arial"/>
          <w:sz w:val="18"/>
          <w:szCs w:val="18"/>
          <w:u w:val="single" w:color="auto"/>
          <w:color w:val="auto"/>
        </w:rPr>
        <w:t>EXHIBIT 31.2</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November 9, 2010</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STEVEN L. KELLER</w:t>
            </w:r>
          </w:p>
        </w:tc>
      </w:tr>
      <w:tr>
        <w:trPr>
          <w:trHeight w:val="195"/>
        </w:trPr>
        <w:tc>
          <w:tcPr>
            <w:tcW w:w="3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3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ectPr>
          <w:pgSz w:w="11900" w:h="16838" w:orient="portrait"/>
          <w:cols w:equalWidth="0" w:num="1">
            <w:col w:w="9887"/>
          </w:cols>
          <w:pgMar w:left="572" w:top="125" w:right="1440" w:bottom="1440" w:gutter="0" w:footer="0" w:header="0"/>
        </w:sectPr>
      </w:pPr>
    </w:p>
    <w:bookmarkStart w:id="50" w:name="page51"/>
    <w:bookmarkEnd w:id="50"/>
    <w:p>
      <w:pPr>
        <w:ind w:left="8640"/>
        <w:spacing w:after="0"/>
        <w:rPr>
          <w:sz w:val="20"/>
          <w:szCs w:val="20"/>
          <w:color w:val="auto"/>
        </w:rPr>
      </w:pPr>
      <w:r>
        <w:rPr>
          <w:rFonts w:ascii="Arial" w:cs="Arial" w:eastAsia="Arial" w:hAnsi="Arial"/>
          <w:sz w:val="17"/>
          <w:szCs w:val="17"/>
          <w:u w:val="single" w:color="auto"/>
          <w:color w:val="auto"/>
        </w:rPr>
        <w:t>EXHIBIT 32.1</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W.M. “RUSTY” RUSH</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Date:</w:t>
        <w:tab/>
        <w:t>November 9, 2010</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51" w:name="page52"/>
    <w:bookmarkEnd w:id="51"/>
    <w:p>
      <w:pPr>
        <w:ind w:left="8640"/>
        <w:spacing w:after="0"/>
        <w:rPr>
          <w:sz w:val="20"/>
          <w:szCs w:val="20"/>
          <w:color w:val="auto"/>
        </w:rPr>
      </w:pPr>
      <w:r>
        <w:rPr>
          <w:rFonts w:ascii="Arial" w:cs="Arial" w:eastAsia="Arial" w:hAnsi="Arial"/>
          <w:sz w:val="17"/>
          <w:szCs w:val="17"/>
          <w:u w:val="single" w:color="auto"/>
          <w:color w:val="auto"/>
        </w:rPr>
        <w:t>EXHIBIT 32.2</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-130810</wp:posOffset>
            </wp:positionV>
            <wp:extent cx="25126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440"/>
        <w:spacing w:after="0"/>
        <w:tabs>
          <w:tab w:leader="none" w:pos="5000" w:val="left"/>
        </w:tabs>
        <w:rPr>
          <w:sz w:val="20"/>
          <w:szCs w:val="20"/>
          <w:color w:val="auto"/>
        </w:rPr>
      </w:pPr>
      <w:r>
        <w:rPr>
          <w:rFonts w:ascii="Arial" w:cs="Arial" w:eastAsia="Arial" w:hAnsi="Arial"/>
          <w:sz w:val="18"/>
          <w:szCs w:val="18"/>
          <w:color w:val="auto"/>
        </w:rPr>
        <w:t>Title:</w:t>
        <w:tab/>
        <w:t>Vice President and Chief Financial Officer</w:t>
      </w:r>
    </w:p>
    <w:p>
      <w:pPr>
        <w:spacing w:after="0" w:line="9" w:lineRule="exact"/>
        <w:rPr>
          <w:sz w:val="20"/>
          <w:szCs w:val="20"/>
          <w:color w:val="auto"/>
        </w:rPr>
      </w:pPr>
    </w:p>
    <w:p>
      <w:pPr>
        <w:ind w:left="4440"/>
        <w:spacing w:after="0"/>
        <w:tabs>
          <w:tab w:leader="none" w:pos="5000" w:val="left"/>
        </w:tabs>
        <w:rPr>
          <w:sz w:val="20"/>
          <w:szCs w:val="20"/>
          <w:color w:val="auto"/>
        </w:rPr>
      </w:pPr>
      <w:r>
        <w:rPr>
          <w:rFonts w:ascii="Arial" w:cs="Arial" w:eastAsia="Arial" w:hAnsi="Arial"/>
          <w:sz w:val="18"/>
          <w:szCs w:val="18"/>
          <w:color w:val="auto"/>
        </w:rPr>
        <w:t>Date:</w:t>
        <w:tab/>
        <w:t>November 9, 2010</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4"/>
    </w:lvl>
    <w:lvl w:ilvl="1">
      <w:lvlJc w:val="left"/>
      <w:lvlText w:val="(%2)"/>
      <w:numFmt w:val="lowerLetter"/>
      <w:start w:val="1"/>
    </w:lvl>
  </w:abstractNum>
  <w:abstractNum w:abstractNumId="9">
    <w:nsid w:val="333AB105"/>
    <w:multiLevelType w:val="hybridMultilevel"/>
    <w:lvl w:ilvl="0">
      <w:lvlJc w:val="left"/>
      <w:lvlText w:val="%1."/>
      <w:numFmt w:val="decimal"/>
      <w:start w:val="5"/>
    </w:lvl>
    <w:lvl w:ilvl="1">
      <w:lvlJc w:val="left"/>
      <w:lvlText w:val="-"/>
      <w:numFmt w:val="bullet"/>
      <w:start w:val="1"/>
    </w:lvl>
  </w:abstractNum>
  <w:abstractNum w:abstractNumId="10">
    <w:nsid w:val="721DA317"/>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1">
    <w:nsid w:val="2443A858"/>
    <w:multiLevelType w:val="hybridMultilevel"/>
    <w:lvl w:ilvl="0">
      <w:lvlJc w:val="left"/>
      <w:lvlText w:val="%1"/>
      <w:numFmt w:val="decimal"/>
      <w:start w:val="1"/>
    </w:lvl>
    <w:lvl w:ilvl="1">
      <w:lvlJc w:val="left"/>
      <w:lvlText w:val="(%2)"/>
      <w:numFmt w:val="lowerLetter"/>
      <w:start w:val="2"/>
    </w:lvl>
  </w:abstractNum>
  <w:abstractNum w:abstractNumId="12">
    <w:nsid w:val="2D1D5AE9"/>
    <w:multiLevelType w:val="hybridMultilevel"/>
    <w:lvl w:ilvl="0">
      <w:lvlJc w:val="left"/>
      <w:lvlText w:val="%1."/>
      <w:numFmt w:val="decimal"/>
      <w:start w:val="10"/>
    </w:lvl>
    <w:lvl w:ilvl="1">
      <w:lvlJc w:val="left"/>
      <w:lvlText w:val="%2"/>
      <w:numFmt w:val="lowerLetter"/>
      <w:start w:val="1"/>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lowerRoman"/>
      <w:start w:val="1"/>
    </w:lvl>
    <w:lvl w:ilvl="1">
      <w:lvlJc w:val="left"/>
      <w:lvlText w:val="%2."/>
      <w:numFmt w:val="decimal"/>
      <w:start w:val="13"/>
    </w:lvl>
    <w:lvl w:ilvl="2">
      <w:lvlJc w:val="left"/>
      <w:lvlText w:val="-"/>
      <w:numFmt w:val="bullet"/>
      <w:start w:val="1"/>
    </w:lvl>
  </w:abstractNum>
  <w:abstractNum w:abstractNumId="15">
    <w:nsid w:val="8EDBDAB"/>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16">
    <w:nsid w:val="79838CB2"/>
    <w:multiLevelType w:val="hybridMultilevel"/>
    <w:lvl w:ilvl="0">
      <w:lvlJc w:val="left"/>
      <w:lvlText w:val="%1."/>
      <w:numFmt w:val="decimal"/>
      <w:start w:val="14"/>
    </w:lvl>
    <w:lvl w:ilvl="1">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9">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
    <w:nsid w:val="54E49EB4"/>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21">
    <w:nsid w:val="71F3245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22">
    <w:nsid w:val="2CA88611"/>
    <w:multiLevelType w:val="hybridMultilevel"/>
    <w:lvl w:ilvl="0">
      <w:lvlJc w:val="left"/>
      <w:lvlText w:val="(%1)"/>
      <w:numFmt w:val="lowerLetter"/>
      <w:start w:val="7"/>
    </w:lvl>
    <w:lvl w:ilvl="1">
      <w:lvlJc w:val="left"/>
      <w:lvlText w:val="(%2)"/>
      <w:numFmt w:val="decimal"/>
      <w:start w:val="1"/>
    </w:lvl>
    <w:lvl w:ilvl="2">
      <w:lvlJc w:val="left"/>
      <w:lvlText w:val="(%3)"/>
      <w:numFmt w:val="decimal"/>
      <w:start w:val="5"/>
    </w:lvl>
  </w:abstractNum>
  <w:abstractNum w:abstractNumId="23">
    <w:nsid w:val="836C40E"/>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24">
    <w:nsid w:val="2901D8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5">
    <w:nsid w:val="3A95F87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6">
    <w:nsid w:val="8138641"/>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7">
    <w:nsid w:val="1E7FF521"/>
    <w:multiLevelType w:val="hybridMultilevel"/>
    <w:lvl w:ilvl="0">
      <w:lvlJc w:val="left"/>
      <w:lvlText w:val="%1."/>
      <w:numFmt w:val="decimal"/>
      <w:start w:val="8"/>
    </w:lvl>
  </w:abstractNum>
  <w:abstractNum w:abstractNumId="28">
    <w:nsid w:val="7C3DBD3D"/>
    <w:multiLevelType w:val="hybridMultilevel"/>
    <w:lvl w:ilvl="0">
      <w:lvlJc w:val="left"/>
      <w:lvlText w:val="%1."/>
      <w:numFmt w:val="decimal"/>
      <w:start w:val="9"/>
    </w:lvl>
    <w:lvl w:ilvl="1">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2019-12-10T14:06:13Z</dcterms:created>
  <dcterms:modified xsi:type="dcterms:W3CDTF">2019-12-10T14:06:13Z</dcterms:modified>
</cp:coreProperties>
</file>