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2280" w:firstLine="8"/>
        <w:spacing w:after="0" w:line="563" w:lineRule="auto"/>
        <w:tabs>
          <w:tab w:leader="none" w:pos="150"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6" w:right="239" w:bottom="76" w:gutter="0" w:footer="0" w:header="0"/>
        </w:sectPr>
      </w:pPr>
    </w:p>
    <w:p>
      <w:pPr>
        <w:spacing w:after="0" w:line="211"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5980" w:space="720"/>
            <w:col w:w="4720"/>
          </w:cols>
          <w:pgMar w:left="240" w:top="476" w:right="239" w:bottom="76"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476" w:right="239" w:bottom="76" w:gutter="0" w:footer="0" w:header="0"/>
          <w:type w:val="continuous"/>
        </w:sectPr>
      </w:pPr>
    </w:p>
    <w:p>
      <w:pPr>
        <w:ind w:left="4940"/>
        <w:spacing w:after="0"/>
        <w:rPr>
          <w:sz w:val="20"/>
          <w:szCs w:val="20"/>
          <w:color w:val="auto"/>
        </w:rPr>
      </w:pPr>
      <w:r>
        <w:rPr>
          <w:rFonts w:ascii="Arial" w:cs="Arial" w:eastAsia="Arial" w:hAnsi="Arial"/>
          <w:sz w:val="16"/>
          <w:szCs w:val="16"/>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 ]</w:t>
      </w:r>
    </w:p>
    <w:p>
      <w:pPr>
        <w:spacing w:after="0" w:line="200" w:lineRule="exact"/>
        <w:rPr>
          <w:sz w:val="24"/>
          <w:szCs w:val="24"/>
          <w:color w:val="auto"/>
        </w:rPr>
      </w:pPr>
    </w:p>
    <w:p>
      <w:pPr>
        <w:sectPr>
          <w:pgSz w:w="11900" w:h="16838" w:orient="portrait"/>
          <w:cols w:equalWidth="0" w:num="2">
            <w:col w:w="5620" w:space="720"/>
            <w:col w:w="5080"/>
          </w:cols>
          <w:pgMar w:left="240" w:top="476" w:right="239" w:bottom="76" w:gutter="0" w:footer="0" w:header="0"/>
          <w:type w:val="continuous"/>
        </w:sectPr>
      </w:pPr>
    </w:p>
    <w:p>
      <w:pPr>
        <w:spacing w:after="0" w:line="11"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160" w:type="dxa"/>
        <w:tblCellMar>
          <w:top w:w="0" w:type="dxa"/>
          <w:left w:w="0" w:type="dxa"/>
          <w:bottom w:w="0" w:type="dxa"/>
          <w:right w:w="0" w:type="dxa"/>
        </w:tblCellMar>
      </w:tblP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8"/>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w w:val="96"/>
              </w:rPr>
              <w:t>(Do not check if a smaller reporting</w:t>
            </w:r>
          </w:p>
        </w:tc>
        <w:tc>
          <w:tcPr>
            <w:tcW w:w="10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company)</w:t>
            </w:r>
          </w:p>
        </w:tc>
        <w:tc>
          <w:tcPr>
            <w:tcW w:w="1000" w:type="dxa"/>
            <w:vAlign w:val="bottom"/>
          </w:tcPr>
          <w:p>
            <w:pPr>
              <w:spacing w:after="0"/>
              <w:rPr>
                <w:sz w:val="20"/>
                <w:szCs w:val="20"/>
                <w:color w:val="auto"/>
              </w:rPr>
            </w:pPr>
          </w:p>
        </w:tc>
        <w:tc>
          <w:tcPr>
            <w:tcW w:w="3440" w:type="dxa"/>
            <w:vAlign w:val="bottom"/>
            <w:vMerge w:val="restart"/>
          </w:tcPr>
          <w:p>
            <w:pPr>
              <w:ind w:left="740"/>
              <w:spacing w:after="0"/>
              <w:rPr>
                <w:sz w:val="20"/>
                <w:szCs w:val="20"/>
                <w:color w:val="auto"/>
              </w:rPr>
            </w:pPr>
            <w:r>
              <w:rPr>
                <w:rFonts w:ascii="Arial" w:cs="Arial" w:eastAsia="Arial" w:hAnsi="Arial"/>
                <w:sz w:val="18"/>
                <w:szCs w:val="18"/>
                <w:color w:val="auto"/>
              </w:rPr>
              <w:t>Emerging growth company</w:t>
            </w:r>
          </w:p>
        </w:tc>
        <w:tc>
          <w:tcPr>
            <w:tcW w:w="90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40"/>
        <w:spacing w:after="0"/>
        <w:tabs>
          <w:tab w:leader="none" w:pos="62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2, 2018.</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08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Class</w:t>
            </w:r>
          </w:p>
        </w:tc>
        <w:tc>
          <w:tcPr>
            <w:tcW w:w="41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50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w w:val="95"/>
              </w:rPr>
              <w:t>Class A Common Stock, $.01 Par Value</w:t>
            </w:r>
          </w:p>
        </w:tc>
        <w:tc>
          <w:tcPr>
            <w:tcW w:w="4100" w:type="dxa"/>
            <w:vAlign w:val="bottom"/>
          </w:tcPr>
          <w:p>
            <w:pPr>
              <w:spacing w:after="0"/>
              <w:rPr>
                <w:sz w:val="16"/>
                <w:szCs w:val="16"/>
                <w:color w:val="auto"/>
              </w:rPr>
            </w:pPr>
          </w:p>
        </w:tc>
        <w:tc>
          <w:tcPr>
            <w:tcW w:w="3080" w:type="dxa"/>
            <w:vAlign w:val="bottom"/>
          </w:tcPr>
          <w:p>
            <w:pPr>
              <w:jc w:val="right"/>
              <w:ind w:right="1050"/>
              <w:spacing w:after="0" w:line="195" w:lineRule="exact"/>
              <w:rPr>
                <w:sz w:val="20"/>
                <w:szCs w:val="20"/>
                <w:color w:val="auto"/>
              </w:rPr>
            </w:pPr>
            <w:r>
              <w:rPr>
                <w:rFonts w:ascii="Arial" w:cs="Arial" w:eastAsia="Arial" w:hAnsi="Arial"/>
                <w:sz w:val="18"/>
                <w:szCs w:val="18"/>
                <w:color w:val="auto"/>
              </w:rPr>
              <w:t>30,593,549</w:t>
            </w:r>
          </w:p>
        </w:tc>
        <w:tc>
          <w:tcPr>
            <w:tcW w:w="500" w:type="dxa"/>
            <w:vAlign w:val="bottom"/>
          </w:tcPr>
          <w:p>
            <w:pPr>
              <w:spacing w:after="0"/>
              <w:rPr>
                <w:sz w:val="16"/>
                <w:szCs w:val="16"/>
                <w:color w:val="auto"/>
              </w:rPr>
            </w:pPr>
          </w:p>
        </w:tc>
      </w:tr>
      <w:tr>
        <w:trPr>
          <w:trHeight w:val="230"/>
        </w:trPr>
        <w:tc>
          <w:tcPr>
            <w:tcW w:w="3740" w:type="dxa"/>
            <w:vAlign w:val="bottom"/>
            <w:gridSpan w:val="2"/>
          </w:tcPr>
          <w:p>
            <w:pPr>
              <w:ind w:left="660"/>
              <w:spacing w:after="0"/>
              <w:rPr>
                <w:sz w:val="20"/>
                <w:szCs w:val="20"/>
                <w:color w:val="auto"/>
              </w:rPr>
            </w:pPr>
            <w:r>
              <w:rPr>
                <w:rFonts w:ascii="Arial" w:cs="Arial" w:eastAsia="Arial" w:hAnsi="Arial"/>
                <w:sz w:val="18"/>
                <w:szCs w:val="18"/>
                <w:color w:val="auto"/>
                <w:w w:val="95"/>
              </w:rPr>
              <w:t>Class B Common Stock, $.01 Par Value</w:t>
            </w:r>
          </w:p>
        </w:tc>
        <w:tc>
          <w:tcPr>
            <w:tcW w:w="7180" w:type="dxa"/>
            <w:vAlign w:val="bottom"/>
            <w:gridSpan w:val="2"/>
          </w:tcPr>
          <w:p>
            <w:pPr>
              <w:jc w:val="right"/>
              <w:ind w:right="1090"/>
              <w:spacing w:after="0"/>
              <w:rPr>
                <w:sz w:val="20"/>
                <w:szCs w:val="20"/>
                <w:color w:val="auto"/>
              </w:rPr>
            </w:pPr>
            <w:r>
              <w:rPr>
                <w:rFonts w:ascii="Arial" w:cs="Arial" w:eastAsia="Arial" w:hAnsi="Arial"/>
                <w:sz w:val="18"/>
                <w:szCs w:val="18"/>
                <w:color w:val="auto"/>
              </w:rPr>
              <w:t>8,543,391</w:t>
            </w:r>
          </w:p>
        </w:tc>
        <w:tc>
          <w:tcPr>
            <w:tcW w:w="500" w:type="dxa"/>
            <w:vAlign w:val="bottom"/>
          </w:tcPr>
          <w:p>
            <w:pPr>
              <w:spacing w:after="0"/>
              <w:rPr>
                <w:sz w:val="20"/>
                <w:szCs w:val="20"/>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76"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7"/>
          </w:tcPr>
          <w:p>
            <w:pPr>
              <w:jc w:val="center"/>
              <w:ind w:right="258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6"/>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312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60" w:type="dxa"/>
            <w:vAlign w:val="bottom"/>
            <w:gridSpan w:val="7"/>
          </w:tcPr>
          <w:p>
            <w:pPr>
              <w:spacing w:after="0"/>
              <w:rPr>
                <w:sz w:val="24"/>
                <w:szCs w:val="24"/>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b w:val="1"/>
                <w:bCs w:val="1"/>
                <w:color w:val="auto"/>
                <w:w w:val="78"/>
              </w:rPr>
              <w:t>Page</w:t>
            </w:r>
          </w:p>
        </w:tc>
      </w:tr>
      <w:tr>
        <w:trPr>
          <w:trHeight w:val="412"/>
        </w:trPr>
        <w:tc>
          <w:tcPr>
            <w:tcW w:w="1160" w:type="dxa"/>
            <w:vAlign w:val="bottom"/>
            <w:tcBorders>
              <w:top w:val="single" w:sz="8" w:color="0000EE"/>
            </w:tcBorders>
          </w:tcPr>
          <w:p>
            <w:pPr>
              <w:ind w:left="500"/>
              <w:spacing w:after="0"/>
              <w:rPr>
                <w:sz w:val="20"/>
                <w:szCs w:val="20"/>
                <w:color w:val="auto"/>
              </w:rPr>
            </w:pPr>
            <w:r>
              <w:rPr>
                <w:rFonts w:ascii="Arial" w:cs="Arial" w:eastAsia="Arial" w:hAnsi="Arial"/>
                <w:sz w:val="18"/>
                <w:szCs w:val="18"/>
                <w:color w:val="auto"/>
              </w:rPr>
              <w:t>Item 1.</w:t>
            </w:r>
          </w:p>
        </w:tc>
        <w:tc>
          <w:tcPr>
            <w:tcW w:w="196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7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60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 March 31, 2018 (unaudited) and December 31, 2017</w:t>
              </w:r>
            </w:hyperlink>
          </w:p>
        </w:tc>
        <w:tc>
          <w:tcPr>
            <w:tcW w:w="3700" w:type="dxa"/>
            <w:vAlign w:val="bottom"/>
            <w:gridSpan w:val="4"/>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1160" w:type="dxa"/>
            <w:vAlign w:val="bottom"/>
          </w:tcPr>
          <w:p>
            <w:pPr>
              <w:spacing w:after="0"/>
              <w:rPr>
                <w:sz w:val="24"/>
                <w:szCs w:val="24"/>
                <w:color w:val="auto"/>
              </w:rPr>
            </w:pPr>
          </w:p>
        </w:tc>
        <w:tc>
          <w:tcPr>
            <w:tcW w:w="9720" w:type="dxa"/>
            <w:vAlign w:val="bottom"/>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 For the Three Months Ended March 31, 2018 and 2017 (unaudited)</w:t>
              </w:r>
            </w:hyperlink>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4</w:t>
            </w:r>
          </w:p>
        </w:tc>
      </w:tr>
      <w:tr>
        <w:trPr>
          <w:trHeight w:val="412"/>
        </w:trPr>
        <w:tc>
          <w:tcPr>
            <w:tcW w:w="1160" w:type="dxa"/>
            <w:vAlign w:val="bottom"/>
          </w:tcPr>
          <w:p>
            <w:pPr>
              <w:spacing w:after="0"/>
              <w:rPr>
                <w:sz w:val="24"/>
                <w:szCs w:val="24"/>
                <w:color w:val="auto"/>
              </w:rPr>
            </w:pPr>
          </w:p>
        </w:tc>
        <w:tc>
          <w:tcPr>
            <w:tcW w:w="9620" w:type="dxa"/>
            <w:vAlign w:val="bottom"/>
            <w:tcBorders>
              <w:top w:val="single" w:sz="8" w:color="0000EE"/>
            </w:tcBorders>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Three Months Ended March 31, 2018 and 2017 (unaudited)</w:t>
              </w:r>
            </w:hyperlink>
          </w:p>
        </w:tc>
        <w:tc>
          <w:tcPr>
            <w:tcW w:w="1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r>
      <w:tr>
        <w:trPr>
          <w:trHeight w:val="412"/>
        </w:trPr>
        <w:tc>
          <w:tcPr>
            <w:tcW w:w="1160" w:type="dxa"/>
            <w:vAlign w:val="bottom"/>
          </w:tcPr>
          <w:p>
            <w:pPr>
              <w:spacing w:after="0"/>
              <w:rPr>
                <w:sz w:val="24"/>
                <w:szCs w:val="24"/>
                <w:color w:val="auto"/>
              </w:rPr>
            </w:pPr>
          </w:p>
        </w:tc>
        <w:tc>
          <w:tcPr>
            <w:tcW w:w="7860" w:type="dxa"/>
            <w:vAlign w:val="bottom"/>
            <w:tcBorders>
              <w:top w:val="single" w:sz="8" w:color="0000EE"/>
            </w:tcBorders>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860" w:type="dxa"/>
            <w:vAlign w:val="bottom"/>
            <w:gridSpan w:val="2"/>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r>
      <w:tr>
        <w:trPr>
          <w:trHeight w:val="20"/>
        </w:trPr>
        <w:tc>
          <w:tcPr>
            <w:tcW w:w="11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1160" w:type="dxa"/>
            <w:vAlign w:val="bottom"/>
          </w:tcPr>
          <w:p>
            <w:pPr>
              <w:ind w:left="50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260" w:type="dxa"/>
            <w:vAlign w:val="bottom"/>
            <w:gridSpan w:val="3"/>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14</w:t>
            </w:r>
          </w:p>
        </w:tc>
      </w:tr>
      <w:tr>
        <w:trPr>
          <w:trHeight w:val="412"/>
        </w:trPr>
        <w:tc>
          <w:tcPr>
            <w:tcW w:w="1160" w:type="dxa"/>
            <w:vAlign w:val="bottom"/>
          </w:tcPr>
          <w:p>
            <w:pPr>
              <w:ind w:left="50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360" w:type="dxa"/>
            <w:vAlign w:val="bottom"/>
            <w:gridSpan w:val="5"/>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25</w:t>
            </w:r>
          </w:p>
        </w:tc>
      </w:tr>
      <w:tr>
        <w:trPr>
          <w:trHeight w:val="412"/>
        </w:trPr>
        <w:tc>
          <w:tcPr>
            <w:tcW w:w="1160" w:type="dxa"/>
            <w:vAlign w:val="bottom"/>
          </w:tcPr>
          <w:p>
            <w:pPr>
              <w:ind w:left="500"/>
              <w:spacing w:after="0"/>
              <w:rPr>
                <w:sz w:val="20"/>
                <w:szCs w:val="20"/>
                <w:color w:val="auto"/>
              </w:rPr>
            </w:pPr>
            <w:r>
              <w:rPr>
                <w:rFonts w:ascii="Arial" w:cs="Arial" w:eastAsia="Arial" w:hAnsi="Arial"/>
                <w:sz w:val="18"/>
                <w:szCs w:val="18"/>
                <w:color w:val="auto"/>
              </w:rPr>
              <w:t>Item 4.</w:t>
            </w:r>
          </w:p>
        </w:tc>
        <w:tc>
          <w:tcPr>
            <w:tcW w:w="972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r>
      <w:tr>
        <w:trPr>
          <w:trHeight w:val="20"/>
        </w:trPr>
        <w:tc>
          <w:tcPr>
            <w:tcW w:w="11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1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840" w:type="dxa"/>
            <w:vAlign w:val="bottom"/>
          </w:tcPr>
          <w:p>
            <w:pPr>
              <w:spacing w:after="0"/>
              <w:rPr>
                <w:sz w:val="17"/>
                <w:szCs w:val="17"/>
                <w:color w:val="auto"/>
              </w:rPr>
            </w:pPr>
          </w:p>
        </w:tc>
      </w:tr>
      <w:tr>
        <w:trPr>
          <w:trHeight w:val="412"/>
        </w:trPr>
        <w:tc>
          <w:tcPr>
            <w:tcW w:w="1180" w:type="dxa"/>
            <w:vAlign w:val="bottom"/>
            <w:tcBorders>
              <w:top w:val="single" w:sz="8" w:color="0000EE"/>
            </w:tcBorders>
          </w:tcPr>
          <w:p>
            <w:pPr>
              <w:ind w:left="500"/>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Legal Proceedings</w:t>
              </w:r>
            </w:hyperlink>
          </w:p>
        </w:tc>
        <w:tc>
          <w:tcPr>
            <w:tcW w:w="320" w:type="dxa"/>
            <w:vAlign w:val="bottom"/>
            <w:tcBorders>
              <w:top w:val="single" w:sz="8" w:color="0000EE"/>
            </w:tcBorders>
          </w:tcPr>
          <w:p>
            <w:pPr>
              <w:spacing w:after="0"/>
              <w:rPr>
                <w:sz w:val="24"/>
                <w:szCs w:val="24"/>
                <w:color w:val="auto"/>
              </w:rPr>
            </w:pPr>
          </w:p>
        </w:tc>
        <w:tc>
          <w:tcPr>
            <w:tcW w:w="2760" w:type="dxa"/>
            <w:vAlign w:val="bottom"/>
            <w:gridSpan w:val="4"/>
          </w:tcPr>
          <w:p>
            <w:pPr>
              <w:spacing w:after="0"/>
              <w:rPr>
                <w:sz w:val="24"/>
                <w:szCs w:val="24"/>
                <w:color w:val="auto"/>
              </w:rPr>
            </w:pP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26</w:t>
            </w:r>
          </w:p>
        </w:tc>
      </w:tr>
      <w:tr>
        <w:trPr>
          <w:trHeight w:val="412"/>
        </w:trPr>
        <w:tc>
          <w:tcPr>
            <w:tcW w:w="5580" w:type="dxa"/>
            <w:vAlign w:val="bottom"/>
            <w:gridSpan w:val="10"/>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6">
              <w:r>
                <w:rPr>
                  <w:rFonts w:ascii="Arial" w:cs="Arial" w:eastAsia="Arial" w:hAnsi="Arial"/>
                  <w:sz w:val="18"/>
                  <w:szCs w:val="18"/>
                  <w:color w:val="0000EE"/>
                </w:rPr>
                <w:t>Risk Factors</w:t>
              </w:r>
            </w:hyperlink>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12"/>
        </w:trPr>
        <w:tc>
          <w:tcPr>
            <w:tcW w:w="5580" w:type="dxa"/>
            <w:vAlign w:val="bottom"/>
            <w:gridSpan w:val="10"/>
          </w:tcPr>
          <w:p>
            <w:pPr>
              <w:ind w:left="500"/>
              <w:spacing w:after="0"/>
              <w:rPr>
                <w:rFonts w:ascii="Arial" w:cs="Arial" w:eastAsia="Arial" w:hAnsi="Arial"/>
                <w:sz w:val="18"/>
                <w:szCs w:val="18"/>
                <w:color w:val="auto"/>
                <w:w w:val="91"/>
              </w:rPr>
            </w:pPr>
            <w:r>
              <w:rPr>
                <w:rFonts w:ascii="Arial" w:cs="Arial" w:eastAsia="Arial" w:hAnsi="Arial"/>
                <w:sz w:val="18"/>
                <w:szCs w:val="18"/>
                <w:color w:val="auto"/>
                <w:w w:val="91"/>
              </w:rPr>
              <w:t xml:space="preserve">Item 2.  </w:t>
            </w:r>
            <w:hyperlink w:anchor="page26">
              <w:r>
                <w:rPr>
                  <w:rFonts w:ascii="Arial" w:cs="Arial" w:eastAsia="Arial" w:hAnsi="Arial"/>
                  <w:sz w:val="18"/>
                  <w:szCs w:val="18"/>
                  <w:color w:val="0000EE"/>
                  <w:w w:val="91"/>
                </w:rPr>
                <w:t>Unregistered Sales of Equity Securities and Use of Proceeds</w:t>
              </w:r>
            </w:hyperlink>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12"/>
        </w:trPr>
        <w:tc>
          <w:tcPr>
            <w:tcW w:w="5580" w:type="dxa"/>
            <w:vAlign w:val="bottom"/>
            <w:gridSpan w:val="10"/>
          </w:tcPr>
          <w:p>
            <w:pPr>
              <w:ind w:left="5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7">
              <w:r>
                <w:rPr>
                  <w:rFonts w:ascii="Arial" w:cs="Arial" w:eastAsia="Arial" w:hAnsi="Arial"/>
                  <w:sz w:val="18"/>
                  <w:szCs w:val="18"/>
                  <w:color w:val="0000EE"/>
                </w:rPr>
                <w:t>Defaults Upon Senior Securities</w:t>
              </w:r>
            </w:hyperlink>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412"/>
        </w:trPr>
        <w:tc>
          <w:tcPr>
            <w:tcW w:w="1180" w:type="dxa"/>
            <w:vAlign w:val="bottom"/>
          </w:tcPr>
          <w:p>
            <w:pPr>
              <w:ind w:left="500"/>
              <w:spacing w:after="0"/>
              <w:rPr>
                <w:sz w:val="20"/>
                <w:szCs w:val="20"/>
                <w:color w:val="auto"/>
              </w:rPr>
            </w:pPr>
            <w:r>
              <w:rPr>
                <w:rFonts w:ascii="Arial" w:cs="Arial" w:eastAsia="Arial" w:hAnsi="Arial"/>
                <w:sz w:val="18"/>
                <w:szCs w:val="18"/>
                <w:color w:val="auto"/>
              </w:rPr>
              <w:t>Item 4.</w:t>
            </w:r>
          </w:p>
        </w:tc>
        <w:tc>
          <w:tcPr>
            <w:tcW w:w="2300" w:type="dxa"/>
            <w:vAlign w:val="bottom"/>
            <w:tcBorders>
              <w:top w:val="single" w:sz="8" w:color="0000EE"/>
            </w:tcBorders>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2100" w:type="dxa"/>
            <w:vAlign w:val="bottom"/>
            <w:gridSpan w:val="2"/>
          </w:tcPr>
          <w:p>
            <w:pPr>
              <w:spacing w:after="0"/>
              <w:rPr>
                <w:sz w:val="24"/>
                <w:szCs w:val="24"/>
                <w:color w:val="auto"/>
              </w:rPr>
            </w:pP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412"/>
        </w:trPr>
        <w:tc>
          <w:tcPr>
            <w:tcW w:w="1180" w:type="dxa"/>
            <w:vAlign w:val="bottom"/>
          </w:tcPr>
          <w:p>
            <w:pPr>
              <w:ind w:left="500"/>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2660" w:type="dxa"/>
            <w:vAlign w:val="bottom"/>
            <w:gridSpan w:val="3"/>
          </w:tcPr>
          <w:p>
            <w:pPr>
              <w:spacing w:after="0"/>
              <w:rPr>
                <w:sz w:val="24"/>
                <w:szCs w:val="24"/>
                <w:color w:val="auto"/>
              </w:rPr>
            </w:pP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412"/>
        </w:trPr>
        <w:tc>
          <w:tcPr>
            <w:tcW w:w="1180" w:type="dxa"/>
            <w:vAlign w:val="bottom"/>
          </w:tcPr>
          <w:p>
            <w:pPr>
              <w:ind w:left="500"/>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Exhibits</w:t>
              </w:r>
            </w:hyperlink>
          </w:p>
        </w:tc>
        <w:tc>
          <w:tcPr>
            <w:tcW w:w="3820" w:type="dxa"/>
            <w:vAlign w:val="bottom"/>
            <w:gridSpan w:val="8"/>
          </w:tcPr>
          <w:p>
            <w:pPr>
              <w:spacing w:after="0"/>
              <w:rPr>
                <w:sz w:val="24"/>
                <w:szCs w:val="24"/>
                <w:color w:val="auto"/>
              </w:rPr>
            </w:pPr>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412"/>
        </w:trPr>
        <w:tc>
          <w:tcPr>
            <w:tcW w:w="5580" w:type="dxa"/>
            <w:vAlign w:val="bottom"/>
            <w:gridSpan w:val="1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5840" w:type="dxa"/>
            <w:vAlign w:val="bottom"/>
          </w:tcPr>
          <w:p>
            <w:pPr>
              <w:jc w:val="right"/>
              <w:ind w:right="110"/>
              <w:spacing w:after="0"/>
              <w:rPr>
                <w:sz w:val="20"/>
                <w:szCs w:val="20"/>
                <w:color w:val="auto"/>
              </w:rPr>
            </w:pPr>
            <w:r>
              <w:rPr>
                <w:rFonts w:ascii="Arial" w:cs="Arial" w:eastAsia="Arial" w:hAnsi="Arial"/>
                <w:sz w:val="18"/>
                <w:szCs w:val="18"/>
                <w:color w:val="auto"/>
              </w:rPr>
              <w:t>28</w:t>
            </w:r>
          </w:p>
        </w:tc>
      </w:tr>
      <w:tr>
        <w:trPr>
          <w:trHeight w:val="453"/>
        </w:trPr>
        <w:tc>
          <w:tcPr>
            <w:tcW w:w="11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4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115"/>
        </w:trPr>
        <w:tc>
          <w:tcPr>
            <w:tcW w:w="1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MARCH 31, </w:t>
      </w:r>
      <w:r>
        <w:rPr>
          <w:rFonts w:ascii="Arial" w:cs="Arial" w:eastAsia="Arial" w:hAnsi="Arial"/>
          <w:sz w:val="18"/>
          <w:szCs w:val="18"/>
          <w:u w:val="single" w:color="auto"/>
          <w:color w:val="auto"/>
        </w:rPr>
        <w:t>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1,044,710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2,899,204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805,531</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1,205,737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1,172,207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60,706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2018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authorized; 30,582,509 Class A shares and 8,623,472 Class B shares outstanding in 2018; and 31,345,116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shares and 8,469,427 Class B shares outstanding in 2017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348,044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Treasury stock, at cost: 1,768,354 class A shares and 4,697,592 class B shares in 2018 and 934,171 class A</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and 4,625,181 class B shares in 2017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1,031,669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2,899,204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4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773,100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400,295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57,524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710,914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254,444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1,013,786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856,890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226,995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171,670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on sale of assets</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7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4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39,665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7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40" w:type="dxa"/>
            <w:vAlign w:val="bottom"/>
            <w:gridSpan w:val="5"/>
          </w:tcPr>
          <w:p>
            <w:pPr>
              <w:jc w:val="center"/>
              <w:ind w:left="15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720" w:type="dxa"/>
            <w:vAlign w:val="bottom"/>
          </w:tcPr>
          <w:p>
            <w:pPr>
              <w:jc w:val="right"/>
              <w:ind w:right="22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21,039</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51,056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sale of property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w w:val="93"/>
              </w:rPr>
              <w:t>Stock-based compensation expense related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(7,140)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35,380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(48,215)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(47,082)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(8,410)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(46,278)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131,712</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 net</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2017. Results of operations for interim periods are not necessarily indicative of results that may be expected for any other interim periods or the full fiscal year.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left="80" w:firstLine="567"/>
        <w:spacing w:after="0" w:line="302" w:lineRule="auto"/>
        <w:rPr>
          <w:sz w:val="20"/>
          <w:szCs w:val="20"/>
          <w:color w:val="auto"/>
        </w:rPr>
      </w:pPr>
      <w:r>
        <w:rPr>
          <w:rFonts w:ascii="Arial" w:cs="Arial" w:eastAsia="Arial" w:hAnsi="Arial"/>
          <w:sz w:val="16"/>
          <w:szCs w:val="16"/>
          <w:color w:val="auto"/>
        </w:rPr>
        <w:t>The total capitalized costs of the Company’s SAP enterprise resource planning software platform (“ERP Platform”) of $22.0 million, including capitalized interest, are recorded on the Consolidated Balance Sheet in Other Assets, net of accumulated amortization of $31.1 million. Amortization expense relating to the ERP Platform, which is recognized in depreciation and amortization expense in the Consolidated Statements of Income and Comprehensive Income, was $11.1 million for the three months ended March 31, 2018 and $0.9 million for the three months ended March 31, 2017.</w:t>
      </w:r>
    </w:p>
    <w:p>
      <w:pPr>
        <w:spacing w:after="0" w:line="154" w:lineRule="exact"/>
        <w:rPr>
          <w:sz w:val="20"/>
          <w:szCs w:val="20"/>
          <w:color w:val="auto"/>
        </w:rPr>
      </w:pPr>
    </w:p>
    <w:p>
      <w:pPr>
        <w:jc w:val="both"/>
        <w:ind w:left="80" w:firstLine="567"/>
        <w:spacing w:after="0" w:line="270" w:lineRule="auto"/>
        <w:rPr>
          <w:sz w:val="20"/>
          <w:szCs w:val="20"/>
          <w:color w:val="auto"/>
        </w:rPr>
      </w:pPr>
      <w:r>
        <w:rPr>
          <w:rFonts w:ascii="Arial" w:cs="Arial" w:eastAsia="Arial" w:hAnsi="Arial"/>
          <w:sz w:val="17"/>
          <w:szCs w:val="17"/>
          <w:color w:val="auto"/>
        </w:rPr>
        <w:t>In the first quarter of 2018, as part of an assessment that involved a technical feasibility study of the current ERP Platform, the Company determined that a majority of the components of its ERP Platform will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expected to be replaced so that the respective net book values of the components are fully amortized upon replacement. The Company expects to replace these components no later than May 2018. The Company began to amortize the remaining net book value of the components that are expected to be replaced on a straight-line basis in February 2018 and will continue through May 2018. In the first quarter of 2018, the Company recognized an additional $10.2 million of amortization expense related to the components of the ERP Platform that will be replaced. The ERP Platform asset and related amortization are reflected in the Truck Segment.</w:t>
      </w:r>
    </w:p>
    <w:p>
      <w:pPr>
        <w:spacing w:after="0" w:line="182" w:lineRule="exact"/>
        <w:rPr>
          <w:sz w:val="20"/>
          <w:szCs w:val="20"/>
          <w:color w:val="auto"/>
        </w:rPr>
      </w:pPr>
    </w:p>
    <w:p>
      <w:pPr>
        <w:jc w:val="both"/>
        <w:ind w:left="80" w:firstLine="567"/>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March 31, 2018 and December 31, 2017,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left="80" w:firstLine="567"/>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0" w:right="40" w:firstLine="567"/>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720" w:type="dxa"/>
            <w:vAlign w:val="bottom"/>
            <w:gridSpan w:val="4"/>
          </w:tcPr>
          <w:p>
            <w:pPr>
              <w:jc w:val="right"/>
              <w:ind w:right="34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tcPr>
          <w:p>
            <w:pPr>
              <w:ind w:left="160"/>
              <w:spacing w:after="0" w:line="201" w:lineRule="exact"/>
              <w:rPr>
                <w:sz w:val="20"/>
                <w:szCs w:val="20"/>
                <w:color w:val="auto"/>
              </w:rPr>
            </w:pPr>
            <w:r>
              <w:rPr>
                <w:rFonts w:ascii="Arial" w:cs="Arial" w:eastAsia="Arial" w:hAnsi="Arial"/>
                <w:sz w:val="18"/>
                <w:szCs w:val="18"/>
                <w:color w:val="auto"/>
                <w:w w:val="97"/>
              </w:rPr>
              <w:t>Numerator for basic and diluted earnings per share – Net income available to common</w:t>
            </w:r>
          </w:p>
        </w:tc>
        <w:tc>
          <w:tcPr>
            <w:tcW w:w="1000" w:type="dxa"/>
            <w:vAlign w:val="bottom"/>
            <w:vMerge w:val="restart"/>
          </w:tcPr>
          <w:p>
            <w:pPr>
              <w:jc w:val="right"/>
              <w:ind w:right="839"/>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21,039</w:t>
            </w:r>
          </w:p>
        </w:tc>
        <w:tc>
          <w:tcPr>
            <w:tcW w:w="1180" w:type="dxa"/>
            <w:vAlign w:val="bottom"/>
            <w:gridSpan w:val="2"/>
            <w:vMerge w:val="restart"/>
          </w:tcPr>
          <w:p>
            <w:pPr>
              <w:jc w:val="right"/>
              <w:ind w:right="88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14,479</w:t>
            </w:r>
          </w:p>
        </w:tc>
        <w:tc>
          <w:tcPr>
            <w:tcW w:w="0" w:type="dxa"/>
            <w:vAlign w:val="bottom"/>
          </w:tcPr>
          <w:p>
            <w:pPr>
              <w:spacing w:after="0"/>
              <w:rPr>
                <w:sz w:val="1"/>
                <w:szCs w:val="1"/>
                <w:color w:val="auto"/>
              </w:rPr>
            </w:pPr>
          </w:p>
        </w:tc>
      </w:tr>
      <w:tr>
        <w:trPr>
          <w:trHeight w:val="217"/>
        </w:trPr>
        <w:tc>
          <w:tcPr>
            <w:tcW w:w="6900" w:type="dxa"/>
            <w:vAlign w:val="bottom"/>
          </w:tcPr>
          <w:p>
            <w:pPr>
              <w:ind w:left="320"/>
              <w:spacing w:after="0"/>
              <w:rPr>
                <w:sz w:val="20"/>
                <w:szCs w:val="20"/>
                <w:color w:val="auto"/>
              </w:rPr>
            </w:pPr>
            <w:r>
              <w:rPr>
                <w:rFonts w:ascii="Arial" w:cs="Arial" w:eastAsia="Arial" w:hAnsi="Arial"/>
                <w:sz w:val="18"/>
                <w:szCs w:val="18"/>
                <w:color w:val="auto"/>
              </w:rPr>
              <w:t>shareholders</w:t>
            </w:r>
          </w:p>
        </w:tc>
        <w:tc>
          <w:tcPr>
            <w:tcW w:w="10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6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39,665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39,409</w:t>
            </w:r>
          </w:p>
        </w:tc>
        <w:tc>
          <w:tcPr>
            <w:tcW w:w="0" w:type="dxa"/>
            <w:vAlign w:val="bottom"/>
          </w:tcPr>
          <w:p>
            <w:pPr>
              <w:spacing w:after="0"/>
              <w:rPr>
                <w:sz w:val="1"/>
                <w:szCs w:val="1"/>
                <w:color w:val="auto"/>
              </w:rPr>
            </w:pPr>
          </w:p>
        </w:tc>
      </w:tr>
      <w:tr>
        <w:trPr>
          <w:trHeight w:val="216"/>
        </w:trPr>
        <w:tc>
          <w:tcPr>
            <w:tcW w:w="6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 of dilutive securities– Employee stock options and restricted stock awards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69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00" w:type="dxa"/>
            <w:vAlign w:val="bottom"/>
          </w:tcPr>
          <w:p>
            <w:pPr>
              <w:ind w:left="160"/>
              <w:spacing w:after="0" w:line="195" w:lineRule="exact"/>
              <w:rPr>
                <w:sz w:val="20"/>
                <w:szCs w:val="20"/>
                <w:color w:val="auto"/>
              </w:rPr>
            </w:pPr>
            <w:r>
              <w:rPr>
                <w:rFonts w:ascii="Arial" w:cs="Arial" w:eastAsia="Arial" w:hAnsi="Arial"/>
                <w:sz w:val="18"/>
                <w:szCs w:val="18"/>
                <w:color w:val="auto"/>
                <w:w w:val="92"/>
              </w:rPr>
              <w:t>Denominator for basic earnings per share – adjusted weighted average shares outstanding</w:t>
            </w:r>
          </w:p>
        </w:tc>
        <w:tc>
          <w:tcPr>
            <w:tcW w:w="10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41,092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40,701</w:t>
            </w:r>
          </w:p>
        </w:tc>
        <w:tc>
          <w:tcPr>
            <w:tcW w:w="0" w:type="dxa"/>
            <w:vAlign w:val="bottom"/>
          </w:tcPr>
          <w:p>
            <w:pPr>
              <w:spacing w:after="0"/>
              <w:rPr>
                <w:sz w:val="1"/>
                <w:szCs w:val="1"/>
                <w:color w:val="auto"/>
              </w:rPr>
            </w:pPr>
          </w:p>
        </w:tc>
      </w:tr>
      <w:tr>
        <w:trPr>
          <w:trHeight w:val="190"/>
        </w:trPr>
        <w:tc>
          <w:tcPr>
            <w:tcW w:w="6900" w:type="dxa"/>
            <w:vAlign w:val="bottom"/>
          </w:tcPr>
          <w:p>
            <w:pPr>
              <w:ind w:left="320"/>
              <w:spacing w:after="0" w:line="190" w:lineRule="exact"/>
              <w:rPr>
                <w:sz w:val="20"/>
                <w:szCs w:val="20"/>
                <w:color w:val="auto"/>
              </w:rPr>
            </w:pPr>
            <w:r>
              <w:rPr>
                <w:rFonts w:ascii="Arial" w:cs="Arial" w:eastAsia="Arial" w:hAnsi="Arial"/>
                <w:sz w:val="18"/>
                <w:szCs w:val="18"/>
                <w:color w:val="auto"/>
              </w:rPr>
              <w:t>and assumed conversions shares outstanding</w:t>
            </w:r>
          </w:p>
        </w:tc>
        <w:tc>
          <w:tcPr>
            <w:tcW w:w="10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jc w:val="right"/>
              <w:ind w:right="83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EEFF"/>
          </w:tcPr>
          <w:p>
            <w:pPr>
              <w:jc w:val="right"/>
              <w:ind w:right="88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1000" w:type="dxa"/>
            <w:vAlign w:val="bottom"/>
          </w:tcPr>
          <w:p>
            <w:pPr>
              <w:jc w:val="right"/>
              <w:ind w:right="83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180" w:type="dxa"/>
            <w:vAlign w:val="bottom"/>
            <w:gridSpan w:val="2"/>
          </w:tcPr>
          <w:p>
            <w:pPr>
              <w:jc w:val="right"/>
              <w:ind w:right="88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Options to purchase shares of common stock that were outstanding for the three months ended March 31, 2018 and 2017 that were not included in the computation of diluted earnings per share because the effect would have been anti-dilutive are as follows (in thousands):</w:t>
      </w:r>
    </w:p>
    <w:p>
      <w:pPr>
        <w:spacing w:after="0" w:line="14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260" w:type="dxa"/>
            <w:vAlign w:val="bottom"/>
          </w:tcPr>
          <w:p>
            <w:pPr>
              <w:jc w:val="center"/>
              <w:ind w:left="19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w:t>
            </w:r>
          </w:p>
        </w:tc>
      </w:tr>
      <w:tr>
        <w:trPr>
          <w:trHeight w:val="230"/>
        </w:trPr>
        <w:tc>
          <w:tcPr>
            <w:tcW w:w="688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 – weighted average</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r>
      <w:tr>
        <w:trPr>
          <w:trHeight w:val="20"/>
        </w:trPr>
        <w:tc>
          <w:tcPr>
            <w:tcW w:w="68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$7.9 million for the three months ended March 31, 2018, and $4.8 million for the three months ended March 31, 2017.</w:t>
      </w:r>
    </w:p>
    <w:p>
      <w:pPr>
        <w:spacing w:after="0" w:line="19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requires excess tax benefits and tax deficiencies to be recorded in the income statement when equity awards issued pursuant to the Company’s equity compensation plans vest or are settled. The Company recorded tax expense of $22,000 related to a tax deficiency in the first quarter of 2018, which increased income tax expense. The Company recorded a tax benefit of $1.1 million in the first quarter of 2017 related to excess tax benefits in the first quarter of 2018, which reduced income tax expense.</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the Company had $12.2 million of unrecognized compensation cost related to non-vested employee stock options to be recognized over a weighted-average period of 3.6 years and $13.1 million of unrecognized compensation cost related to non-vested restricted stock units to be recognized over a weighted-average period of 2.2 years.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2018, and December 31, 2017. The carrying value of current assets and current liabilities approximates the fair value due to the short maturity of these items.</w:t>
      </w:r>
    </w:p>
    <w:p>
      <w:pPr>
        <w:spacing w:after="0" w:line="154"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2018 and December 31, 2017, the Company held auction rate securities with underlying tax-exempt municipal bonds that mature in 2030 and have a fair value and a cost basis of $6.4 million. The issuer redeemed $150,000 of the auction rate securities during 2014, $275,000 during 2015, $450,000 during 2016 and $325,000 in 2017. These bonds have credit wrap insurance and a credit rating of A by a major credit rating agency.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March 31, 2018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subsequent pre-tax increases in fair value of $427,000 during 2014 and $469,000 during 2017, which brought the fair value of the auction rate securities back to their original cost basis. The Company had included the prior impairment in accumulated other comprehensive loss.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auction rate securities have a fair value of $6.4 million at March 31, 2018 and December 31, 2017 and were measured using Level 3 inputs of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In 2016, the Company recorded an impairment charge related to the value of the real estate in the affected locations in the amount of $7.5 million. The Company also classified certain excess real estate as held for sale, which resulted in an additional impairment charge.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During 2016, the Company sold four of the properties previously classified as held for sale with a fair value of $6.1 million. During 2017, the Company sold three of the properties with a collective fair value of $2.2 million. During the third quarter of 2017, the Company made the decision to put one of the properties previously classified as “held for sale” with a fair value of $1.4 million back into service. In February 2018, the Company sold one of the properties with a fair value of $1.9 million. As of March 31, 2018, the remaining real estate associated with the restructuring activities is included in assets held for sale on the Consolidated Balance Sheets.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long-lived assets classified as held for sale and measured and recorded at fair value on a nonrecurring basis (in thousands):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Measurements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Using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Loss During the</w:t>
            </w:r>
          </w:p>
        </w:tc>
        <w:tc>
          <w:tcPr>
            <w:tcW w:w="8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Loss During the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Quarter Ended</w:t>
            </w:r>
          </w:p>
        </w:tc>
        <w:tc>
          <w:tcPr>
            <w:tcW w:w="8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Quarter Ended</w:t>
            </w:r>
          </w:p>
        </w:tc>
      </w:t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2017</w:t>
            </w:r>
          </w:p>
        </w:tc>
        <w:tc>
          <w:tcPr>
            <w:tcW w:w="10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ectPr>
          <w:pgSz w:w="11900" w:h="16838" w:orient="portrait"/>
          <w:cols w:equalWidth="0" w:num="1">
            <w:col w:w="11040"/>
          </w:cols>
          <w:pgMar w:left="240" w:top="118" w:right="619" w:bottom="1440" w:gutter="0" w:footer="0" w:header="0"/>
        </w:sectPr>
      </w:pP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4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44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March 31, 2018 and 2017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Truck</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Segment</w:t>
            </w:r>
          </w:p>
        </w:tc>
        <w:tc>
          <w:tcPr>
            <w:tcW w:w="2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1,236,652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4,129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28,103</w:t>
            </w: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2,864,504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1,040,853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3,944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1,044,797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22,244</w:t>
            </w: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2,603,945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4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$2.6 million as a component of accrued liabilities at March 31, 2018 and December 31, 2017,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$166,000 accrued for the payment of interest at March 31, 2018 and December 31, 2017.</w:t>
      </w:r>
    </w:p>
    <w:p>
      <w:pPr>
        <w:spacing w:after="0" w:line="188" w:lineRule="exact"/>
        <w:rPr>
          <w:sz w:val="20"/>
          <w:szCs w:val="20"/>
          <w:color w:val="auto"/>
        </w:rPr>
      </w:pPr>
    </w:p>
    <w:p>
      <w:pPr>
        <w:jc w:val="both"/>
        <w:ind w:right="440" w:firstLine="648"/>
        <w:spacing w:after="0" w:line="270" w:lineRule="auto"/>
        <w:rPr>
          <w:sz w:val="20"/>
          <w:szCs w:val="20"/>
          <w:color w:val="auto"/>
        </w:rPr>
      </w:pPr>
      <w:r>
        <w:rPr>
          <w:rFonts w:ascii="Arial" w:cs="Arial" w:eastAsia="Arial" w:hAnsi="Arial"/>
          <w:sz w:val="17"/>
          <w:szCs w:val="17"/>
          <w:color w:val="auto"/>
        </w:rPr>
        <w:t>On December 22, 2017, the United States Congress enacted comprehensive tax legislation commonly referred to as the Tax Cuts and Jobs Act (“the Tax Act”). The Tax Act included, among other items, a reduction of the U.S. federal corporate tax rate from 35% to 21% effective January 1, 2018. The Tax Act made broad and complex changes to the U.S. tax code, some of which affected the Company’s 2017 year end results. Staff Accounting Bulletin No. 118 (SAB 118) provided guidance that allowed registrants to provide a reasonable estimate of the effects of the Tax Act in their financial statements and adjust the reported impact in a measurement period not to exceed one year. At December 31, 2017, the Company made a reasonable estimate of the effects of the Tax Act on its existing deferred tax balances and recognized a provisional net tax benefit of $82.9 million. The provisional benefit recorded was primarily a result of the remeasurement of the Company’s deferred tax assets and liabilities at the tax rate in which they will reverse when they are recognized. The Company will continue to refine its calculations as additional analysis is completed. In addition, the Company’s estimates may also be affected as it gains a more thorough understanding of the Tax Act.</w:t>
      </w:r>
    </w:p>
    <w:p>
      <w:pPr>
        <w:spacing w:after="0" w:line="18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2018, the tax years ended December 31, 2014 through 2017 remain subject to audit by federal tax authorities and the tax years ended December 31, 2013 through 2017 remain subject to audit by state tax authorities.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80" w:firstLine="648"/>
        <w:spacing w:after="0" w:line="293" w:lineRule="auto"/>
        <w:rPr>
          <w:sz w:val="20"/>
          <w:szCs w:val="20"/>
          <w:color w:val="auto"/>
        </w:rPr>
      </w:pPr>
      <w:r>
        <w:rPr>
          <w:rFonts w:ascii="Arial" w:cs="Arial" w:eastAsia="Arial" w:hAnsi="Arial"/>
          <w:sz w:val="16"/>
          <w:szCs w:val="16"/>
          <w:color w:val="auto"/>
        </w:rPr>
        <w:t>In March 2016, the Financial Accounting Standards Board (“FASB”) issued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w:t>
      </w:r>
      <w:r>
        <w:rPr>
          <w:rFonts w:ascii="Arial" w:cs="Arial" w:eastAsia="Arial" w:hAnsi="Arial"/>
          <w:sz w:val="16"/>
          <w:szCs w:val="16"/>
          <w:color w:val="auto"/>
        </w:rPr>
        <w:t>” which changed the accounting for certain aspects of share-based payments to employees. The Company adopted this standard on January 1, 2017.</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2016-09 requires excess tax benefits and tax deficiencies to be recognized as income tax benefit or expense in the income statement and presented as an operating activity in the statement of cash flows when the awards are vested or are settled. The Company had a tax deficiency of $22,000 in the first quarter of 2018, which was recorded as an increase to income tax expense, and excess tax benefits of $1.1 million in the first quarter of 2017, which was recorded as a reduction to income tax expense in the Consolidated Statement of Income and Comprehensive Income.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Securities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Securities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Balance at March 31, 2017</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The standard requires lessees to classify leases as either finance or operating leases. This classification will determine whether the related expense will be recognized based on asset amortization and interest on the obligation or on a straight-line basis over the term of the lease.</w:t>
      </w:r>
    </w:p>
    <w:p>
      <w:pPr>
        <w:spacing w:after="0" w:line="178"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7"/>
          <w:szCs w:val="17"/>
          <w:color w:val="auto"/>
        </w:rPr>
        <w:t>The Company will adopt Topic 842 on January 1, 2019. The standard requires a modified retrospective transition approach for all leases existing at, or entered into after, the date of initial application. While the recognition of right-of-use assets and related liabilities will have a material effect on the Company’s Consolidated Balance Sheets, the Company does not expect a material impact on its Consolidated Statements of Operations and Comprehensive Income. The FASB also issued ASU No. 2018-01, "</w:t>
      </w:r>
      <w:r>
        <w:rPr>
          <w:rFonts w:ascii="Arial" w:cs="Arial" w:eastAsia="Arial" w:hAnsi="Arial"/>
          <w:sz w:val="17"/>
          <w:szCs w:val="17"/>
          <w:i w:val="1"/>
          <w:iCs w:val="1"/>
          <w:color w:val="auto"/>
        </w:rPr>
        <w:t>Leases: Land Easement Practical Expedient for Transition to Topic 842,"</w:t>
      </w:r>
      <w:r>
        <w:rPr>
          <w:rFonts w:ascii="Arial" w:cs="Arial" w:eastAsia="Arial" w:hAnsi="Arial"/>
          <w:sz w:val="17"/>
          <w:szCs w:val="17"/>
          <w:color w:val="auto"/>
        </w:rPr>
        <w:t xml:space="preserve"> which provides guidance on specific transition issues. The Company is in the process of analyzing its lease portfolio and continues to evaluate the full impact of the new standards, including the impact on its business processes, systems, and internal controls.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amended the accounting standards for revenue recognition. Topic 606 is based on principles that govern the recognition of revenue at an amount an entity expects to be entitled to when products are transferred to customers. The Company adopted Topic 606 on January 1, 2018 and is applying the modified retrospective method. There was not a material impact to revenues as a result of applying Topic 606 for the three months ended March 31, 2018, and there have not been significant changes to our business processes, systems, or internal controls as a result of implementing the standard. Adoption of the new standard does not materially change the timing or amount of revenue recognized in the Company’s Consolidated Statements of Operations and Comprehensive Income.</w:t>
      </w:r>
    </w:p>
    <w:p>
      <w:pPr>
        <w:spacing w:after="0" w:line="1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ended March 31, 2018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2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Parts revenue</w:t>
            </w: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Finance revenue</w:t>
            </w: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revenue</w:t>
            </w:r>
          </w:p>
        </w:tc>
        <w:tc>
          <w:tcPr>
            <w:tcW w:w="2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1,183,257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March 31, 2018. Revenues related to commercial vehicle sales, parts sales, commercial vehicle repair service, finance and the majority of other revenue are related to the Truck Segment.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sale of new and commercial vehicles, revenue is recognized at a point in time when control is transferred to the customer, which is when delivery of the commercial vehicle occurs. Revenue is measured as the amount of consideration we expect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We give our customers the right to return eligible parts, and we estimate the expected returns based on an analysis of historical experience and record an allowance for estimated returns, which has historically not been material.</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repairs. Since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The Company receives commissions from third-party lenders for arranging customer financing for the purchase of commercial vehicles. This is deemed to be a single performance obligation which is satisfied when a financing agreement is executed and accepted by the financing provider. Once the contract has been accepted by the financing provider, the Company’s performance obligation has been satisfied, and generally, the Company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93"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Company receives commissions from third-party insurance companies for arranging insurance coverage for customers. This is deemed to be a single performance obligation which is satisfied when the insurance coverage is bound. The Company has no further obligations under the contract. The Company is the agent in this transaction as it does not have control over the insurance coverage provided by the insurance carrier. Consideration paid to the Company by the insurance provider is based on the agreement between the Company and the insurance provider.</w:t>
      </w:r>
    </w:p>
    <w:p>
      <w:pPr>
        <w:spacing w:after="0" w:line="154"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Revenues from finance and insurance products are recorded at the net sales price (transaction price), which includes estimates of variable consideration for which reserves are established and which result from chargebacks if the contract term is not fulfilled. Chargebacks for commissions from financing companies represent the estimated amounts if a financing contract is terminated before the customer has made six monthly payments. Chargebacks for commissions from insurance companies represent the estimated amounts if an insurance contract is terminated before its contractual life. Chargeback reserve amounts are based on historical chargebacks and have historically been immaterial. The Company does not have right to retrospective commissions based on future profitability of finance and insurance contracts arranged.</w:t>
      </w:r>
    </w:p>
    <w:p>
      <w:pPr>
        <w:spacing w:after="0" w:line="178"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Other revenue is mostly documentation fees related to the sale of a truck that are charged to the customer and recognized as other revenue when a truck is sold. We recognize the documentation fees at a point in time when the truck is transferred to the customer.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ERP Platform</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February 2018, the Company determined that a majority of the components of its ERP Platform would require replacement earlier than anticipated at the time the software was installed and capitalized in 2011. In accordance with ASC Topic 350-40, the Company prospectively adjusted the useful life of the components to be replaced so that the respective net book values of these components will be fully amortized upon replacement.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expects to replace certain components of its ERP Platform no later than May 2018. The net book value of the components being replaced is $19.9 million and is included in Other Assets on the Consolidated Balance Sheets. The Company began to amortize that amount in February 2018 and will continue to amortize that amount through May 2018. During the first quarter of 2018, the Company recorded additional amortization expense of $10.2 million related to replacement of the majority of its ERP Platform components. The Company expects to record amortization expense of $9.3 million during the second quarter of 2018. Prior to making the decision to replace these components, the Company’s amortization expense for its ERP Platform was approximately $0.9 million per quarter.</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2017,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i w:val="1"/>
          <w:iCs w:val="1"/>
          <w:color w:val="auto"/>
        </w:rPr>
        <w:t>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i w:val="1"/>
          <w:iCs w:val="1"/>
          <w:color w:val="auto"/>
        </w:rPr>
        <w:t>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We conduct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nationwide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nationwide network of commercial vehicle dealerships. We offer an integrated approach to meeting customer needs by providing service, parts and collision repair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2017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7"/>
          <w:szCs w:val="17"/>
          <w:color w:val="auto"/>
        </w:rPr>
        <w:t>Effective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modified retrospective transition method. Under this method, we will recognize the cumulative effect of initially applying this accounting standard at the date of initial application.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transfers to the customer. At contract inception, once the contract is determined to be within the scope of Topic 606, we assess the goods or services promised within each contract and determine those that are performance obligations, and then assess whether each promised good or service is distinct. We then recognize as revenue the amount of the transaction price that is allocated to the respective performance obligation when (or as) the performance obligation is satisfied. For a complete discussion of accounting for revenue, see Note 10 – New Accounting Pronouncements of the Notes to Consolidated Financial Statements.</w:t>
      </w:r>
    </w:p>
    <w:p>
      <w:pPr>
        <w:spacing w:after="0" w:line="1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2018 and 2017.</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gridSpan w:val="2"/>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20" w:type="dxa"/>
            <w:vAlign w:val="bottom"/>
            <w:gridSpan w:val="3"/>
          </w:tcPr>
          <w:p>
            <w:pPr>
              <w:jc w:val="right"/>
              <w:spacing w:after="0"/>
              <w:rPr>
                <w:sz w:val="20"/>
                <w:szCs w:val="20"/>
                <w:color w:val="auto"/>
              </w:rPr>
            </w:pPr>
            <w:r>
              <w:rPr>
                <w:rFonts w:ascii="Arial" w:cs="Arial" w:eastAsia="Arial" w:hAnsi="Arial"/>
                <w:sz w:val="18"/>
                <w:szCs w:val="18"/>
                <w:color w:val="auto"/>
                <w:w w:val="99"/>
              </w:rPr>
              <w:t>The following table sets forth for the periods indicated the percent of gross profit by revenue source:</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566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8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2,706</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8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472.1</w:t>
            </w:r>
          </w:p>
        </w:tc>
        <w:tc>
          <w:tcPr>
            <w:tcW w:w="200" w:type="dxa"/>
            <w:vAlign w:val="bottom"/>
          </w:tcPr>
          <w:p>
            <w:pPr>
              <w:spacing w:after="0"/>
              <w:rPr>
                <w:sz w:val="18"/>
                <w:szCs w:val="18"/>
                <w:color w:val="auto"/>
              </w:rPr>
            </w:pPr>
          </w:p>
        </w:tc>
        <w:tc>
          <w:tcPr>
            <w:tcW w:w="10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361.4</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18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8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revenues:</w:t>
            </w:r>
            <w:r>
              <w:rPr>
                <w:rFonts w:ascii="Arial" w:cs="Arial" w:eastAsia="Arial" w:hAnsi="Arial"/>
                <w:sz w:val="29"/>
                <w:szCs w:val="29"/>
                <w:color w:val="auto"/>
                <w:vertAlign w:val="superscript"/>
              </w:rPr>
              <w:t>(1)</w:t>
            </w:r>
          </w:p>
        </w:tc>
        <w:tc>
          <w:tcPr>
            <w:tcW w:w="18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120.0% absorption ratio for the first quarter of 2018 and 113.4% absorption ratio for the first quarter of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Aftermarket Products and Services revenues during the first quarter of 2018 benefited from widespread activity in the market segments that we serve, especially in the general freight, refuse and construction market segments. We continue to make significant progress in growing our all-makes parts business through our expanded sales organization, enhanced technology offerings, increasing range of product offerings and improved inventory sourcing and management processes. We believe our Aftermarket Products and Services revenues will remain strong throughout 2018.</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experienced another solid quarter in Class 8 new truck sales during the first quarter of 2018, primarily due to broad-based activity across virtually all of the market segments that we serve. We believe that economic confidence continues to drive high order intake and that a strong freight market is creating higher demand for Class 8 trucks. We continue to see normal depreciation rates for used commercial vehicles, and we believe our used commercial vehicle inventory is positioned appropriately to support the needs of the market during 2018.</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our Class 8 results in the second quarter to be fairly consistent with the first quarter and for our commercial vehicle sales to accelerate in the second half of the year. Our medium-duty truck sales also remained healthy in the first quarter as a result of strong overall economic activity. Due to the timing of truck deliveries to large leasing and rental fleets over the next several months, as well as continued strength in the construction sector, we believe our medium-duty commercial vehicle sales and bus sales will grow during the second and third quarters of 2018.</w:t>
      </w:r>
    </w:p>
    <w:p>
      <w:pPr>
        <w:spacing w:after="0" w:line="1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$196.0 million, or 18.8%, in the first quarter of 2018, compared to the first quarter of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Products and Services revenues increased $50.2 million, or 14.3%, in the first quarter of 2018, compared to the first quarter of 2017. This increase was primarily due to strong general economic conditions and an increase in the number of service technicians we employ. We expect our Aftermarket Products and Services revenues to increase 9% to 10% in 2018, compared to 2017.</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$137.1 million, or 21.6%, in the first quarter of 2018, compared to the first quarter of 2017, primarily as a result of broad-based activity across virtually all of the market segments that we serve.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sold 3,312 Class 8 heavy-duty trucks in the first quarter of 2018, a 22.4% increase compared to 2,706 Class 8 heavy-duty trucks in the first quarter of 2017. According to A.C.T. Research Co., LLC (“A.C.T. Research”), a truck industry data and forecasting service provider, the U.S. Class 8 truck market increased 35.9% in the first quarter of 2018 compared to the first quarter of 2017. A.C.T. Research currently forecasts U.S. retail sales of Class 8 trucks of approximately 254,000 units in 2018, 247,000 units in 2019 and 185,000 units in 2020, compared to approximately 197,000 units in 2017. Our share of the U.S. Class 8 truck sales market was approximately 6.6% in 2017. We expect our U.S. Class 8 commercial vehicle sales market share to decline to between 5.7% and 6.2% in 2018 due to the 2018 forecast for the U.S. Class 8 truck market. In a robust Class 8 truck market, historically, our market share declines. This market share percentage would result in the sale of approximately 14,400 to 15,700 of Class 8 commercial vehicles in 2018, based on A.C.T. Research’s current U.S. retail sales estimate of 254,000 units.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2,705 Class 4 through 7 commercial vehicles, including 288 buses, in the first quarter of 2018, a 6.0% increase compared to 2,553 medium-duty commercial vehicles, including 159 buses, in the first quarter of 2017. A.C.T. Research estimates that unit sales of Class 4 through 7 commercial vehicles in the U.S. increased approximately 6.2% in the first quarter of 2018, compared to the first quarter of 2017. A.C.T. Research currently forecasts U.S. retail sales of Class 4 through 7 medium-duty commercial vehicles of approximately 245,000 units in 2018, 252,000 units in 2019 and 264,000 in 2020. In 2017, we achieved a 4.5% share of the Class 4 through 7 market in the U.S. We expect our market share to range between 4.5% and 5.5% of the U.S. Class 4 through 7 commercial vehicle sales in 2018. This market share percentage would result in the sale of approximately 11,000 to 13,400 of Class 4 through 7 commercial vehicles in 2018, based on A.C.T. Research’s current U.S. retail sales estimates of 245,000 units.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431 light-duty vehicles in the first quarter of 2018, a 24.2% increase compared to 347 light-duty vehicles in the first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approximately 1,700 light-duty vehicles in 2018.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1,859 used commercial vehicles in the first quarter of 2018, an 8.6% increase compared to 1,711 used commercial vehicles in the first quarter of 2017. We expect to sell approximately 7,500 to 8,500 used commercial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$6.3 million, or 12.3%, in the first quarter of 2018, compared to the first quarter of 2017. We expect lease and rental revenue to increase 5% to 10% during 2018, compared to 2017.</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Finance and insurance revenues increased $0.8 million, or 20.7%, in the first quarter of 2018, compared to the first quarter of 2017. We expect finance and insurance revenues to fluctuate proportionately with our new and used commercial vehicle sales in 2018.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increased $1.6 million, or 43.6% in the first quarter of 2018, compared to the first quarter of 2017. Other income consists primarily of the gain on sale realized on trucks from the lease and rental fleet, document fees related to commercial vehicle sales and income from Central California Truck and Trailer Sales, LLC (“CCTTS”), our joint venture that operates non-franchised used commercial vehicle sales facilities in California and Arizona.</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Gross profit increased $39.1 million, or 20.8%, in the first quarter of 2018, compared to the first quarter of 2017. Gross profit as a percentage of sales increased to 18.3% in the first quarter of 2018, from 18.0% in the first quarter of 2017. The increase in gross profit as a percentage of sales is a result of increased gross margins in our Aftermarket Products and Services operations, commercial vehicle sales and truck lease and rental sales.</w:t>
      </w:r>
    </w:p>
    <w:p>
      <w:pPr>
        <w:spacing w:after="0" w:line="147"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36.4% in the first quarter of 2018, compared to 35.9% in the first quarter of 2017. Gross profit from our Aftermarket Products and Services operations increased to $145.9 million in the first quarter of 2018 from $125.6 million in the first quarter of 2017. Historically, gross margins on parts sales range from 27% to 28% and gross margins on service and body shop operations range from 67% to 68%. Gross profits from parts sales represented 57.4% of total gross profit for Aftermarket Products and Services operations in the first quarter of 2018 and 55.8% in the first quarter of 2017. Service and body shop operations represented 42.6% of total gross profit for Aftermarket Products and Services operations in the first quarter of 2018 and 44.2% in the first quarter of 2017. We expect blended gross margins on Aftermarket Products and Services operations to range from approximately 36.0% to 36.5% in 2018.</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Class 8 truck sales decreased to 8.1% in the first quarter of 2018, from 8.2% in the first quarter of 2017. This decrease is primarily due to the mix of purchasers, with more over-the-road fleet customers purchasing Class 8 trucks during the first quarter of 2018. In 2018, we expect overall gross margins from Class 8 commercial vehicle sales of approximately 7.0% to 8.0%.</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increased to 6.8% in the first quarter of 2018, from 6.7% in the first quarter of 2017. In 2018, we expect overall gross margins from Class 4 through 7 commercial vehicle sales of approximately 5.7% to 6.2%, but this will largely depend upon the mix of purchasers and types of vehicles sold.</w:t>
      </w:r>
    </w:p>
    <w:p>
      <w:pPr>
        <w:spacing w:after="0" w:line="18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Gross margins on used commercial vehicle sales increased to 11.2% in the first quarter of 2018, from 8.6% in the first quarter of 2017. This increase is primarily due to strong demand for used vehicles as a result of increased freight demand and advantageous acquisition costs of used vehicle inventory. We expect margins on used commercial vehicles to range between 8.5% and 10.0% during 2018.</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margins from truck lease and rental sales increased to 15.8% in the first quarter of 2018, from 13.5% in the first quarter of 2017. This increase is primarily related to increased rental fleet utilization. We expect gross margins from lease and rental sales of approximately 16.0% to 17.5% during 2018.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increased $21.3 million, or 14.1%, in the first quarter of 2018, compared to the first quarter of 2017. This increase is primarily related to the increase in employee benefits and payroll taxes that we normally recognize during the first quarter of each year and increased commissions resulting from increased sales of commercial vehicles and aftermarket services. SG&amp;A expenses as a percentage of total revenues decreased to 13.8% in 2018, from 14.4% in 2017.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2018, we expect SG&amp;A expenses as a percentage of total revenues to range from 13.5% to 14.5% and the selling portion of SG&amp;A expenses to be approximately 25.0% to 30.0% of new and used commercial vehicle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$10.4 million, or 83.4%, in the first quarter of 2018, compared to the first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increase is primarily related to the additional amortization expense of $10.2 million related to the replacement of our ERP Platform components.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11 – Long-Lived Asset of the Notes to Consolidated Financial Statements.</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increased $1.5 million, or 54.3%, in the first quarter of 2018, compared to the first quarter of 2017. This increase is primarily related to the increase in the LIBOR rate over the last year and increased inventory levels, compared to the first quarter of 2017. Net interest expense in 2018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increased $6.0 million, or 27.3%, in the first quarter of 2018, compared to the first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taxes increased $2.0 million, or 26.7%, in the first quarter of 2018, compared to the first quarter of 2017. In the first quarter of 2018, we recorded $22,000 of tax expense related to an excess tax deficiency of equity compensation which increased income tax expense. In the first quarter of 2017, we recorded a $1.1 million tax benefit related to excess tax benefits of equity compensation which reduced income tax expense. We provided for taxes at a 25.0% effective rate in the first quarter of 2018 and 39.00% in the first quarter of 2017. We expect our effective tax rate to be approximately 25% to 26% of pretax income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2018, we had working capital of approximately $195.1 million, including $131.7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March 31, 2018, however, $11.7 million was pledged to secure various letters of credit related to self-insurance products, leaving $5.8 million available for future borrowings as of March 31, 2018.</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21, 2017, we entered into a working capital facility with BMO Harris (the “Working Capital Facility”). The Working Capital Facility includes up to $100 million of revolving credit loans to the Company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March 31, 2018.</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March 31, 2018,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$165.0 million to $190.0 million for our leasing operations during 2018, depending on customer demand, all of which will be financed. We also expect to make capital expenditures for recurring items such as computers, shop tools and equipment and vehicles of approximately $20.0 million to $25.0 million during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currently constructing facilities in Denton, Texas, Springfield, Illinois and Dayton, Ohio with remaining contract costs of $12.2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construction projects will continue through 2018.</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30, 2017, we announced that our Board of Directors authorized the repurchase, from time to time, of up to an aggregate of $40.0 million shares of Class A Common Stock and/or Class B Common Stock. On March 14, 2018, we announced that our Board of Directors approved an increase of $35.0 million to our existing stock purchase program, up to an aggregate of $75.0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29, 2018, and may be suspended or discontinued at any time.</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March 31, 2018.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$7.2 million during the three months ended March 31, 2018, and increased by $7.0 million during the three months ended March 31, 2017.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quarter of 2018, operating activities resulted in net cash provided by operations of $117.7 million. Net cash provided by operating activities primarily consisted of $21.0 million in net income, as well as non-cash adjustments related to depreciation and amortization of $51.1 million, deferred income tax of $0.8 million and stock-based compensation of $7.9 million. Cash used in operating activities included an aggregate of $36.9 million net change in operating assets and liabilities. Included in the net change in operating assets and liabilities were primarily cash inflows of $35.4 million from the net increase in floor plan (trade), $5.7 million from the decrease in inventories and $5.0 million from the net increase in accounts payable and accrued liabilities, which was offset by $7.1 million from the increase in accounts receivable. The majority of our commercial vehicle inventory is financed through our floor plan credit agreements.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2017, operating activities resulted in net cash provided by operations of $37.5 million. Net cash provided by operating activities primarily consisted of $14.5 million in net income, as well as non-cash adjustments related to depreciation and amortization of $38.7 million, deferred income taxes of $1.4 million and stock-based compensation of $4.8 million. Cash used in operating activities included an aggregate of $22.0 million net change in operating assets and liabilities. Included in the net change in operating assets and liabilities primarily were cash inflows of $18.6 million from the net increase in floor plan (trade) which was offset by $12.9 million from the increase in accounts receivable, $19.4 million from the increase in inventories, $2.2 million from the decrease in customer deposits and $5.5 million from the net decrease in accounts payable and accrued liabilities.</w:t>
      </w:r>
    </w:p>
    <w:p>
      <w:pPr>
        <w:spacing w:after="0" w:line="18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March 31, 2018, the interest rate on the wholesale financing agreement was 6.25% before considering the applicable incentives. As of March 31, 2018, we had an outstanding balance of approximately $97.7 million under the Ford Motor Credit Company wholesale financing agreement.</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first quarter of 2018, cash used in investing activities was $47.1 million. Cash flows used in investing activities consist primarily of cash used for capital expenditures. Capital expenditures of $48.2 million consisted primarily of $5.1 million for purchases of property and equipment and improvements to our existing dealership facilities and $43.1 million for additional units for the rental and leasing operations, which were directly offset by borrowings of long-term debt. We expect to purchase or lease commercial vehicles worth approximately $165.0 million to $190.0 million for our leasing operations in 2018, depending on customer demand, all of which will be financed. During 2018, we expect to make capital expenditures for recurring items such as computers, shop equipment and vehicles of $20.0 million to $25.0 million.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2017, cash used in investing activities was $32.4 million. Cash flows used in investing activities consist primarily of cash used for capital expenditures. Capital expenditures of $39.2 million consisted primarily of $11.3 million for purchases of property and equipment and improvements to our existing dealership facilities and $27.9 million for additional units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quarter of 2018, we used $63.4 million in net cash flow from financing activities. Cash outflows were primarily related to $49.5 million used for principal repayments of long-term debt and capital lease obligations, $8.4 million from net payments of floor plan (non-trade) and $38.1 million used for the repurchase of common stock. These cash outflows were offset by cash inflows related to borrowings of $32.1 million of long-term debt. The borrowings of long-term debt were related to purchasing units for the rental and leasing operations.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2017, we generated $2.0 million in net cash flow from financing activities. Cash outflows were primarily related to $41.5 million used for principal repayments of long-term debt and capital lease obligations and $7.6 million used for repurchase of common stock. These cash outflows were offset by cash inflows related to $19.1 million from net draws on floor plan (non-trade), borrowings of $25.6 million of long-term debt and $6.9 million from the issuance of shares related to equity compensation plans. The borrowings of long-term debt were related to purchasing units for the rental and leasing operations.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on or prior to July 1, 2018 or $500,000 if such termination occurs after July 1, 2018 and prior to June 30, 2019, subject to specified limited exceptions. On March 31, 2018, we had approximately $650.7 million outstanding under the Floor Plan Credit Agreement. The average daily outstanding borrowings under the Floor Plan Credit Agreement were $652.4 million during the quarter ended March 31, 2018.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days. If the commercial vehicle is not sold within the interest-free period, we then finance the commercial vehicle under the Floor Plan Credit Agreement.</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2018, our backlog of commercial vehicle orders was approximately $1,358.3 million, as compared to a backlog of commercial vehicle orders of approximately $1,036.2 million on March 31, 2017.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2018, and we expect to fill the majority of our backlog orders during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253,000 in 2015.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body shop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March 31, 2018, we had floor plan borrowings and variable interest rate real estate debt of approximately $897.0 million. Assuming an increase or decrease in LIBOR of 100 basis points, annual interest expense could correspondingly increase or decrease by approximately $9.0 million.</w:t>
      </w:r>
    </w:p>
    <w:p>
      <w:pPr>
        <w:spacing w:after="0" w:line="15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March 31, 2018, we hold auction rate securities, with underlying tax-exempt municipal bonds that mature in 2030, that have a fair value of $6.4 million. Given the current market conditions in the auction rate securities market, if we determine that the fair value of these securities temporarily decreases by an additional 10%, our equity could correspondingly decrease by approximately $640,000. If it is determined that the fair value of these securities is other-than-temporarily impaired by 10%, we could record a loss on our Consolidated Statements of Income of approximately $640,000. For further discussion of the risks related to our auction rate securities, see Note 6 – Financial Instruments and Fair Value of the Notes to Consolidated Financial Statements.</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40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2018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40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2017 Annual Report on Form 10-K (the “2017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first quarter of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first quarter of 2018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Purchased</w:t>
            </w: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as Part of</w:t>
            </w: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Price Paid</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Publicly</w:t>
            </w: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Per Share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 Plans</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(1)</w:t>
            </w:r>
          </w:p>
        </w:tc>
        <w:tc>
          <w:tcPr>
            <w:tcW w:w="3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or Programs (3)</w:t>
            </w:r>
          </w:p>
        </w:tc>
        <w:tc>
          <w:tcPr>
            <w:tcW w:w="100" w:type="dxa"/>
            <w:vAlign w:val="bottom"/>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2018</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48.88 </w:t>
            </w:r>
            <w:r>
              <w:rPr>
                <w:rFonts w:ascii="Arial" w:cs="Arial" w:eastAsia="Arial" w:hAnsi="Arial"/>
                <w:sz w:val="18"/>
                <w:szCs w:val="18"/>
                <w:b w:val="1"/>
                <w:bCs w:val="1"/>
                <w:color w:val="auto"/>
              </w:rPr>
              <w:t>(4)</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71,710,598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February 1 – February 28, 2018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475,578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41.91 </w:t>
            </w:r>
            <w:r>
              <w:rPr>
                <w:rFonts w:ascii="Arial" w:cs="Arial" w:eastAsia="Arial" w:hAnsi="Arial"/>
                <w:sz w:val="18"/>
                <w:szCs w:val="18"/>
                <w:b w:val="1"/>
                <w:bCs w:val="1"/>
                <w:color w:val="auto"/>
              </w:rPr>
              <w:t>(5)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475,578</w:t>
            </w:r>
          </w:p>
        </w:tc>
        <w:tc>
          <w:tcPr>
            <w:tcW w:w="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51,766,909</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 – March 31, 2018</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41.88 </w:t>
            </w:r>
            <w:r>
              <w:rPr>
                <w:rFonts w:ascii="Arial" w:cs="Arial" w:eastAsia="Arial" w:hAnsi="Arial"/>
                <w:sz w:val="18"/>
                <w:szCs w:val="18"/>
                <w:b w:val="1"/>
                <w:bCs w:val="1"/>
                <w:color w:val="auto"/>
              </w:rPr>
              <w:t>(6)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412,262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34,490,838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906,594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34,490,838</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60" w:right="38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repurchased shares under a stock repurchase program announced on November 30, 2017, which authorized the repurchase of up to $40.0 million of its shares of Class A Common Stock and/or Class B Common Stock and will expire on November 29, 2018. On March 14, 2018, the Company announced the approval of an increase of $35.0 million to its existing stock purchase program, up to an aggregate of $75.0 million of its shares of Class A Common Stock and/or Class B Common Stock.</w:t>
      </w:r>
    </w:p>
    <w:p>
      <w:pPr>
        <w:sectPr>
          <w:pgSz w:w="11900" w:h="16838" w:orient="portrait"/>
          <w:cols w:equalWidth="0" w:num="1">
            <w:col w:w="11420"/>
          </w:cols>
          <w:pgMar w:left="240" w:top="118"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18,754 shares of Class B Common Stock at an average price paid per share of $48.88.</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445,342 shares of Class A Common Stock at an average price paid per share of $41.85 and 30,236 shares of Class B Common Stock at an average price paid per share of $42.72.</w:t>
      </w:r>
    </w:p>
    <w:p>
      <w:pPr>
        <w:ind w:left="66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388,841 shares of Class A Common Stock at an average price paid per share of $42.01 and 23,421 shares of Class B Common Stock at an average price paid per share of $39.58.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0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9460" w:type="dxa"/>
            <w:vAlign w:val="bottom"/>
            <w:gridSpan w:val="9"/>
          </w:tcPr>
          <w:p>
            <w:pPr>
              <w:spacing w:after="0" w:line="194" w:lineRule="exact"/>
              <w:rPr>
                <w:sz w:val="20"/>
                <w:szCs w:val="20"/>
                <w:color w:val="auto"/>
              </w:rPr>
            </w:pPr>
            <w:r>
              <w:rPr>
                <w:rFonts w:ascii="Arial" w:cs="Arial" w:eastAsia="Arial" w:hAnsi="Arial"/>
                <w:sz w:val="18"/>
                <w:szCs w:val="18"/>
                <w:b w:val="1"/>
                <w:bCs w:val="1"/>
                <w:color w:val="auto"/>
              </w:rPr>
              <w:t>Exhibit Title</w:t>
            </w:r>
          </w:p>
        </w:tc>
        <w:tc>
          <w:tcPr>
            <w:tcW w:w="0" w:type="dxa"/>
            <w:vAlign w:val="bottom"/>
          </w:tcPr>
          <w:p>
            <w:pPr>
              <w:spacing w:after="0"/>
              <w:rPr>
                <w:sz w:val="1"/>
                <w:szCs w:val="1"/>
                <w:color w:val="auto"/>
              </w:rPr>
            </w:pPr>
          </w:p>
        </w:tc>
      </w:tr>
      <w:tr>
        <w:trPr>
          <w:trHeight w:val="237"/>
        </w:trPr>
        <w:tc>
          <w:tcPr>
            <w:tcW w:w="54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ind w:right="310"/>
              <w:spacing w:after="0"/>
              <w:rPr>
                <w:sz w:val="20"/>
                <w:szCs w:val="20"/>
                <w:color w:val="auto"/>
              </w:rPr>
            </w:pPr>
            <w:r>
              <w:rPr>
                <w:rFonts w:ascii="Arial" w:cs="Arial" w:eastAsia="Arial" w:hAnsi="Arial"/>
                <w:sz w:val="18"/>
                <w:szCs w:val="18"/>
                <w:color w:val="auto"/>
                <w:w w:val="95"/>
              </w:rPr>
              <w:t>3.1</w:t>
            </w:r>
          </w:p>
        </w:tc>
        <w:tc>
          <w:tcPr>
            <w:tcW w:w="520" w:type="dxa"/>
            <w:vAlign w:val="bottom"/>
            <w:vMerge w:val="restart"/>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60" w:type="dxa"/>
            <w:vAlign w:val="bottom"/>
            <w:tcBorders>
              <w:bottom w:val="single" w:sz="8" w:color="0000EE"/>
            </w:tcBorders>
            <w:gridSpan w:val="9"/>
          </w:tcPr>
          <w:p>
            <w:pPr>
              <w:spacing w:after="0" w:line="170" w:lineRule="exact"/>
              <w:rPr>
                <w:rFonts w:ascii="Arial" w:cs="Arial" w:eastAsia="Arial" w:hAnsi="Arial"/>
                <w:sz w:val="18"/>
                <w:szCs w:val="18"/>
                <w:color w:val="0000EE"/>
                <w:w w:val="95"/>
              </w:rPr>
            </w:pPr>
            <w:hyperlink r:id="rId30">
              <w:r>
                <w:rPr>
                  <w:rFonts w:ascii="Arial" w:cs="Arial" w:eastAsia="Arial" w:hAnsi="Arial"/>
                  <w:sz w:val="18"/>
                  <w:szCs w:val="18"/>
                  <w:color w:val="0000EE"/>
                  <w:w w:val="95"/>
                </w:rPr>
                <w:t>Restated Articles of Incorporation of Rush Enterprises, Inc. (incorporated herein by reference to Exhibit 3.1 of the Company’s</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Quarterly Report on Form 10-Q (File No. 000-20797) for the quarter ended June 30, 2008)</w:t>
              </w:r>
            </w:hyperlink>
          </w:p>
        </w:tc>
        <w:tc>
          <w:tcPr>
            <w:tcW w:w="2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3.2</w:t>
            </w:r>
          </w:p>
        </w:tc>
        <w:tc>
          <w:tcPr>
            <w:tcW w:w="520" w:type="dxa"/>
            <w:vAlign w:val="bottom"/>
          </w:tcPr>
          <w:p>
            <w:pPr>
              <w:spacing w:after="0"/>
              <w:rPr>
                <w:sz w:val="17"/>
                <w:szCs w:val="17"/>
                <w:color w:val="auto"/>
              </w:rPr>
            </w:pPr>
          </w:p>
        </w:tc>
        <w:tc>
          <w:tcPr>
            <w:tcW w:w="9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Rush Enterprises, Inc. Amended and Restated Bylaws (incorporated herein by reference to Exhibit 3.1 of the Company’s Current</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Report on Form 8-K (File No. 000-20797) filed May 21, 2013)</w:t>
              </w:r>
            </w:hyperlink>
          </w:p>
        </w:tc>
        <w:tc>
          <w:tcPr>
            <w:tcW w:w="49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31.1*</w:t>
            </w:r>
          </w:p>
        </w:tc>
        <w:tc>
          <w:tcPr>
            <w:tcW w:w="520" w:type="dxa"/>
            <w:vAlign w:val="bottom"/>
          </w:tcPr>
          <w:p>
            <w:pPr>
              <w:spacing w:after="0"/>
              <w:rPr>
                <w:sz w:val="17"/>
                <w:szCs w:val="17"/>
                <w:color w:val="auto"/>
              </w:rPr>
            </w:pPr>
          </w:p>
        </w:tc>
        <w:tc>
          <w:tcPr>
            <w:tcW w:w="9460" w:type="dxa"/>
            <w:vAlign w:val="bottom"/>
            <w:gridSpan w:val="9"/>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Certification of CEO pursuant to Rules 13a-14(a) and 15d-14(a) adopted pursuant to Section 302 of the Sarbanes-Oxley Act of</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2002.</w:t>
              </w:r>
            </w:hyperlink>
          </w:p>
        </w:tc>
        <w:tc>
          <w:tcPr>
            <w:tcW w:w="56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5"/>
              </w:rPr>
              <w:t>31.2*</w:t>
            </w:r>
          </w:p>
        </w:tc>
        <w:tc>
          <w:tcPr>
            <w:tcW w:w="520" w:type="dxa"/>
            <w:vAlign w:val="bottom"/>
          </w:tcPr>
          <w:p>
            <w:pPr>
              <w:spacing w:after="0"/>
              <w:rPr>
                <w:sz w:val="17"/>
                <w:szCs w:val="17"/>
                <w:color w:val="auto"/>
              </w:rPr>
            </w:pPr>
          </w:p>
        </w:tc>
        <w:tc>
          <w:tcPr>
            <w:tcW w:w="9460" w:type="dxa"/>
            <w:vAlign w:val="bottom"/>
            <w:gridSpan w:val="9"/>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CFO pursuant to Rules 13a-14(a) and 15d-14(a) adopted pursuant to Section 302 of the Sarbanes-Oxley Act of</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2002.</w:t>
              </w:r>
            </w:hyperlink>
          </w:p>
        </w:tc>
        <w:tc>
          <w:tcPr>
            <w:tcW w:w="56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7"/>
              </w:rPr>
              <w:t>32.1**</w:t>
            </w:r>
          </w:p>
        </w:tc>
        <w:tc>
          <w:tcPr>
            <w:tcW w:w="52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left="50"/>
              <w:spacing w:after="0" w:line="196" w:lineRule="exact"/>
              <w:rPr>
                <w:sz w:val="20"/>
                <w:szCs w:val="20"/>
                <w:color w:val="auto"/>
              </w:rPr>
            </w:pPr>
            <w:r>
              <w:rPr>
                <w:rFonts w:ascii="Arial" w:cs="Arial" w:eastAsia="Arial" w:hAnsi="Arial"/>
                <w:sz w:val="18"/>
                <w:szCs w:val="18"/>
                <w:color w:val="auto"/>
                <w:w w:val="97"/>
              </w:rPr>
              <w:t>32.2**</w:t>
            </w:r>
          </w:p>
        </w:tc>
        <w:tc>
          <w:tcPr>
            <w:tcW w:w="52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CFO pursuant to 18 U.S.C. Section 1350 as adopted pursuant to Section 906 of the Sarbanes-Oxley Act of 2002.</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101.INS*</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101.SCH*</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101.CAL*</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101.DEF*</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101.LAB*</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700" w:type="dxa"/>
            <w:vAlign w:val="bottom"/>
            <w:gridSpan w:val="3"/>
          </w:tcPr>
          <w:p>
            <w:pPr>
              <w:ind w:left="500"/>
              <w:spacing w:after="0"/>
              <w:rPr>
                <w:sz w:val="20"/>
                <w:szCs w:val="20"/>
                <w:color w:val="auto"/>
              </w:rPr>
            </w:pPr>
            <w:r>
              <w:rPr>
                <w:rFonts w:ascii="Arial" w:cs="Arial" w:eastAsia="Arial" w:hAnsi="Arial"/>
                <w:sz w:val="18"/>
                <w:szCs w:val="18"/>
                <w:color w:val="auto"/>
              </w:rPr>
              <w:t>101.PRE*</w:t>
            </w:r>
          </w:p>
        </w:tc>
        <w:tc>
          <w:tcPr>
            <w:tcW w:w="94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00"/>
              <w:spacing w:after="0"/>
              <w:rPr>
                <w:sz w:val="20"/>
                <w:szCs w:val="20"/>
                <w:color w:val="auto"/>
              </w:rPr>
            </w:pPr>
            <w:r>
              <w:rPr>
                <w:rFonts w:ascii="Arial" w:cs="Arial" w:eastAsia="Arial" w:hAnsi="Arial"/>
                <w:sz w:val="18"/>
                <w:szCs w:val="18"/>
                <w:color w:val="auto"/>
              </w:rPr>
              <w:t>May 10, 2018</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W.M. “RUSTY” RUSH</w:t>
            </w:r>
          </w:p>
        </w:tc>
        <w:tc>
          <w:tcPr>
            <w:tcW w:w="1360" w:type="dxa"/>
            <w:vAlign w:val="bottom"/>
          </w:tcPr>
          <w:p>
            <w:pPr>
              <w:spacing w:after="0"/>
              <w:rPr>
                <w:sz w:val="20"/>
                <w:szCs w:val="20"/>
                <w:color w:val="auto"/>
              </w:rPr>
            </w:pPr>
          </w:p>
        </w:tc>
      </w:tr>
      <w:tr>
        <w:trPr>
          <w:trHeight w:val="195"/>
        </w:trPr>
        <w:tc>
          <w:tcPr>
            <w:tcW w:w="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136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13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c>
          <w:tcPr>
            <w:tcW w:w="13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r>
      <w:tr>
        <w:trPr>
          <w:trHeight w:val="86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00"/>
              <w:spacing w:after="0"/>
              <w:rPr>
                <w:sz w:val="20"/>
                <w:szCs w:val="20"/>
                <w:color w:val="auto"/>
              </w:rPr>
            </w:pPr>
            <w:r>
              <w:rPr>
                <w:rFonts w:ascii="Arial" w:cs="Arial" w:eastAsia="Arial" w:hAnsi="Arial"/>
                <w:sz w:val="18"/>
                <w:szCs w:val="18"/>
                <w:color w:val="auto"/>
              </w:rPr>
              <w:t>May 10, 2018</w:t>
            </w:r>
          </w:p>
        </w:tc>
        <w:tc>
          <w:tcPr>
            <w:tcW w:w="6440" w:type="dxa"/>
            <w:vAlign w:val="bottom"/>
            <w:gridSpan w:val="2"/>
          </w:tcPr>
          <w:p>
            <w:pPr>
              <w:ind w:left="2100"/>
              <w:spacing w:after="0"/>
              <w:rPr>
                <w:sz w:val="20"/>
                <w:szCs w:val="20"/>
                <w:color w:val="auto"/>
              </w:rPr>
            </w:pPr>
            <w:r>
              <w:rPr>
                <w:rFonts w:ascii="Arial" w:cs="Arial" w:eastAsia="Arial" w:hAnsi="Arial"/>
                <w:sz w:val="18"/>
                <w:szCs w:val="18"/>
                <w:color w:val="auto"/>
              </w:rPr>
              <w:t>By: /S/ STEVEN L. KELLER</w:t>
            </w:r>
          </w:p>
        </w:tc>
        <w:tc>
          <w:tcPr>
            <w:tcW w:w="1360" w:type="dxa"/>
            <w:vAlign w:val="bottom"/>
          </w:tcPr>
          <w:p>
            <w:pPr>
              <w:spacing w:after="0"/>
              <w:rPr>
                <w:sz w:val="24"/>
                <w:szCs w:val="24"/>
                <w:color w:val="auto"/>
              </w:rPr>
            </w:pPr>
          </w:p>
        </w:tc>
      </w:tr>
      <w:tr>
        <w:trPr>
          <w:trHeight w:val="195"/>
        </w:trPr>
        <w:tc>
          <w:tcPr>
            <w:tcW w:w="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3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20"/>
                <w:szCs w:val="20"/>
                <w:color w:val="auto"/>
              </w:rPr>
            </w:pPr>
          </w:p>
        </w:tc>
      </w:tr>
      <w:tr>
        <w:trPr>
          <w:trHeight w:val="648"/>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Exhibit</w:t>
            </w:r>
          </w:p>
        </w:tc>
        <w:tc>
          <w:tcPr>
            <w:tcW w:w="96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gridSpan w:val="3"/>
          </w:tcPr>
          <w:p>
            <w:pPr>
              <w:jc w:val="center"/>
              <w:ind w:right="400"/>
              <w:spacing w:after="0" w:line="194" w:lineRule="exact"/>
              <w:rPr>
                <w:sz w:val="20"/>
                <w:szCs w:val="20"/>
                <w:color w:val="auto"/>
              </w:rPr>
            </w:pPr>
            <w:r>
              <w:rPr>
                <w:rFonts w:ascii="Arial" w:cs="Arial" w:eastAsia="Arial" w:hAnsi="Arial"/>
                <w:sz w:val="18"/>
                <w:szCs w:val="18"/>
                <w:b w:val="1"/>
                <w:bCs w:val="1"/>
                <w:color w:val="auto"/>
                <w:w w:val="94"/>
              </w:rPr>
              <w:t>Number</w:t>
            </w:r>
          </w:p>
        </w:tc>
        <w:tc>
          <w:tcPr>
            <w:tcW w:w="9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Title</w:t>
            </w:r>
          </w:p>
        </w:tc>
        <w:tc>
          <w:tcPr>
            <w:tcW w:w="0" w:type="dxa"/>
            <w:vAlign w:val="bottom"/>
          </w:tcPr>
          <w:p>
            <w:pPr>
              <w:spacing w:after="0"/>
              <w:rPr>
                <w:sz w:val="1"/>
                <w:szCs w:val="1"/>
                <w:color w:val="auto"/>
              </w:rPr>
            </w:pPr>
          </w:p>
        </w:tc>
      </w:tr>
      <w:tr>
        <w:trPr>
          <w:trHeight w:val="237"/>
        </w:trPr>
        <w:tc>
          <w:tcPr>
            <w:tcW w:w="12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87"/>
              </w:rPr>
              <w:t>3.1</w:t>
            </w:r>
          </w:p>
        </w:tc>
        <w:tc>
          <w:tcPr>
            <w:tcW w:w="520" w:type="dxa"/>
            <w:vAlign w:val="bottom"/>
            <w:vMerge w:val="restart"/>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9460" w:type="dxa"/>
            <w:vAlign w:val="bottom"/>
            <w:gridSpan w:val="2"/>
          </w:tcPr>
          <w:p>
            <w:pPr>
              <w:spacing w:after="0" w:line="195" w:lineRule="exact"/>
              <w:rPr>
                <w:sz w:val="20"/>
                <w:szCs w:val="20"/>
                <w:color w:val="auto"/>
              </w:rPr>
            </w:pPr>
            <w:r>
              <w:rPr>
                <w:rFonts w:ascii="Arial" w:cs="Arial" w:eastAsia="Arial" w:hAnsi="Arial"/>
                <w:sz w:val="18"/>
                <w:szCs w:val="18"/>
                <w:color w:val="auto"/>
                <w:w w:val="95"/>
              </w:rPr>
              <w:t>Restated Articles of Incorporation of Rush Enterprises, Inc. (incorporated herein by reference to Exhibit 3.1 of the Company’s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Quarterly Report on Form 10-Q (File No. 000-20797) for the quarter ended June 30, 2008)</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Rush Enterprises, Inc. Amended and Restated Bylaws (incorporated herein by reference to Exhibit 3.1 of the Company’s Current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Report on Form 8-K (File No. 000-20797) filed May 21,2013)</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31.1*</w:t>
            </w: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2002.</w:t>
            </w:r>
          </w:p>
        </w:tc>
        <w:tc>
          <w:tcPr>
            <w:tcW w:w="8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31.2*</w:t>
            </w: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 the Sarbanes-Oxley Act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2002.</w:t>
            </w:r>
          </w:p>
        </w:tc>
        <w:tc>
          <w:tcPr>
            <w:tcW w:w="8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32.1**</w:t>
            </w: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32.2**</w:t>
            </w:r>
          </w:p>
        </w:tc>
        <w:tc>
          <w:tcPr>
            <w:tcW w:w="5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101.INS*</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101.SCH*</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101.CAL*</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101.DEF*</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101.LAB*</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80" w:type="dxa"/>
            <w:vAlign w:val="bottom"/>
            <w:gridSpan w:val="3"/>
          </w:tcPr>
          <w:p>
            <w:pPr>
              <w:ind w:left="80"/>
              <w:spacing w:after="0"/>
              <w:rPr>
                <w:sz w:val="20"/>
                <w:szCs w:val="20"/>
                <w:color w:val="auto"/>
              </w:rPr>
            </w:pPr>
            <w:r>
              <w:rPr>
                <w:rFonts w:ascii="Arial" w:cs="Arial" w:eastAsia="Arial" w:hAnsi="Arial"/>
                <w:sz w:val="18"/>
                <w:szCs w:val="18"/>
                <w:color w:val="auto"/>
              </w:rPr>
              <w:t>101.PRE*</w:t>
            </w:r>
          </w:p>
        </w:tc>
        <w:tc>
          <w:tcPr>
            <w:tcW w:w="94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18"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2018</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680" w:type="dxa"/>
            <w:vAlign w:val="bottom"/>
          </w:tcPr>
          <w:p>
            <w:pPr>
              <w:spacing w:after="0"/>
              <w:rPr>
                <w:sz w:val="18"/>
                <w:szCs w:val="18"/>
                <w:color w:val="auto"/>
              </w:rPr>
            </w:pPr>
          </w:p>
        </w:tc>
        <w:tc>
          <w:tcPr>
            <w:tcW w:w="6380" w:type="dxa"/>
            <w:vAlign w:val="bottom"/>
            <w:gridSpan w:val="2"/>
          </w:tcPr>
          <w:p>
            <w:pPr>
              <w:ind w:left="2400"/>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3680" w:type="dxa"/>
            <w:vAlign w:val="bottom"/>
          </w:tcPr>
          <w:p>
            <w:pPr>
              <w:spacing w:after="0"/>
              <w:rPr>
                <w:sz w:val="18"/>
                <w:szCs w:val="18"/>
                <w:color w:val="auto"/>
              </w:rPr>
            </w:pPr>
          </w:p>
        </w:tc>
        <w:tc>
          <w:tcPr>
            <w:tcW w:w="6380" w:type="dxa"/>
            <w:vAlign w:val="bottom"/>
            <w:gridSpan w:val="2"/>
          </w:tcPr>
          <w:p>
            <w:pPr>
              <w:ind w:left="2400"/>
              <w:spacing w:after="0"/>
              <w:rPr>
                <w:sz w:val="20"/>
                <w:szCs w:val="20"/>
                <w:color w:val="auto"/>
              </w:rPr>
            </w:pPr>
            <w:r>
              <w:rPr>
                <w:rFonts w:ascii="Arial" w:cs="Arial" w:eastAsia="Arial" w:hAnsi="Arial"/>
                <w:sz w:val="18"/>
                <w:szCs w:val="18"/>
                <w:color w:val="auto"/>
              </w:rPr>
              <w:t>Chairman of the Board</w:t>
            </w:r>
          </w:p>
        </w:tc>
      </w:tr>
      <w:tr>
        <w:trPr>
          <w:trHeight w:val="230"/>
        </w:trPr>
        <w:tc>
          <w:tcPr>
            <w:tcW w:w="3680" w:type="dxa"/>
            <w:vAlign w:val="bottom"/>
          </w:tcPr>
          <w:p>
            <w:pPr>
              <w:spacing w:after="0"/>
              <w:rPr>
                <w:sz w:val="20"/>
                <w:szCs w:val="20"/>
                <w:color w:val="auto"/>
              </w:rPr>
            </w:pPr>
          </w:p>
        </w:tc>
        <w:tc>
          <w:tcPr>
            <w:tcW w:w="6380" w:type="dxa"/>
            <w:vAlign w:val="bottom"/>
            <w:gridSpan w:val="2"/>
          </w:tcPr>
          <w:p>
            <w:pPr>
              <w:ind w:left="24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2018</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2018,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/S/ W.M. “RUSTY” RUSH</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22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W.M. “Rusty” Rush</w:t>
            </w:r>
          </w:p>
        </w:tc>
        <w:tc>
          <w:tcPr>
            <w:tcW w:w="840" w:type="dxa"/>
            <w:vAlign w:val="bottom"/>
          </w:tcPr>
          <w:p>
            <w:pPr>
              <w:spacing w:after="0"/>
              <w:rPr>
                <w:sz w:val="19"/>
                <w:szCs w:val="19"/>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480" w:type="dxa"/>
            <w:vAlign w:val="bottom"/>
          </w:tcPr>
          <w:p>
            <w:pPr>
              <w:spacing w:after="0"/>
              <w:rPr>
                <w:sz w:val="18"/>
                <w:szCs w:val="18"/>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Chairman of the Board</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May 10, 2018</w:t>
            </w:r>
          </w:p>
        </w:tc>
      </w:tr>
    </w:tbl>
    <w:p>
      <w:pPr>
        <w:spacing w:after="0" w:line="200" w:lineRule="exact"/>
        <w:rPr>
          <w:sz w:val="20"/>
          <w:szCs w:val="20"/>
          <w:color w:val="auto"/>
        </w:rPr>
      </w:pP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0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Name:Steven L. Keller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 and Treasurer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10, 2018</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0" Type="http://schemas.openxmlformats.org/officeDocument/2006/relationships/hyperlink" Target="http://www.sec.gov/Archives/edgar/data/1012019/000110465908051789/a08-18770_1ex3d1.htm" TargetMode="External"/><Relationship Id="rId31"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2019-12-28T22:07:08Z</dcterms:created>
  <dcterms:modified xsi:type="dcterms:W3CDTF">2019-12-28T22:07:08Z</dcterms:modified>
</cp:coreProperties>
</file>