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6"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September 30, 2014</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right="2180" w:firstLine="8"/>
        <w:spacing w:after="0" w:line="530" w:lineRule="auto"/>
        <w:tabs>
          <w:tab w:leader="none" w:pos="150"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6840" w:type="dxa"/>
            <w:vAlign w:val="bottom"/>
          </w:tcPr>
          <w:p>
            <w:pPr>
              <w:jc w:val="center"/>
              <w:ind w:right="2510"/>
              <w:spacing w:after="0"/>
              <w:rPr>
                <w:sz w:val="20"/>
                <w:szCs w:val="20"/>
                <w:color w:val="auto"/>
              </w:rPr>
            </w:pPr>
            <w:r>
              <w:rPr>
                <w:rFonts w:ascii="Arial" w:cs="Arial" w:eastAsia="Arial" w:hAnsi="Arial"/>
                <w:sz w:val="18"/>
                <w:szCs w:val="18"/>
                <w:color w:val="auto"/>
                <w:w w:val="92"/>
              </w:rPr>
              <w:t>Commission File Number 0-20797</w:t>
            </w:r>
          </w:p>
        </w:tc>
      </w:tr>
      <w:tr>
        <w:trPr>
          <w:trHeight w:val="634"/>
        </w:trPr>
        <w:tc>
          <w:tcPr>
            <w:tcW w:w="2380" w:type="dxa"/>
            <w:vAlign w:val="bottom"/>
          </w:tcPr>
          <w:p>
            <w:pPr>
              <w:spacing w:after="0"/>
              <w:rPr>
                <w:sz w:val="24"/>
                <w:szCs w:val="24"/>
                <w:color w:val="auto"/>
              </w:rPr>
            </w:pPr>
          </w:p>
        </w:tc>
        <w:tc>
          <w:tcPr>
            <w:tcW w:w="6840" w:type="dxa"/>
            <w:vAlign w:val="bottom"/>
          </w:tcPr>
          <w:p>
            <w:pPr>
              <w:jc w:val="center"/>
              <w:ind w:right="2530"/>
              <w:spacing w:after="0"/>
              <w:rPr>
                <w:sz w:val="20"/>
                <w:szCs w:val="20"/>
                <w:color w:val="auto"/>
              </w:rPr>
            </w:pPr>
            <w:r>
              <w:rPr>
                <w:rFonts w:ascii="Arial" w:cs="Arial" w:eastAsia="Arial" w:hAnsi="Arial"/>
                <w:sz w:val="18"/>
                <w:szCs w:val="18"/>
                <w:b w:val="1"/>
                <w:bCs w:val="1"/>
                <w:color w:val="auto"/>
                <w:w w:val="98"/>
              </w:rPr>
              <w:t>RUSH ENTERPRISES, INC.</w:t>
            </w:r>
          </w:p>
        </w:tc>
      </w:tr>
      <w:tr>
        <w:trPr>
          <w:trHeight w:val="230"/>
        </w:trPr>
        <w:tc>
          <w:tcPr>
            <w:tcW w:w="2380" w:type="dxa"/>
            <w:vAlign w:val="bottom"/>
          </w:tcPr>
          <w:p>
            <w:pPr>
              <w:spacing w:after="0"/>
              <w:rPr>
                <w:sz w:val="20"/>
                <w:szCs w:val="20"/>
                <w:color w:val="auto"/>
              </w:rPr>
            </w:pPr>
          </w:p>
        </w:tc>
        <w:tc>
          <w:tcPr>
            <w:tcW w:w="6840" w:type="dxa"/>
            <w:vAlign w:val="bottom"/>
          </w:tcPr>
          <w:p>
            <w:pPr>
              <w:jc w:val="center"/>
              <w:ind w:right="25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380" w:type="dxa"/>
            <w:vAlign w:val="bottom"/>
          </w:tcPr>
          <w:p>
            <w:pPr>
              <w:jc w:val="center"/>
              <w:ind w:right="150"/>
              <w:spacing w:after="0"/>
              <w:rPr>
                <w:sz w:val="20"/>
                <w:szCs w:val="20"/>
                <w:color w:val="auto"/>
              </w:rPr>
            </w:pPr>
            <w:r>
              <w:rPr>
                <w:rFonts w:ascii="Arial" w:cs="Arial" w:eastAsia="Arial" w:hAnsi="Arial"/>
                <w:sz w:val="18"/>
                <w:szCs w:val="18"/>
                <w:color w:val="auto"/>
                <w:w w:val="85"/>
              </w:rPr>
              <w:t>Texas</w:t>
            </w:r>
          </w:p>
        </w:tc>
        <w:tc>
          <w:tcPr>
            <w:tcW w:w="6840" w:type="dxa"/>
            <w:vAlign w:val="bottom"/>
          </w:tcPr>
          <w:p>
            <w:pPr>
              <w:jc w:val="right"/>
              <w:ind w:right="770"/>
              <w:spacing w:after="0"/>
              <w:rPr>
                <w:sz w:val="20"/>
                <w:szCs w:val="20"/>
                <w:color w:val="auto"/>
              </w:rPr>
            </w:pPr>
            <w:r>
              <w:rPr>
                <w:rFonts w:ascii="Arial" w:cs="Arial" w:eastAsia="Arial" w:hAnsi="Arial"/>
                <w:sz w:val="18"/>
                <w:szCs w:val="18"/>
                <w:color w:val="auto"/>
              </w:rPr>
              <w:t>74-1733016</w:t>
            </w:r>
          </w:p>
        </w:tc>
      </w:tr>
      <w:tr>
        <w:trPr>
          <w:trHeight w:val="216"/>
        </w:trPr>
        <w:tc>
          <w:tcPr>
            <w:tcW w:w="2380" w:type="dxa"/>
            <w:vAlign w:val="bottom"/>
          </w:tcPr>
          <w:p>
            <w:pPr>
              <w:jc w:val="center"/>
              <w:ind w:right="150"/>
              <w:spacing w:after="0"/>
              <w:rPr>
                <w:sz w:val="20"/>
                <w:szCs w:val="20"/>
                <w:color w:val="auto"/>
              </w:rPr>
            </w:pPr>
            <w:r>
              <w:rPr>
                <w:rFonts w:ascii="Arial" w:cs="Arial" w:eastAsia="Arial" w:hAnsi="Arial"/>
                <w:sz w:val="18"/>
                <w:szCs w:val="18"/>
                <w:color w:val="auto"/>
                <w:w w:val="93"/>
              </w:rPr>
              <w:t>(State or other jurisdiction of</w:t>
            </w:r>
          </w:p>
        </w:tc>
        <w:tc>
          <w:tcPr>
            <w:tcW w:w="6840" w:type="dxa"/>
            <w:vAlign w:val="bottom"/>
          </w:tcPr>
          <w:p>
            <w:pPr>
              <w:jc w:val="center"/>
              <w:ind w:left="415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380" w:type="dxa"/>
            <w:vAlign w:val="bottom"/>
          </w:tcPr>
          <w:p>
            <w:pPr>
              <w:jc w:val="center"/>
              <w:ind w:right="110"/>
              <w:spacing w:after="0"/>
              <w:rPr>
                <w:sz w:val="20"/>
                <w:szCs w:val="20"/>
                <w:color w:val="auto"/>
              </w:rPr>
            </w:pPr>
            <w:r>
              <w:rPr>
                <w:rFonts w:ascii="Arial" w:cs="Arial" w:eastAsia="Arial" w:hAnsi="Arial"/>
                <w:sz w:val="18"/>
                <w:szCs w:val="18"/>
                <w:color w:val="auto"/>
                <w:w w:val="93"/>
              </w:rPr>
              <w:t>incorporation or organization)</w:t>
            </w:r>
          </w:p>
        </w:tc>
        <w:tc>
          <w:tcPr>
            <w:tcW w:w="684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6840" w:type="dxa"/>
            <w:vAlign w:val="bottom"/>
          </w:tcPr>
          <w:p>
            <w:pPr>
              <w:jc w:val="center"/>
              <w:ind w:right="2530"/>
              <w:spacing w:after="0"/>
              <w:rPr>
                <w:sz w:val="20"/>
                <w:szCs w:val="20"/>
                <w:color w:val="auto"/>
              </w:rPr>
            </w:pPr>
            <w:r>
              <w:rPr>
                <w:rFonts w:ascii="Arial" w:cs="Arial" w:eastAsia="Arial" w:hAnsi="Arial"/>
                <w:sz w:val="18"/>
                <w:szCs w:val="18"/>
                <w:color w:val="auto"/>
                <w:w w:val="91"/>
              </w:rPr>
              <w:t>555 I.H. 35 South, Suite 500</w:t>
            </w:r>
          </w:p>
        </w:tc>
      </w:tr>
      <w:tr>
        <w:trPr>
          <w:trHeight w:val="216"/>
        </w:trPr>
        <w:tc>
          <w:tcPr>
            <w:tcW w:w="2380" w:type="dxa"/>
            <w:vAlign w:val="bottom"/>
          </w:tcPr>
          <w:p>
            <w:pPr>
              <w:spacing w:after="0"/>
              <w:rPr>
                <w:sz w:val="18"/>
                <w:szCs w:val="18"/>
                <w:color w:val="auto"/>
              </w:rPr>
            </w:pPr>
          </w:p>
        </w:tc>
        <w:tc>
          <w:tcPr>
            <w:tcW w:w="6840" w:type="dxa"/>
            <w:vAlign w:val="bottom"/>
          </w:tcPr>
          <w:p>
            <w:pPr>
              <w:jc w:val="center"/>
              <w:ind w:right="2510"/>
              <w:spacing w:after="0"/>
              <w:rPr>
                <w:sz w:val="20"/>
                <w:szCs w:val="20"/>
                <w:color w:val="auto"/>
              </w:rPr>
            </w:pPr>
            <w:r>
              <w:rPr>
                <w:rFonts w:ascii="Arial" w:cs="Arial" w:eastAsia="Arial" w:hAnsi="Arial"/>
                <w:sz w:val="18"/>
                <w:szCs w:val="18"/>
                <w:color w:val="auto"/>
                <w:w w:val="89"/>
              </w:rPr>
              <w:t>New Braunfels, Texas 78130</w:t>
            </w:r>
          </w:p>
        </w:tc>
      </w:tr>
      <w:tr>
        <w:trPr>
          <w:trHeight w:val="216"/>
        </w:trPr>
        <w:tc>
          <w:tcPr>
            <w:tcW w:w="2380" w:type="dxa"/>
            <w:vAlign w:val="bottom"/>
          </w:tcPr>
          <w:p>
            <w:pPr>
              <w:spacing w:after="0"/>
              <w:rPr>
                <w:sz w:val="18"/>
                <w:szCs w:val="18"/>
                <w:color w:val="auto"/>
              </w:rPr>
            </w:pPr>
          </w:p>
        </w:tc>
        <w:tc>
          <w:tcPr>
            <w:tcW w:w="6840" w:type="dxa"/>
            <w:vAlign w:val="bottom"/>
          </w:tcPr>
          <w:p>
            <w:pPr>
              <w:jc w:val="center"/>
              <w:ind w:right="253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2380" w:type="dxa"/>
            <w:vAlign w:val="bottom"/>
          </w:tcPr>
          <w:p>
            <w:pPr>
              <w:spacing w:after="0"/>
              <w:rPr>
                <w:sz w:val="20"/>
                <w:szCs w:val="20"/>
                <w:color w:val="auto"/>
              </w:rPr>
            </w:pPr>
          </w:p>
        </w:tc>
        <w:tc>
          <w:tcPr>
            <w:tcW w:w="6840" w:type="dxa"/>
            <w:vAlign w:val="bottom"/>
          </w:tcPr>
          <w:p>
            <w:pPr>
              <w:jc w:val="center"/>
              <w:ind w:right="2510"/>
              <w:spacing w:after="0"/>
              <w:rPr>
                <w:sz w:val="20"/>
                <w:szCs w:val="20"/>
                <w:color w:val="auto"/>
              </w:rPr>
            </w:pPr>
            <w:r>
              <w:rPr>
                <w:rFonts w:ascii="Arial" w:cs="Arial" w:eastAsia="Arial" w:hAnsi="Arial"/>
                <w:sz w:val="18"/>
                <w:szCs w:val="18"/>
                <w:color w:val="auto"/>
                <w:w w:val="94"/>
              </w:rPr>
              <w:t>(Zip Code)</w:t>
            </w:r>
          </w:p>
        </w:tc>
      </w:tr>
      <w:tr>
        <w:trPr>
          <w:trHeight w:val="418"/>
        </w:trPr>
        <w:tc>
          <w:tcPr>
            <w:tcW w:w="2380" w:type="dxa"/>
            <w:vAlign w:val="bottom"/>
          </w:tcPr>
          <w:p>
            <w:pPr>
              <w:spacing w:after="0"/>
              <w:rPr>
                <w:sz w:val="24"/>
                <w:szCs w:val="24"/>
                <w:color w:val="auto"/>
              </w:rPr>
            </w:pPr>
          </w:p>
        </w:tc>
        <w:tc>
          <w:tcPr>
            <w:tcW w:w="6840" w:type="dxa"/>
            <w:vAlign w:val="bottom"/>
          </w:tcPr>
          <w:p>
            <w:pPr>
              <w:jc w:val="center"/>
              <w:ind w:right="2510"/>
              <w:spacing w:after="0"/>
              <w:rPr>
                <w:sz w:val="20"/>
                <w:szCs w:val="20"/>
                <w:color w:val="auto"/>
              </w:rPr>
            </w:pPr>
            <w:r>
              <w:rPr>
                <w:rFonts w:ascii="Arial" w:cs="Arial" w:eastAsia="Arial" w:hAnsi="Arial"/>
                <w:sz w:val="18"/>
                <w:szCs w:val="18"/>
                <w:color w:val="auto"/>
                <w:w w:val="90"/>
              </w:rPr>
              <w:t>(830) 626-5200</w:t>
            </w:r>
          </w:p>
        </w:tc>
      </w:tr>
      <w:tr>
        <w:trPr>
          <w:trHeight w:val="230"/>
        </w:trPr>
        <w:tc>
          <w:tcPr>
            <w:tcW w:w="2380" w:type="dxa"/>
            <w:vAlign w:val="bottom"/>
          </w:tcPr>
          <w:p>
            <w:pPr>
              <w:spacing w:after="0"/>
              <w:rPr>
                <w:sz w:val="20"/>
                <w:szCs w:val="20"/>
                <w:color w:val="auto"/>
              </w:rPr>
            </w:pPr>
          </w:p>
        </w:tc>
        <w:tc>
          <w:tcPr>
            <w:tcW w:w="6840" w:type="dxa"/>
            <w:vAlign w:val="bottom"/>
          </w:tcPr>
          <w:p>
            <w:pPr>
              <w:jc w:val="center"/>
              <w:ind w:right="253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0" w:lineRule="exact"/>
        <w:rPr>
          <w:sz w:val="24"/>
          <w:szCs w:val="24"/>
          <w:color w:val="auto"/>
        </w:rPr>
      </w:pPr>
    </w:p>
    <w:p>
      <w:pPr>
        <w:spacing w:after="0" w:line="218" w:lineRule="exact"/>
        <w:rPr>
          <w:sz w:val="24"/>
          <w:szCs w:val="24"/>
          <w:color w:val="auto"/>
        </w:rPr>
      </w:pPr>
    </w:p>
    <w:p>
      <w:pPr>
        <w:jc w:val="both"/>
        <w:ind w:right="40" w:firstLine="972"/>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40"/>
        <w:spacing w:after="0"/>
        <w:tabs>
          <w:tab w:leader="none" w:pos="63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40"/>
        <w:spacing w:after="0"/>
        <w:tabs>
          <w:tab w:leader="none" w:pos="63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499" w:right="199" w:bottom="1440" w:gutter="0" w:footer="0" w:header="0"/>
        </w:sectPr>
      </w:pPr>
    </w:p>
    <w:p>
      <w:pPr>
        <w:spacing w:after="0" w:line="178"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0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300" w:space="720"/>
            <w:col w:w="5440"/>
          </w:cols>
          <w:pgMar w:left="240" w:top="499" w:right="199" w:bottom="1440" w:gutter="0" w:footer="0" w:header="0"/>
          <w:type w:val="continuous"/>
        </w:sectPr>
      </w:pPr>
    </w:p>
    <w:p>
      <w:pPr>
        <w:spacing w:after="0" w:line="48"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5320" w:space="720"/>
            <w:col w:w="5420"/>
          </w:cols>
          <w:pgMar w:left="240" w:top="499" w:right="199" w:bottom="1440" w:gutter="0" w:footer="0" w:header="0"/>
          <w:type w:val="continuous"/>
        </w:sectPr>
      </w:pPr>
    </w:p>
    <w:p>
      <w:pPr>
        <w:spacing w:after="0" w:line="3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940"/>
        <w:spacing w:after="0"/>
        <w:tabs>
          <w:tab w:leader="none" w:pos="62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November 1, 2014.</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Title of Class</w:t>
            </w:r>
          </w:p>
        </w:tc>
        <w:tc>
          <w:tcPr>
            <w:tcW w:w="1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 of Shares Outstanding</w:t>
            </w:r>
          </w:p>
        </w:tc>
        <w:tc>
          <w:tcPr>
            <w:tcW w:w="1200" w:type="dxa"/>
            <w:vAlign w:val="bottom"/>
          </w:tcPr>
          <w:p>
            <w:pPr>
              <w:spacing w:after="0"/>
              <w:rPr>
                <w:sz w:val="18"/>
                <w:szCs w:val="18"/>
                <w:color w:val="auto"/>
              </w:rPr>
            </w:pPr>
          </w:p>
        </w:tc>
      </w:tr>
      <w:tr>
        <w:trPr>
          <w:trHeight w:val="222"/>
        </w:trPr>
        <w:tc>
          <w:tcPr>
            <w:tcW w:w="47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Class A Common Stock, $.01 Par Value</w:t>
            </w:r>
          </w:p>
        </w:tc>
        <w:tc>
          <w:tcPr>
            <w:tcW w:w="5560" w:type="dxa"/>
            <w:vAlign w:val="bottom"/>
            <w:gridSpan w:val="2"/>
          </w:tcPr>
          <w:p>
            <w:pPr>
              <w:jc w:val="center"/>
              <w:ind w:left="3230"/>
              <w:spacing w:after="0"/>
              <w:rPr>
                <w:sz w:val="20"/>
                <w:szCs w:val="20"/>
                <w:color w:val="auto"/>
              </w:rPr>
            </w:pPr>
            <w:r>
              <w:rPr>
                <w:rFonts w:ascii="Arial" w:cs="Arial" w:eastAsia="Arial" w:hAnsi="Arial"/>
                <w:sz w:val="18"/>
                <w:szCs w:val="18"/>
                <w:color w:val="auto"/>
                <w:w w:val="88"/>
              </w:rPr>
              <w:t>29,850,692</w:t>
            </w:r>
          </w:p>
        </w:tc>
        <w:tc>
          <w:tcPr>
            <w:tcW w:w="1200" w:type="dxa"/>
            <w:vAlign w:val="bottom"/>
          </w:tcPr>
          <w:p>
            <w:pPr>
              <w:spacing w:after="0"/>
              <w:rPr>
                <w:sz w:val="19"/>
                <w:szCs w:val="19"/>
                <w:color w:val="auto"/>
              </w:rPr>
            </w:pPr>
          </w:p>
        </w:tc>
      </w:tr>
      <w:tr>
        <w:trPr>
          <w:trHeight w:val="230"/>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Class B Common Stock, $.01 Par Value</w:t>
            </w:r>
          </w:p>
        </w:tc>
        <w:tc>
          <w:tcPr>
            <w:tcW w:w="5560" w:type="dxa"/>
            <w:vAlign w:val="bottom"/>
            <w:gridSpan w:val="2"/>
          </w:tcPr>
          <w:p>
            <w:pPr>
              <w:jc w:val="center"/>
              <w:ind w:left="3230"/>
              <w:spacing w:after="0"/>
              <w:rPr>
                <w:sz w:val="20"/>
                <w:szCs w:val="20"/>
                <w:color w:val="auto"/>
              </w:rPr>
            </w:pPr>
            <w:r>
              <w:rPr>
                <w:rFonts w:ascii="Arial" w:cs="Arial" w:eastAsia="Arial" w:hAnsi="Arial"/>
                <w:sz w:val="18"/>
                <w:szCs w:val="18"/>
                <w:color w:val="auto"/>
                <w:w w:val="88"/>
              </w:rPr>
              <w:t>10,054,930</w:t>
            </w:r>
          </w:p>
        </w:tc>
        <w:tc>
          <w:tcPr>
            <w:tcW w:w="1200" w:type="dxa"/>
            <w:vAlign w:val="bottom"/>
          </w:tcPr>
          <w:p>
            <w:pPr>
              <w:spacing w:after="0"/>
              <w:rPr>
                <w:sz w:val="20"/>
                <w:szCs w:val="20"/>
                <w:color w:val="auto"/>
              </w:rPr>
            </w:pPr>
          </w:p>
        </w:tc>
      </w:tr>
      <w:tr>
        <w:trPr>
          <w:trHeight w:val="729"/>
        </w:trPr>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20" w:type="dxa"/>
            <w:vAlign w:val="bottom"/>
          </w:tcPr>
          <w:p>
            <w:pPr>
              <w:jc w:val="right"/>
              <w:ind w:right="2170"/>
              <w:spacing w:after="0"/>
              <w:rPr>
                <w:sz w:val="20"/>
                <w:szCs w:val="20"/>
                <w:color w:val="auto"/>
              </w:rPr>
            </w:pPr>
            <w:r>
              <w:rPr>
                <w:rFonts w:ascii="Arial" w:cs="Arial" w:eastAsia="Arial" w:hAnsi="Arial"/>
                <w:sz w:val="18"/>
                <w:szCs w:val="18"/>
                <w:color w:val="auto"/>
              </w:rPr>
              <w:t>1</w:t>
            </w:r>
          </w:p>
        </w:tc>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5"/>
        </w:trPr>
        <w:tc>
          <w:tcPr>
            <w:tcW w:w="1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61"/>
        </w:trPr>
        <w:tc>
          <w:tcPr>
            <w:tcW w:w="18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499" w:right="199" w:bottom="144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4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gridSpan w:val="3"/>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9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Item 1.</w:t>
            </w:r>
          </w:p>
        </w:tc>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Statements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Balance Sheets - September 30, 2014 (unaudited) and December 31, 2013</w:t>
            </w:r>
          </w:p>
        </w:tc>
        <w:tc>
          <w:tcPr>
            <w:tcW w:w="5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20" w:type="dxa"/>
            <w:vAlign w:val="bottom"/>
            <w:shd w:val="clear" w:color="auto" w:fill="CCEEFF"/>
          </w:tcPr>
          <w:p>
            <w:pPr>
              <w:spacing w:after="0"/>
              <w:rPr>
                <w:sz w:val="17"/>
                <w:szCs w:val="17"/>
                <w:color w:val="auto"/>
              </w:rPr>
            </w:pPr>
          </w:p>
        </w:tc>
        <w:tc>
          <w:tcPr>
            <w:tcW w:w="96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1"/>
              </w:rPr>
              <w:t>Consolidated Statements of Income and Comprehensive Income - For the Three and Nine Months Ended September 30, 2014 and</w:t>
            </w:r>
          </w:p>
        </w:tc>
        <w:tc>
          <w:tcPr>
            <w:tcW w:w="580" w:type="dxa"/>
            <w:vAlign w:val="bottom"/>
            <w:gridSpan w:val="2"/>
            <w:vMerge w:val="restart"/>
            <w:shd w:val="clear" w:color="auto" w:fill="CCEEFF"/>
          </w:tcPr>
          <w:p>
            <w:pPr>
              <w:jc w:val="center"/>
              <w:ind w:left="13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20" w:type="dxa"/>
            <w:vAlign w:val="bottom"/>
            <w:shd w:val="clear" w:color="auto" w:fill="CCEEFF"/>
          </w:tcPr>
          <w:p>
            <w:pPr>
              <w:spacing w:after="0"/>
              <w:rPr>
                <w:sz w:val="10"/>
                <w:szCs w:val="10"/>
                <w:color w:val="auto"/>
              </w:rPr>
            </w:pPr>
          </w:p>
        </w:tc>
        <w:tc>
          <w:tcPr>
            <w:tcW w:w="96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2013 (unaudited)</w:t>
            </w:r>
          </w:p>
        </w:tc>
        <w:tc>
          <w:tcPr>
            <w:tcW w:w="5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CEEFF"/>
          </w:tcPr>
          <w:p>
            <w:pPr>
              <w:spacing w:after="0"/>
              <w:rPr>
                <w:sz w:val="9"/>
                <w:szCs w:val="9"/>
                <w:color w:val="auto"/>
              </w:rPr>
            </w:pPr>
          </w:p>
        </w:tc>
        <w:tc>
          <w:tcPr>
            <w:tcW w:w="962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Statements of Cash Flows - For the Nine Months Ended September 30, 2014 and 2013 (unaudited)</w:t>
            </w:r>
          </w:p>
        </w:tc>
        <w:tc>
          <w:tcPr>
            <w:tcW w:w="5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to Consolidated Financial Statements (unaudited)</w:t>
            </w:r>
          </w:p>
        </w:tc>
        <w:tc>
          <w:tcPr>
            <w:tcW w:w="5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Item 2.</w:t>
            </w:r>
          </w:p>
        </w:tc>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Item 3.</w:t>
            </w:r>
          </w:p>
        </w:tc>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5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Item 4.</w:t>
            </w:r>
          </w:p>
        </w:tc>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Controls and Procedures</w:t>
            </w:r>
          </w:p>
        </w:tc>
        <w:tc>
          <w:tcPr>
            <w:tcW w:w="5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9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5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rPr>
              <w:t>Item 1. Legal Proceedings</w:t>
            </w: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ind w:left="560"/>
              <w:spacing w:after="0" w:line="201" w:lineRule="exact"/>
              <w:rPr>
                <w:sz w:val="20"/>
                <w:szCs w:val="20"/>
                <w:color w:val="auto"/>
              </w:rPr>
            </w:pPr>
            <w:r>
              <w:rPr>
                <w:rFonts w:ascii="Arial" w:cs="Arial" w:eastAsia="Arial" w:hAnsi="Arial"/>
                <w:sz w:val="18"/>
                <w:szCs w:val="18"/>
                <w:color w:val="auto"/>
              </w:rPr>
              <w:t>Item</w:t>
            </w:r>
          </w:p>
        </w:tc>
        <w:tc>
          <w:tcPr>
            <w:tcW w:w="4540" w:type="dxa"/>
            <w:vAlign w:val="bottom"/>
            <w:vMerge w:val="restart"/>
          </w:tcPr>
          <w:p>
            <w:pPr>
              <w:ind w:left="120"/>
              <w:spacing w:after="0"/>
              <w:rPr>
                <w:sz w:val="20"/>
                <w:szCs w:val="20"/>
                <w:color w:val="auto"/>
              </w:rPr>
            </w:pPr>
            <w:r>
              <w:rPr>
                <w:rFonts w:ascii="Arial" w:cs="Arial" w:eastAsia="Arial" w:hAnsi="Arial"/>
                <w:sz w:val="18"/>
                <w:szCs w:val="18"/>
                <w:color w:val="auto"/>
              </w:rPr>
              <w:t>Risk Factors</w:t>
            </w:r>
          </w:p>
        </w:tc>
        <w:tc>
          <w:tcPr>
            <w:tcW w:w="5840" w:type="dxa"/>
            <w:vAlign w:val="bottom"/>
            <w:vMerge w:val="restart"/>
          </w:tcPr>
          <w:p>
            <w:pPr>
              <w:jc w:val="right"/>
              <w:ind w:right="11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vMerge w:val="restart"/>
          </w:tcPr>
          <w:p>
            <w:pPr>
              <w:ind w:left="560"/>
              <w:spacing w:after="0"/>
              <w:rPr>
                <w:sz w:val="20"/>
                <w:szCs w:val="20"/>
                <w:color w:val="auto"/>
              </w:rPr>
            </w:pPr>
            <w:r>
              <w:rPr>
                <w:rFonts w:ascii="Arial" w:cs="Arial" w:eastAsia="Arial" w:hAnsi="Arial"/>
                <w:sz w:val="18"/>
                <w:szCs w:val="18"/>
                <w:color w:val="auto"/>
              </w:rPr>
              <w:t>1A.</w:t>
            </w:r>
          </w:p>
        </w:tc>
        <w:tc>
          <w:tcPr>
            <w:tcW w:w="4540" w:type="dxa"/>
            <w:vAlign w:val="bottom"/>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54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w w:val="91"/>
              </w:rPr>
              <w:t>Item 2. Unregistered Sales of Equity Securities and Use of Proceeds</w:t>
            </w: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rPr>
              <w:t>Item 3. Defaults Upon Senior Securities</w:t>
            </w: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rPr>
              <w:t>Item 4. Mine Safety Disclosures</w:t>
            </w: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rPr>
              <w:t>Item 5. Other Information</w:t>
            </w: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560"/>
              <w:spacing w:after="0"/>
              <w:rPr>
                <w:sz w:val="20"/>
                <w:szCs w:val="20"/>
                <w:color w:val="auto"/>
              </w:rPr>
            </w:pPr>
            <w:r>
              <w:rPr>
                <w:rFonts w:ascii="Arial" w:cs="Arial" w:eastAsia="Arial" w:hAnsi="Arial"/>
                <w:sz w:val="18"/>
                <w:szCs w:val="18"/>
                <w:color w:val="auto"/>
              </w:rPr>
              <w:t>Item 6. Exhibits</w:t>
            </w: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gridSpan w:val="2"/>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840" w:type="dxa"/>
            <w:vAlign w:val="bottom"/>
          </w:tcPr>
          <w:p>
            <w:pPr>
              <w:jc w:val="right"/>
              <w:ind w:right="557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540" w:type="dxa"/>
            <w:vAlign w:val="bottom"/>
            <w:shd w:val="clear" w:color="auto" w:fill="808080"/>
          </w:tcPr>
          <w:p>
            <w:pPr>
              <w:spacing w:after="0"/>
              <w:rPr>
                <w:sz w:val="5"/>
                <w:szCs w:val="5"/>
                <w:color w:val="auto"/>
              </w:rPr>
            </w:pPr>
          </w:p>
        </w:tc>
        <w:tc>
          <w:tcPr>
            <w:tcW w:w="58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10"/>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7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5"/>
          </w:tcPr>
          <w:p>
            <w:pPr>
              <w:jc w:val="center"/>
              <w:ind w:right="340"/>
              <w:spacing w:after="0" w:line="196" w:lineRule="exact"/>
              <w:rPr>
                <w:sz w:val="20"/>
                <w:szCs w:val="20"/>
                <w:color w:val="auto"/>
              </w:rPr>
            </w:pPr>
            <w:r>
              <w:rPr>
                <w:rFonts w:ascii="Arial" w:cs="Arial" w:eastAsia="Arial" w:hAnsi="Arial"/>
                <w:sz w:val="18"/>
                <w:szCs w:val="18"/>
                <w:b w:val="1"/>
                <w:bCs w:val="1"/>
                <w:color w:val="auto"/>
                <w:w w:val="96"/>
              </w:rPr>
              <w:t>SEPTEMBER 30, 2014 AND DECEMBER 31, 2013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9"/>
              </w:rPr>
              <w:t>(In Thousands, Except Shares)</w:t>
            </w:r>
          </w:p>
        </w:tc>
        <w:tc>
          <w:tcPr>
            <w:tcW w:w="3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144,728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161,315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928,802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16,929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16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1,260,193</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1,153,436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874,160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Other assets,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52,376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52,607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2,456,612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0" w:type="dxa"/>
            <w:vAlign w:val="bottom"/>
            <w:gridSpan w:val="2"/>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Floor plan notes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722,148</w:t>
            </w:r>
          </w:p>
        </w:tc>
        <w:tc>
          <w:tcPr>
            <w:tcW w:w="1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140,751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24,836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58,319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111,188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1,134,870</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929,175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411,161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Capital lease obligations, net of current maturities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34,357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132,807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3"/>
              </w:rPr>
              <w:t>Preferred stock, par value $.01 per share; 1,000,000 shares authorized; 0 shares outstanding in 2014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3"/>
          </w:tcPr>
          <w:p>
            <w:pPr>
              <w:ind w:left="340"/>
              <w:spacing w:after="0"/>
              <w:rPr>
                <w:sz w:val="20"/>
                <w:szCs w:val="20"/>
                <w:color w:val="auto"/>
              </w:rPr>
            </w:pPr>
            <w:r>
              <w:rPr>
                <w:rFonts w:ascii="Arial" w:cs="Arial" w:eastAsia="Arial" w:hAnsi="Arial"/>
                <w:sz w:val="18"/>
                <w:szCs w:val="18"/>
                <w:color w:val="auto"/>
              </w:rPr>
              <w:t>2013</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9"/>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Common stock, par value $.01 per share; 60,000,000 class A shares and 20,000,000 class B shares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w w:val="89"/>
              </w:rPr>
              <w:t>authorized; 29,850,692 class A shares and 10,075,204 class B shares outstanding in 2014; and 28,910,505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rPr>
              <w:t>class A shares and 10,304,518 class B shares outstanding in 2013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269,467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Treasury stock, at cost: 2,484,498 class B shares in 2014; and 2,194,519 class B shares in 2013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(39,639)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509,166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453,836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16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738,778</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665,381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2,456,612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846,256</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615,616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2,244,447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257,512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980,588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32,668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2,935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1,241,022</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913,064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3,382,150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truck sales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573,657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2,084,945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Parts and service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216,067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161,209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626,786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1,042,283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762,752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2,824,137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2,037,738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198,739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148,238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114,863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431,943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41,018</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 net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2,781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before taxes</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9,910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1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39,558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40,623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40,492</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18"/>
                <w:szCs w:val="18"/>
                <w:color w:val="auto"/>
              </w:rPr>
            </w:pPr>
          </w:p>
        </w:tc>
        <w:tc>
          <w:tcPr>
            <w:tcW w:w="18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23,610</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55,330</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90,335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(benefit) for deferred income tax expense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Acquired research and development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(50,804)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Draws on floor plan notes payable – 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(182,164)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(147,758)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(328,412)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(189,047)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Draws on floor plan notes payable – non-trade,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101,784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(84,076)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w w:val="98"/>
              </w:rPr>
              <w:t>Proceeds from issuance of shares relating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(9,989)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167,223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(72,577)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217,305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144,728</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166,260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21,833</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Income taxes, net of refunds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18,683</w:t>
            </w:r>
          </w:p>
        </w:tc>
        <w:tc>
          <w:tcPr>
            <w:tcW w:w="140" w:type="dxa"/>
            <w:vAlign w:val="bottom"/>
          </w:tcPr>
          <w:p>
            <w:pPr>
              <w:spacing w:after="0"/>
              <w:rPr>
                <w:sz w:val="17"/>
                <w:szCs w:val="17"/>
                <w:color w:val="auto"/>
              </w:rPr>
            </w:pPr>
          </w:p>
        </w:tc>
        <w:tc>
          <w:tcPr>
            <w:tcW w:w="400" w:type="dxa"/>
            <w:vAlign w:val="bottom"/>
            <w:gridSpan w:val="2"/>
          </w:tcPr>
          <w:p>
            <w:pPr>
              <w:jc w:val="right"/>
              <w:ind w:right="165"/>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Noncash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Common stock issued related to business acquistion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Assets acquired under capital leases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2013. Results of operations for interim periods are not necessarily indicative of results that may be expected for any other interim periods or the full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Assets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capitalized costs, including capitalized interest, of the SAP enterprise software and SAP dealership management system of $39.1 million are recorded on the Consolidated Balance Sheet in Other Assets at September 30, 2014. These capitalized costs are net of accumulated amortization of $9.5 million. The SAP software is being amortized over a period of 15 years. The Company is currently operating 83 Rush Truck Centers and all of its leasing operations on the SAP enterprise software and SAP dealership management system, which represent approximately 70% of the Company’s total revenue for the nine months ended September 30, 2014. The Company plans to convert all of its existing Rush Truck Centers to the SAP enterprise software and SAP dealership management system by the end of the second quarter of 2015.</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Amortization expense relating to the SAP software, which is recognized in depreciation and amortization expense in the Consolidated Statement of Income, was $0.8 million for the three months ended September 30, 2014, and $0.7 million for the three months ended September 30, 2013, and $2.4 million for the nine months ended September 30, 2014, and $2.2 million for the nine months ended September 30, 2013. The Company estimates that amortization expense relating to the SAP software will be approximately $3.3 million for each of the next five succeeding years.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$4.5 million at September 30, 2014, and December 31, 2013,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impairment write down was required in the fourth quarter of 2013. The Company cannot predict the occurrence of certain events that might adversely affect the reported value of manufacturer franchise rights in the future. However, no facts or circumstances were noted during the nine months ended September 30, 2014 that would indicate impairment.</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580" w:right="6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38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In May 2013, the Company entered into a Retirement and Transition Agreement with the Company’s former Chairman, W. Marvin Rush, which resulted in the recognition of $10.8 million in retirement pay and benefits recorded in selling, general and administrative expense on the Consolidated Statements of Income and Comprehensive Income for the nine months ended September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5"/>
          </w:tcPr>
          <w:p>
            <w:pPr>
              <w:jc w:val="center"/>
              <w:ind w:right="320"/>
              <w:spacing w:after="0"/>
              <w:rPr>
                <w:sz w:val="20"/>
                <w:szCs w:val="20"/>
                <w:color w:val="auto"/>
              </w:rPr>
            </w:pPr>
            <w:r>
              <w:rPr>
                <w:rFonts w:ascii="Arial" w:cs="Arial" w:eastAsia="Arial" w:hAnsi="Arial"/>
                <w:sz w:val="18"/>
                <w:szCs w:val="18"/>
                <w:color w:val="auto"/>
                <w:w w:val="89"/>
              </w:rPr>
              <w:t>Three Months Ended September</w:t>
            </w:r>
          </w:p>
        </w:tc>
        <w:tc>
          <w:tcPr>
            <w:tcW w:w="100" w:type="dxa"/>
            <w:vAlign w:val="bottom"/>
          </w:tcPr>
          <w:p>
            <w:pPr>
              <w:spacing w:after="0"/>
              <w:rPr>
                <w:sz w:val="18"/>
                <w:szCs w:val="18"/>
                <w:color w:val="auto"/>
              </w:rPr>
            </w:pPr>
          </w:p>
        </w:tc>
        <w:tc>
          <w:tcPr>
            <w:tcW w:w="2500" w:type="dxa"/>
            <w:vAlign w:val="bottom"/>
            <w:gridSpan w:val="5"/>
          </w:tcPr>
          <w:p>
            <w:pPr>
              <w:ind w:left="20"/>
              <w:spacing w:after="0"/>
              <w:rPr>
                <w:sz w:val="20"/>
                <w:szCs w:val="20"/>
                <w:color w:val="auto"/>
              </w:rPr>
            </w:pPr>
            <w:r>
              <w:rPr>
                <w:rFonts w:ascii="Arial" w:cs="Arial" w:eastAsia="Arial" w:hAnsi="Arial"/>
                <w:sz w:val="18"/>
                <w:szCs w:val="18"/>
                <w:color w:val="auto"/>
                <w:w w:val="97"/>
              </w:rPr>
              <w:t>Nine Months Ended September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320"/>
              <w:spacing w:after="0" w:line="201" w:lineRule="exact"/>
              <w:rPr>
                <w:sz w:val="20"/>
                <w:szCs w:val="20"/>
                <w:color w:val="auto"/>
              </w:rPr>
            </w:pPr>
            <w:r>
              <w:rPr>
                <w:rFonts w:ascii="Arial" w:cs="Arial" w:eastAsia="Arial" w:hAnsi="Arial"/>
                <w:sz w:val="18"/>
                <w:szCs w:val="18"/>
                <w:color w:val="auto"/>
                <w:w w:val="96"/>
              </w:rPr>
              <w:t>Numerator for basic and diluted earnings per share – Net income available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23,478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55,330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w:t>
            </w:r>
          </w:p>
        </w:tc>
        <w:tc>
          <w:tcPr>
            <w:tcW w:w="8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40,008</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39,558</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39,700</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Pr>
          <w:p>
            <w:pPr>
              <w:ind w:left="160"/>
              <w:spacing w:after="0" w:line="195" w:lineRule="exact"/>
              <w:rPr>
                <w:sz w:val="20"/>
                <w:szCs w:val="20"/>
                <w:color w:val="auto"/>
              </w:rPr>
            </w:pPr>
            <w:r>
              <w:rPr>
                <w:rFonts w:ascii="Arial" w:cs="Arial" w:eastAsia="Arial" w:hAnsi="Arial"/>
                <w:sz w:val="18"/>
                <w:szCs w:val="18"/>
                <w:color w:val="auto"/>
              </w:rPr>
              <w:t>Denominator for diluted earnings per share – adjusted weighted average</w:t>
            </w:r>
          </w:p>
        </w:tc>
        <w:tc>
          <w:tcPr>
            <w:tcW w:w="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41,091</w:t>
            </w:r>
          </w:p>
        </w:tc>
        <w:tc>
          <w:tcPr>
            <w:tcW w:w="24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40,623</w:t>
            </w:r>
          </w:p>
        </w:tc>
        <w:tc>
          <w:tcPr>
            <w:tcW w:w="2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40,820</w:t>
            </w: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40,492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Pr>
          <w:p>
            <w:pPr>
              <w:ind w:left="320"/>
              <w:spacing w:after="0" w:line="190" w:lineRule="exact"/>
              <w:rPr>
                <w:sz w:val="20"/>
                <w:szCs w:val="20"/>
                <w:color w:val="auto"/>
              </w:rPr>
            </w:pPr>
            <w:r>
              <w:rPr>
                <w:rFonts w:ascii="Arial" w:cs="Arial" w:eastAsia="Arial" w:hAnsi="Arial"/>
                <w:sz w:val="18"/>
                <w:szCs w:val="18"/>
                <w:color w:val="auto"/>
              </w:rPr>
              <w:t>shares outstanding and assumed conversions</w:t>
            </w: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nine months ended September 30, 2014 and 2013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34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center"/>
              <w:ind w:left="250"/>
              <w:spacing w:after="0"/>
              <w:rPr>
                <w:sz w:val="20"/>
                <w:szCs w:val="20"/>
                <w:color w:val="auto"/>
              </w:rPr>
            </w:pPr>
            <w:r>
              <w:rPr>
                <w:rFonts w:ascii="Arial" w:cs="Arial" w:eastAsia="Arial" w:hAnsi="Arial"/>
                <w:sz w:val="18"/>
                <w:szCs w:val="18"/>
                <w:color w:val="auto"/>
                <w:w w:val="91"/>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2014</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Anti-dilutive options</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w:t>
      </w:r>
    </w:p>
    <w:p>
      <w:pPr>
        <w:spacing w:after="0" w:line="35" w:lineRule="exact"/>
        <w:rPr>
          <w:sz w:val="20"/>
          <w:szCs w:val="20"/>
          <w:color w:val="auto"/>
        </w:rPr>
      </w:pPr>
    </w:p>
    <w:p>
      <w:pPr>
        <w:jc w:val="both"/>
        <w:ind w:right="400"/>
        <w:spacing w:after="0" w:line="268" w:lineRule="auto"/>
        <w:rPr>
          <w:sz w:val="20"/>
          <w:szCs w:val="20"/>
          <w:color w:val="auto"/>
        </w:rPr>
      </w:pPr>
      <w:r>
        <w:rPr>
          <w:rFonts w:ascii="Arial" w:cs="Arial" w:eastAsia="Arial" w:hAnsi="Arial"/>
          <w:sz w:val="17"/>
          <w:szCs w:val="17"/>
          <w:color w:val="auto"/>
        </w:rPr>
        <w:t>– Stock Compensation,” which requires the measurement and recognition of compensation expense for all share-based payment awards made to the Company’s employees and directors, including employee stock options, restricted share awards, restricted stock unit awards and employee stock purchases related to the Employee Stock Purchase Plan based on estimated fair values. Stock-based compensation expense, calculated using the Black-Scholes option-pricing model and included in selling, general and administrative expense, was $2.0 million for the three months ended September 30, 2014, and $1.5 million for the three months ended September 30, 2013. Stock-based compensation expense, included in selling, general and administrative expense, for the nine months ended September 30, 2014, was $9.1 million and for the nine months ended September 30, 2013, was $7.0 million. As of September 30, 2014, there was $17.9 million of total unrecognized compensation expense related to non-vested, share-based compensation arrangements to be recognized over a weighted-average period of 2.8 years.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the existence of variable interest rates, which approximate market rates. Certain methods and assumptions were used by the Company in estimating the fair value of financial instruments at September 30, 2014 and 2013. The carrying value of current assets and current liabilities approximates the fair value due to the short maturity of these items.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81"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2014, the Company held auction rate securities with underlying tax-exempt municipal bonds that mature in 2030 and have a fair value of $6.8 million and a cost basis of $7.4 million. The Company sold $150,000 of the auction rate securities during the second quarter of 2014. These bonds have credit wrap insurance and a credit rating of A by a major credit rating agency.</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valued the auction rate securities at September 30, 2014,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a subsequent pre-tax increase in fair value of $184,000 in the second quarter of 2014. The Company believes that the impairment is temporary and has included the impairment in accumulated other comprehensive loss.</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580" w:right="619" w:bottom="1440" w:gutter="0" w:footer="0" w:header="0"/>
        </w:sectPr>
      </w:pPr>
    </w:p>
    <w:bookmarkStart w:id="8" w:name="page9"/>
    <w:bookmarkEnd w:id="8"/>
    <w:p>
      <w:pPr>
        <w:ind w:right="420"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follows (in thousands):</w:t>
      </w:r>
    </w:p>
    <w:p>
      <w:pPr>
        <w:sectPr>
          <w:pgSz w:w="11900" w:h="16838" w:orient="portrait"/>
          <w:cols w:equalWidth="0" w:num="1">
            <w:col w:w="11460"/>
          </w:cols>
          <w:pgMar w:left="240" w:top="584" w:right="199" w:bottom="1440" w:gutter="0" w:footer="0" w:header="0"/>
        </w:sectPr>
      </w:pPr>
    </w:p>
    <w:p>
      <w:pPr>
        <w:spacing w:after="0" w:line="38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At September 30, 2014</w:t>
      </w:r>
    </w:p>
    <w:p>
      <w:pPr>
        <w:spacing w:after="0" w:line="27" w:lineRule="exact"/>
        <w:rPr>
          <w:sz w:val="20"/>
          <w:szCs w:val="20"/>
          <w:color w:val="auto"/>
        </w:rPr>
      </w:pPr>
    </w:p>
    <w:tbl>
      <w:tblPr>
        <w:tblLayout w:type="fixed"/>
        <w:tblInd w:w="3080" w:type="dxa"/>
        <w:tblCellMar>
          <w:top w:w="0" w:type="dxa"/>
          <w:left w:w="0" w:type="dxa"/>
          <w:bottom w:w="0" w:type="dxa"/>
          <w:right w:w="0" w:type="dxa"/>
        </w:tblCellMar>
      </w:tblPr>
      <w:tr>
        <w:trPr>
          <w:trHeight w:val="191"/>
        </w:trPr>
        <w:tc>
          <w:tcPr>
            <w:tcW w:w="13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Level 2</w:t>
            </w:r>
          </w:p>
        </w:tc>
        <w:tc>
          <w:tcPr>
            <w:tcW w:w="128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At December 31, 2013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30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88"/>
              </w:rPr>
              <w:t>Level 3</w:t>
            </w:r>
          </w:p>
        </w:tc>
      </w:tr>
      <w:tr>
        <w:trPr>
          <w:trHeight w:val="234"/>
        </w:trPr>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3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r>
    </w:tbl>
    <w:p>
      <w:pPr>
        <w:spacing w:after="0" w:line="1" w:lineRule="exact"/>
        <w:rPr>
          <w:sz w:val="20"/>
          <w:szCs w:val="20"/>
          <w:color w:val="auto"/>
        </w:rPr>
      </w:pPr>
    </w:p>
    <w:p>
      <w:pPr>
        <w:sectPr>
          <w:pgSz w:w="11900" w:h="16838" w:orient="portrait"/>
          <w:cols w:equalWidth="0" w:num="2">
            <w:col w:w="7080" w:space="220"/>
            <w:col w:w="4160"/>
          </w:cols>
          <w:pgMar w:left="240" w:top="584" w:right="199" w:bottom="1440" w:gutter="0" w:footer="0" w:header="0"/>
          <w:type w:val="continuous"/>
        </w:sectPr>
      </w:pPr>
    </w:p>
    <w:tbl>
      <w:tblPr>
        <w:tblLayout w:type="fixed"/>
        <w:tblInd w:w="580" w:type="dxa"/>
        <w:tblCellMar>
          <w:top w:w="0" w:type="dxa"/>
          <w:left w:w="0" w:type="dxa"/>
          <w:bottom w:w="0" w:type="dxa"/>
          <w:right w:w="0" w:type="dxa"/>
        </w:tblCellMar>
      </w:tblPr>
      <w:tr>
        <w:trPr>
          <w:trHeight w:val="195"/>
        </w:trPr>
        <w:tc>
          <w:tcPr>
            <w:tcW w:w="25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Investment in auction rate</w:t>
            </w:r>
          </w:p>
        </w:tc>
        <w:tc>
          <w:tcPr>
            <w:tcW w:w="6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5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6,812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w:t>
            </w:r>
          </w:p>
        </w:tc>
      </w:tr>
      <w:tr>
        <w:trPr>
          <w:trHeight w:val="630"/>
        </w:trPr>
        <w:tc>
          <w:tcPr>
            <w:tcW w:w="2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Gross Unrealized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(Gain) Loss In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ind w:left="140"/>
              <w:spacing w:after="0"/>
              <w:rPr>
                <w:sz w:val="20"/>
                <w:szCs w:val="20"/>
                <w:color w:val="auto"/>
              </w:rPr>
            </w:pPr>
            <w:r>
              <w:rPr>
                <w:rFonts w:ascii="Arial" w:cs="Arial" w:eastAsia="Arial" w:hAnsi="Arial"/>
                <w:sz w:val="18"/>
                <w:szCs w:val="18"/>
                <w:b w:val="1"/>
                <w:bCs w:val="1"/>
                <w:color w:val="auto"/>
              </w:rPr>
              <w:t>Cost Basis</w:t>
            </w: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OCI</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2014</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40" w:type="dxa"/>
            <w:vAlign w:val="bottom"/>
            <w:gridSpan w:val="2"/>
          </w:tcPr>
          <w:p>
            <w:pPr>
              <w:ind w:left="160"/>
              <w:spacing w:after="0"/>
              <w:rPr>
                <w:sz w:val="20"/>
                <w:szCs w:val="20"/>
                <w:color w:val="auto"/>
              </w:rPr>
            </w:pPr>
            <w:r>
              <w:rPr>
                <w:rFonts w:ascii="Arial" w:cs="Arial" w:eastAsia="Arial" w:hAnsi="Arial"/>
                <w:sz w:val="18"/>
                <w:szCs w:val="18"/>
                <w:color w:val="auto"/>
              </w:rPr>
              <w:t>Investment in auction rate securities</w:t>
            </w:r>
          </w:p>
        </w:tc>
        <w:tc>
          <w:tcPr>
            <w:tcW w:w="132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7,425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613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6,812</w:t>
            </w:r>
          </w:p>
        </w:tc>
      </w:tr>
      <w:tr>
        <w:trPr>
          <w:trHeight w:val="210"/>
        </w:trPr>
        <w:tc>
          <w:tcPr>
            <w:tcW w:w="2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rPr>
              <w:t>December 31, 2013</w:t>
            </w: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auction rate securities</w:t>
            </w: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w:t>
            </w:r>
          </w:p>
        </w:tc>
      </w:tr>
      <w:tr>
        <w:trPr>
          <w:trHeight w:val="20"/>
        </w:trPr>
        <w:tc>
          <w:tcPr>
            <w:tcW w:w="25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right="340" w:firstLine="648"/>
        <w:spacing w:after="0" w:line="255"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93" w:lineRule="exact"/>
        <w:rPr>
          <w:sz w:val="20"/>
          <w:szCs w:val="20"/>
          <w:color w:val="auto"/>
        </w:rPr>
      </w:pPr>
    </w:p>
    <w:p>
      <w:pPr>
        <w:jc w:val="both"/>
        <w:ind w:right="420" w:firstLine="648"/>
        <w:spacing w:after="0" w:line="293" w:lineRule="auto"/>
        <w:rPr>
          <w:sz w:val="20"/>
          <w:szCs w:val="20"/>
          <w:color w:val="auto"/>
        </w:rPr>
      </w:pPr>
      <w:r>
        <w:rPr>
          <w:rFonts w:ascii="Arial" w:cs="Arial" w:eastAsia="Arial" w:hAnsi="Arial"/>
          <w:sz w:val="16"/>
          <w:szCs w:val="16"/>
          <w:color w:val="auto"/>
        </w:rPr>
        <w:t>At September 30, 2014, the Company had an aggregate $35.8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three months ended September 30, 2014 and 2013.</w:t>
      </w:r>
    </w:p>
    <w:p>
      <w:pPr>
        <w:spacing w:after="0" w:line="165" w:lineRule="exact"/>
        <w:rPr>
          <w:sz w:val="20"/>
          <w:szCs w:val="20"/>
          <w:color w:val="auto"/>
        </w:rPr>
      </w:pPr>
    </w:p>
    <w:p>
      <w:pPr>
        <w:jc w:val="both"/>
        <w:ind w:right="420" w:firstLine="648"/>
        <w:spacing w:after="0" w:line="259" w:lineRule="auto"/>
        <w:rPr>
          <w:sz w:val="20"/>
          <w:szCs w:val="20"/>
          <w:color w:val="auto"/>
        </w:rPr>
      </w:pPr>
      <w:r>
        <w:rPr>
          <w:rFonts w:ascii="Arial" w:cs="Arial" w:eastAsia="Arial" w:hAnsi="Arial"/>
          <w:sz w:val="18"/>
          <w:szCs w:val="18"/>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a liability of $0.4 million as of September 30, 2014. The carrying value of these swaps is included in Other Long-Term Liabilities on the accompanying Consolidated Balance Sheet as of September 30, 2014.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2014, the Company was a party to derivative financial instruments, as described in the following table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Agreement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Notional Amount</w:t>
            </w:r>
          </w:p>
        </w:tc>
        <w:tc>
          <w:tcPr>
            <w:tcW w:w="220" w:type="dxa"/>
            <w:vAlign w:val="bottom"/>
          </w:tcPr>
          <w:p>
            <w:pPr>
              <w:spacing w:after="0"/>
              <w:rPr>
                <w:sz w:val="20"/>
                <w:szCs w:val="20"/>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Fixed Interest Rate</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Underlying Rate</w:t>
            </w:r>
          </w:p>
        </w:tc>
        <w:tc>
          <w:tcPr>
            <w:tcW w:w="2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 month LIBOR</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3,612</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5.075%</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3 month LIBOR</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July 1, 2015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shd w:val="clear" w:color="auto" w:fill="CCEEFF"/>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6,237</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1,206</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shd w:val="clear" w:color="auto" w:fill="CCEEFF"/>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2,146</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4,856</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shd w:val="clear" w:color="auto" w:fill="CCEEFF"/>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4,472</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29, 2015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shd w:val="clear" w:color="auto" w:fill="CCEEFF"/>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1,319</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6,650</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gridSpan w:val="3"/>
            <w:shd w:val="clear" w:color="auto" w:fill="CCEEFF"/>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760" w:type="dxa"/>
            <w:vAlign w:val="bottom"/>
            <w:gridSpan w:val="3"/>
          </w:tcPr>
          <w:p>
            <w:pPr>
              <w:jc w:val="center"/>
              <w:ind w:right="245"/>
              <w:spacing w:after="0"/>
              <w:rPr>
                <w:sz w:val="20"/>
                <w:szCs w:val="20"/>
                <w:color w:val="auto"/>
              </w:rPr>
            </w:pPr>
            <w:r>
              <w:rPr>
                <w:rFonts w:ascii="Arial" w:cs="Arial" w:eastAsia="Arial" w:hAnsi="Arial"/>
                <w:sz w:val="18"/>
                <w:szCs w:val="18"/>
                <w:color w:val="auto"/>
                <w:w w:val="88"/>
              </w:rPr>
              <w:t>Interest Rate Swap</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2,305</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20"/>
                <w:szCs w:val="20"/>
                <w:color w:val="auto"/>
              </w:rPr>
            </w:pPr>
          </w:p>
        </w:tc>
      </w:tr>
      <w:tr>
        <w:trPr>
          <w:trHeight w:val="661"/>
        </w:trPr>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8"/>
          <w:szCs w:val="18"/>
          <w:color w:val="auto"/>
        </w:rPr>
        <w:t>Fair values of derivative instruments are on the accompanying Consolidated Balance Sheet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54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2"/>
              </w:rPr>
              <w:t>Derivative Liabilities Designated as Hedging Instruments</w:t>
            </w:r>
          </w:p>
        </w:tc>
        <w:tc>
          <w:tcPr>
            <w:tcW w:w="240" w:type="dxa"/>
            <w:vAlign w:val="bottom"/>
          </w:tcPr>
          <w:p>
            <w:pPr>
              <w:spacing w:after="0"/>
              <w:rPr>
                <w:sz w:val="20"/>
                <w:szCs w:val="20"/>
                <w:color w:val="auto"/>
              </w:rPr>
            </w:pPr>
          </w:p>
        </w:tc>
        <w:tc>
          <w:tcPr>
            <w:tcW w:w="2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 Location</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Fair Value at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auto"/>
            </w:tcBorders>
            <w:gridSpan w:val="5"/>
            <w:vMerge w:val="continue"/>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Borders>
              <w:bottom w:val="single" w:sz="8" w:color="auto"/>
            </w:tcBorders>
            <w:gridSpan w:val="3"/>
            <w:vMerge w:val="continue"/>
          </w:tcPr>
          <w:p>
            <w:pPr>
              <w:spacing w:after="0"/>
              <w:rPr>
                <w:sz w:val="18"/>
                <w:szCs w:val="18"/>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September 30, 2014</w:t>
            </w: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85"/>
              </w:rPr>
              <w:t>Loss Reclassified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Gain Recognized in</w:t>
            </w: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1"/>
              </w:rPr>
              <w:t>from Accumulated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3"/>
              </w:rPr>
              <w:t>OCI on Derivatives</w:t>
            </w: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4"/>
              </w:rPr>
              <w:t>OCI into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(Effective Portion)</w:t>
            </w: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1"/>
              </w:rPr>
              <w:t>(Effective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3"/>
              </w:rPr>
              <w:t>during the</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0"/>
              </w:rPr>
              <w:t>during the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020" w:type="dxa"/>
            <w:vAlign w:val="bottom"/>
          </w:tcPr>
          <w:p>
            <w:pPr>
              <w:jc w:val="center"/>
              <w:ind w:left="450"/>
              <w:spacing w:after="0"/>
              <w:rPr>
                <w:sz w:val="20"/>
                <w:szCs w:val="20"/>
                <w:color w:val="auto"/>
              </w:rPr>
            </w:pPr>
            <w:r>
              <w:rPr>
                <w:rFonts w:ascii="Arial" w:cs="Arial" w:eastAsia="Arial" w:hAnsi="Arial"/>
                <w:sz w:val="18"/>
                <w:szCs w:val="18"/>
                <w:b w:val="1"/>
                <w:bCs w:val="1"/>
                <w:color w:val="auto"/>
                <w:w w:val="88"/>
              </w:rPr>
              <w:t>Location of Loss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16"/>
                <w:szCs w:val="16"/>
                <w:color w:val="auto"/>
              </w:rPr>
            </w:pPr>
          </w:p>
        </w:tc>
        <w:tc>
          <w:tcPr>
            <w:tcW w:w="14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18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6"/>
                <w:szCs w:val="16"/>
                <w:color w:val="auto"/>
              </w:rPr>
            </w:pPr>
          </w:p>
        </w:tc>
        <w:tc>
          <w:tcPr>
            <w:tcW w:w="2020" w:type="dxa"/>
            <w:vAlign w:val="bottom"/>
          </w:tcPr>
          <w:p>
            <w:pPr>
              <w:jc w:val="center"/>
              <w:ind w:left="450"/>
              <w:spacing w:after="0" w:line="191" w:lineRule="exact"/>
              <w:rPr>
                <w:sz w:val="20"/>
                <w:szCs w:val="20"/>
                <w:color w:val="auto"/>
              </w:rPr>
            </w:pPr>
            <w:r>
              <w:rPr>
                <w:rFonts w:ascii="Arial" w:cs="Arial" w:eastAsia="Arial" w:hAnsi="Arial"/>
                <w:sz w:val="18"/>
                <w:szCs w:val="18"/>
                <w:b w:val="1"/>
                <w:bCs w:val="1"/>
                <w:color w:val="auto"/>
                <w:w w:val="86"/>
              </w:rPr>
              <w:t>Reclassified into</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gridSpan w:val="4"/>
          </w:tcPr>
          <w:p>
            <w:pPr>
              <w:jc w:val="center"/>
              <w:ind w:right="1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8"/>
              </w:rPr>
              <w:t>Income</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2013</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8"/>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8"/>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85"/>
              </w:rPr>
              <w:t>Loss Reclassified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Gain Recognized in</w:t>
            </w: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1"/>
              </w:rPr>
              <w:t>from Accumulated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3"/>
              </w:rPr>
              <w:t>OCI on Derivatives</w:t>
            </w: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4"/>
              </w:rPr>
              <w:t>OCI into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(Effective Portion)</w:t>
            </w: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1"/>
              </w:rPr>
              <w:t>(Effective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3"/>
              </w:rPr>
              <w:t>during the</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0"/>
              </w:rPr>
              <w:t>during the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020" w:type="dxa"/>
            <w:vAlign w:val="bottom"/>
          </w:tcPr>
          <w:p>
            <w:pPr>
              <w:jc w:val="center"/>
              <w:ind w:left="450"/>
              <w:spacing w:after="0"/>
              <w:rPr>
                <w:sz w:val="20"/>
                <w:szCs w:val="20"/>
                <w:color w:val="auto"/>
              </w:rPr>
            </w:pPr>
            <w:r>
              <w:rPr>
                <w:rFonts w:ascii="Arial" w:cs="Arial" w:eastAsia="Arial" w:hAnsi="Arial"/>
                <w:sz w:val="18"/>
                <w:szCs w:val="18"/>
                <w:b w:val="1"/>
                <w:bCs w:val="1"/>
                <w:color w:val="auto"/>
                <w:w w:val="88"/>
              </w:rPr>
              <w:t>Location of Loss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1"/>
              </w:rPr>
              <w:t>Nine Months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16"/>
                <w:szCs w:val="16"/>
                <w:color w:val="auto"/>
              </w:rPr>
            </w:pPr>
          </w:p>
        </w:tc>
        <w:tc>
          <w:tcPr>
            <w:tcW w:w="14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18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6"/>
                <w:szCs w:val="16"/>
                <w:color w:val="auto"/>
              </w:rPr>
            </w:pPr>
          </w:p>
        </w:tc>
        <w:tc>
          <w:tcPr>
            <w:tcW w:w="2020" w:type="dxa"/>
            <w:vAlign w:val="bottom"/>
          </w:tcPr>
          <w:p>
            <w:pPr>
              <w:jc w:val="center"/>
              <w:ind w:left="450"/>
              <w:spacing w:after="0" w:line="191" w:lineRule="exact"/>
              <w:rPr>
                <w:sz w:val="20"/>
                <w:szCs w:val="20"/>
                <w:color w:val="auto"/>
              </w:rPr>
            </w:pPr>
            <w:r>
              <w:rPr>
                <w:rFonts w:ascii="Arial" w:cs="Arial" w:eastAsia="Arial" w:hAnsi="Arial"/>
                <w:sz w:val="18"/>
                <w:szCs w:val="18"/>
                <w:b w:val="1"/>
                <w:bCs w:val="1"/>
                <w:color w:val="auto"/>
                <w:w w:val="86"/>
              </w:rPr>
              <w:t>Reclassified into</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gridSpan w:val="4"/>
          </w:tcPr>
          <w:p>
            <w:pPr>
              <w:jc w:val="center"/>
              <w:ind w:right="1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8"/>
              </w:rPr>
              <w:t>Income</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2013</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8"/>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right="420" w:firstLine="648"/>
        <w:spacing w:after="0" w:line="293" w:lineRule="auto"/>
        <w:rPr>
          <w:sz w:val="20"/>
          <w:szCs w:val="20"/>
          <w:color w:val="auto"/>
        </w:rPr>
      </w:pPr>
      <w:r>
        <w:rPr>
          <w:rFonts w:ascii="Arial" w:cs="Arial" w:eastAsia="Arial" w:hAnsi="Arial"/>
          <w:sz w:val="16"/>
          <w:szCs w:val="16"/>
          <w:color w:val="auto"/>
        </w:rPr>
        <w:t>The Company currently has one reportable business segment, the Truck Segment. The Truck Segment includes the Company’s operation of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6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right="42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right="44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and segment assets for the periods ended September 30, 2014 and 2013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Truck Segment</w:t>
            </w:r>
          </w:p>
        </w:tc>
        <w:tc>
          <w:tcPr>
            <w:tcW w:w="26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All Other</w:t>
            </w:r>
          </w:p>
        </w:tc>
        <w:tc>
          <w:tcPr>
            <w:tcW w:w="32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Totals</w:t>
            </w:r>
          </w:p>
        </w:tc>
        <w:tc>
          <w:tcPr>
            <w:tcW w:w="620" w:type="dxa"/>
            <w:vAlign w:val="bottom"/>
          </w:tcPr>
          <w:p>
            <w:pPr>
              <w:spacing w:after="0"/>
              <w:rPr>
                <w:sz w:val="20"/>
                <w:szCs w:val="20"/>
                <w:color w:val="auto"/>
              </w:rPr>
            </w:pPr>
          </w:p>
        </w:tc>
      </w:tr>
      <w:tr>
        <w:trPr>
          <w:trHeight w:val="426"/>
        </w:trPr>
        <w:tc>
          <w:tcPr>
            <w:tcW w:w="58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i w:val="1"/>
                <w:iCs w:val="1"/>
                <w:color w:val="auto"/>
                <w:w w:val="97"/>
              </w:rPr>
              <w:t>As of and for the three months ended September 30, 2014</w:t>
            </w: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1,236,101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1,241,022</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38,366</w:t>
            </w:r>
          </w:p>
        </w:tc>
        <w:tc>
          <w:tcPr>
            <w:tcW w:w="2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38,329</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2,426,368</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30,244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2,456,612</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nine months ended September 30, 2014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3,368,037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3,382,150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90,459</w:t>
            </w:r>
          </w:p>
        </w:tc>
        <w:tc>
          <w:tcPr>
            <w:tcW w:w="2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90,333</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i w:val="1"/>
                <w:iCs w:val="1"/>
                <w:color w:val="auto"/>
                <w:w w:val="97"/>
              </w:rPr>
              <w:t>As of and for the three months ended September 30, 2013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907,903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5,161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913,064</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25,149</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25,089</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Segment assets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2,016,725</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28,806</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2,045,530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i w:val="1"/>
                <w:iCs w:val="1"/>
                <w:color w:val="auto"/>
              </w:rPr>
              <w:t>For the nine months ended September 30, 2013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2,445,151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14,375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2,459,526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56,685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56,498</w:t>
            </w:r>
          </w:p>
        </w:tc>
        <w:tc>
          <w:tcPr>
            <w:tcW w:w="620" w:type="dxa"/>
            <w:vAlign w:val="bottom"/>
          </w:tcPr>
          <w:p>
            <w:pPr>
              <w:spacing w:after="0"/>
              <w:rPr>
                <w:sz w:val="18"/>
                <w:szCs w:val="18"/>
                <w:color w:val="auto"/>
              </w:rPr>
            </w:pPr>
          </w:p>
        </w:tc>
      </w:tr>
      <w:tr>
        <w:trPr>
          <w:trHeight w:val="675"/>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440" w:firstLine="648"/>
        <w:spacing w:after="0" w:line="255" w:lineRule="auto"/>
        <w:rPr>
          <w:sz w:val="20"/>
          <w:szCs w:val="20"/>
          <w:color w:val="auto"/>
        </w:rPr>
      </w:pPr>
      <w:r>
        <w:rPr>
          <w:rFonts w:ascii="Arial" w:cs="Arial" w:eastAsia="Arial" w:hAnsi="Arial"/>
          <w:sz w:val="18"/>
          <w:szCs w:val="18"/>
          <w:color w:val="auto"/>
        </w:rPr>
        <w:t>The Company included accruals for unrecognized income tax benefits totaling $1.5 million as a component of accrued liabilities as of September 30, 2014, and $1.4 million as of September 30, 2013. The unrecognized tax benefits, if recognized, would impact the Company’s effective tax rate. An unfavorable settlement would require a charge to income tax expense and a favorable resolution would be recognized as a reduction to income tax expense. The Company records interest and penalties related to unrecognized income tax benefits in income tax expense. The Company had accrued interest of $81,000 at September 30, 2014, and December 31, 2013, related to unrecognized tax benefits. No amounts were accrued for penalties.</w:t>
      </w:r>
    </w:p>
    <w:p>
      <w:pPr>
        <w:spacing w:after="0" w:line="193"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September 30, 2014, the tax years ended December 31, 2010 through 2013, remained subject to audit by federal tax authorities and the tax years ended December 31, 2009 through 2013, remained subject to audit by state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loss, net of tax,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color w:val="auto"/>
                <w:w w:val="89"/>
              </w:rPr>
              <w:t>Three Months Ended September 30, 2014</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2"/>
              </w:rPr>
              <w:t>Available for Sale</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Cash Flow Swaps</w:t>
            </w:r>
          </w:p>
        </w:tc>
        <w:tc>
          <w:tcPr>
            <w:tcW w:w="1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Total</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r>
      <w:tr>
        <w:trPr>
          <w:trHeight w:val="20"/>
        </w:trPr>
        <w:tc>
          <w:tcPr>
            <w:tcW w:w="5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color w:val="auto"/>
                <w:w w:val="89"/>
              </w:rPr>
              <w:t>Three Months Ended September 30, 2013</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2"/>
              </w:rPr>
              <w:t>Available for Sale</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Cash Flow Swaps</w:t>
            </w:r>
          </w:p>
        </w:tc>
        <w:tc>
          <w:tcPr>
            <w:tcW w:w="1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Total</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0"/>
        </w:trPr>
        <w:tc>
          <w:tcPr>
            <w:tcW w:w="5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(1,331)</w:t>
            </w: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580"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at December 31, 2013</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 in fair value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Sale of available for sale securities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Income tax deferred</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Balance at September 30, 2014</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18"/>
          <w:szCs w:val="18"/>
          <w:color w:val="auto"/>
        </w:rPr>
        <w:t>Nine Months Ended September 30,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ind w:right="320"/>
              <w:spacing w:after="0" w:line="195" w:lineRule="exact"/>
              <w:rPr>
                <w:sz w:val="20"/>
                <w:szCs w:val="20"/>
                <w:color w:val="auto"/>
              </w:rPr>
            </w:pPr>
            <w:r>
              <w:rPr>
                <w:rFonts w:ascii="Arial" w:cs="Arial" w:eastAsia="Arial" w:hAnsi="Arial"/>
                <w:sz w:val="18"/>
                <w:szCs w:val="18"/>
                <w:color w:val="auto"/>
                <w:w w:val="91"/>
              </w:rPr>
              <w:t>Available for Sale</w:t>
            </w: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Cash Flow Swaps</w:t>
            </w:r>
          </w:p>
        </w:tc>
        <w:tc>
          <w:tcPr>
            <w:tcW w:w="100" w:type="dxa"/>
            <w:vAlign w:val="bottom"/>
          </w:tcPr>
          <w:p>
            <w:pPr>
              <w:spacing w:after="0"/>
              <w:rPr>
                <w:sz w:val="20"/>
                <w:szCs w:val="20"/>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Securities</w:t>
            </w:r>
          </w:p>
        </w:tc>
        <w:tc>
          <w:tcPr>
            <w:tcW w:w="34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Total</w:t>
            </w:r>
          </w:p>
        </w:tc>
      </w:tr>
      <w:tr>
        <w:trPr>
          <w:trHeight w:val="195"/>
        </w:trPr>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(624)</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(578)</w:t>
            </w:r>
          </w:p>
        </w:tc>
        <w:tc>
          <w:tcPr>
            <w:tcW w:w="220" w:type="dxa"/>
            <w:vAlign w:val="bottom"/>
          </w:tcPr>
          <w:p>
            <w:pPr>
              <w:spacing w:after="0"/>
              <w:rPr>
                <w:sz w:val="16"/>
                <w:szCs w:val="16"/>
                <w:color w:val="auto"/>
              </w:rPr>
            </w:pPr>
          </w:p>
        </w:tc>
        <w:tc>
          <w:tcPr>
            <w:tcW w:w="3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(1,202)</w:t>
            </w:r>
          </w:p>
        </w:tc>
        <w:tc>
          <w:tcPr>
            <w:tcW w:w="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r>
      <w:tr>
        <w:trPr>
          <w:trHeight w:val="216"/>
        </w:trPr>
        <w:tc>
          <w:tcPr>
            <w:tcW w:w="1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30"/>
        </w:trPr>
        <w:tc>
          <w:tcPr>
            <w:tcW w:w="12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(359)</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-719455</wp:posOffset>
            </wp:positionV>
            <wp:extent cx="68776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-445135</wp:posOffset>
            </wp:positionV>
            <wp:extent cx="68776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-162560</wp:posOffset>
            </wp:positionV>
            <wp:extent cx="687768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5140"/>
          </w:cols>
          <w:pgMar w:left="240" w:top="580" w:right="19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color w:val="auto"/>
                <w:w w:val="90"/>
              </w:rPr>
              <w:t>Nine Months Ended September 30, 2013</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2"/>
              </w:rPr>
              <w:t>Available for Sale</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Cash Flow Swaps</w:t>
            </w:r>
          </w:p>
        </w:tc>
        <w:tc>
          <w:tcPr>
            <w:tcW w:w="1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540" w:type="dxa"/>
            <w:vAlign w:val="bottom"/>
          </w:tcPr>
          <w:p>
            <w:pPr>
              <w:spacing w:after="0"/>
              <w:rPr>
                <w:sz w:val="20"/>
                <w:szCs w:val="20"/>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Change in fair value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2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00" w:type="dxa"/>
            <w:vAlign w:val="bottom"/>
            <w:vMerge w:val="restart"/>
          </w:tcPr>
          <w:p>
            <w:pPr>
              <w:jc w:val="right"/>
              <w:ind w:right="43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Nine Months Ended</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040" w:type="dxa"/>
            <w:vAlign w:val="bottom"/>
          </w:tcPr>
          <w:p>
            <w:pPr>
              <w:spacing w:after="0"/>
              <w:rPr>
                <w:sz w:val="16"/>
                <w:szCs w:val="16"/>
                <w:color w:val="auto"/>
              </w:rPr>
            </w:pPr>
          </w:p>
        </w:tc>
        <w:tc>
          <w:tcPr>
            <w:tcW w:w="1360" w:type="dxa"/>
            <w:vAlign w:val="bottom"/>
            <w:gridSpan w:val="3"/>
          </w:tcPr>
          <w:p>
            <w:pPr>
              <w:jc w:val="center"/>
              <w:ind w:right="240"/>
              <w:spacing w:after="0" w:line="195" w:lineRule="exact"/>
              <w:rPr>
                <w:sz w:val="20"/>
                <w:szCs w:val="20"/>
                <w:color w:val="auto"/>
              </w:rPr>
            </w:pPr>
            <w:r>
              <w:rPr>
                <w:rFonts w:ascii="Arial" w:cs="Arial" w:eastAsia="Arial" w:hAnsi="Arial"/>
                <w:sz w:val="18"/>
                <w:szCs w:val="18"/>
                <w:color w:val="auto"/>
                <w:w w:val="88"/>
              </w:rPr>
              <w:t>September 30,</w:t>
            </w:r>
          </w:p>
        </w:tc>
        <w:tc>
          <w:tcPr>
            <w:tcW w:w="1140" w:type="dxa"/>
            <w:vAlign w:val="bottom"/>
            <w:gridSpan w:val="2"/>
          </w:tcPr>
          <w:p>
            <w:pPr>
              <w:ind w:left="60"/>
              <w:spacing w:after="0" w:line="195" w:lineRule="exact"/>
              <w:rPr>
                <w:sz w:val="20"/>
                <w:szCs w:val="20"/>
                <w:color w:val="auto"/>
              </w:rPr>
            </w:pPr>
            <w:r>
              <w:rPr>
                <w:rFonts w:ascii="Arial" w:cs="Arial" w:eastAsia="Arial" w:hAnsi="Arial"/>
                <w:sz w:val="18"/>
                <w:szCs w:val="18"/>
                <w:color w:val="auto"/>
                <w:w w:val="89"/>
              </w:rPr>
              <w:t>September 30,</w:t>
            </w:r>
          </w:p>
        </w:tc>
        <w:tc>
          <w:tcPr>
            <w:tcW w:w="200" w:type="dxa"/>
            <w:vAlign w:val="bottom"/>
          </w:tcPr>
          <w:p>
            <w:pPr>
              <w:spacing w:after="0"/>
              <w:rPr>
                <w:sz w:val="16"/>
                <w:szCs w:val="16"/>
                <w:color w:val="auto"/>
              </w:rPr>
            </w:pPr>
          </w:p>
        </w:tc>
        <w:tc>
          <w:tcPr>
            <w:tcW w:w="1300" w:type="dxa"/>
            <w:vAlign w:val="bottom"/>
            <w:gridSpan w:val="3"/>
          </w:tcPr>
          <w:p>
            <w:pPr>
              <w:jc w:val="right"/>
              <w:ind w:right="220"/>
              <w:spacing w:after="0" w:line="195" w:lineRule="exact"/>
              <w:rPr>
                <w:sz w:val="20"/>
                <w:szCs w:val="20"/>
                <w:color w:val="auto"/>
              </w:rPr>
            </w:pPr>
            <w:r>
              <w:rPr>
                <w:rFonts w:ascii="Arial" w:cs="Arial" w:eastAsia="Arial" w:hAnsi="Arial"/>
                <w:sz w:val="18"/>
                <w:szCs w:val="18"/>
                <w:color w:val="auto"/>
                <w:w w:val="89"/>
              </w:rPr>
              <w:t>September 30,</w:t>
            </w:r>
          </w:p>
        </w:tc>
        <w:tc>
          <w:tcPr>
            <w:tcW w:w="112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89"/>
              </w:rPr>
              <w:t>September 30,</w:t>
            </w:r>
          </w:p>
        </w:tc>
        <w:tc>
          <w:tcPr>
            <w:tcW w:w="100" w:type="dxa"/>
            <w:vAlign w:val="bottom"/>
          </w:tcPr>
          <w:p>
            <w:pPr>
              <w:spacing w:after="0"/>
              <w:rPr>
                <w:sz w:val="16"/>
                <w:szCs w:val="16"/>
                <w:color w:val="auto"/>
              </w:rPr>
            </w:pPr>
          </w:p>
        </w:tc>
      </w:tr>
      <w:tr>
        <w:trPr>
          <w:trHeight w:val="230"/>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(231)</w:t>
            </w:r>
          </w:p>
        </w:tc>
      </w:tr>
      <w:tr>
        <w:trPr>
          <w:trHeight w:val="216"/>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0"/>
        </w:trPr>
        <w:tc>
          <w:tcPr>
            <w:tcW w:w="5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(142)</w:t>
            </w:r>
          </w:p>
        </w:tc>
      </w:tr>
      <w:tr>
        <w:trPr>
          <w:trHeight w:val="20"/>
        </w:trPr>
        <w:tc>
          <w:tcPr>
            <w:tcW w:w="5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reconciliation of net income to comprehensive income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940"/>
              <w:spacing w:after="0"/>
              <w:rPr>
                <w:sz w:val="20"/>
                <w:szCs w:val="20"/>
                <w:color w:val="auto"/>
              </w:rPr>
            </w:pPr>
            <w:r>
              <w:rPr>
                <w:rFonts w:ascii="Arial" w:cs="Arial" w:eastAsia="Arial" w:hAnsi="Arial"/>
                <w:sz w:val="18"/>
                <w:szCs w:val="18"/>
                <w:color w:val="auto"/>
                <w:w w:val="96"/>
              </w:rPr>
              <w:t>Three Months Ended</w:t>
            </w:r>
          </w:p>
        </w:tc>
        <w:tc>
          <w:tcPr>
            <w:tcW w:w="260" w:type="dxa"/>
            <w:vAlign w:val="bottom"/>
          </w:tcPr>
          <w:p>
            <w:pPr>
              <w:spacing w:after="0"/>
              <w:rPr>
                <w:sz w:val="20"/>
                <w:szCs w:val="20"/>
                <w:color w:val="auto"/>
              </w:rPr>
            </w:pPr>
          </w:p>
        </w:tc>
        <w:tc>
          <w:tcPr>
            <w:tcW w:w="2440" w:type="dxa"/>
            <w:vAlign w:val="bottom"/>
            <w:gridSpan w:val="5"/>
          </w:tcPr>
          <w:p>
            <w:pPr>
              <w:jc w:val="right"/>
              <w:ind w:right="6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400" w:type="dxa"/>
            <w:vAlign w:val="bottom"/>
            <w:tcBorders>
              <w:top w:val="single" w:sz="8" w:color="auto"/>
            </w:tcBorders>
            <w:gridSpan w:val="3"/>
          </w:tcPr>
          <w:p>
            <w:pPr>
              <w:jc w:val="right"/>
              <w:ind w:right="280"/>
              <w:spacing w:after="0" w:line="195" w:lineRule="exact"/>
              <w:rPr>
                <w:sz w:val="20"/>
                <w:szCs w:val="20"/>
                <w:color w:val="auto"/>
              </w:rPr>
            </w:pPr>
            <w:r>
              <w:rPr>
                <w:rFonts w:ascii="Arial" w:cs="Arial" w:eastAsia="Arial" w:hAnsi="Arial"/>
                <w:sz w:val="18"/>
                <w:szCs w:val="18"/>
                <w:color w:val="auto"/>
                <w:w w:val="93"/>
              </w:rPr>
              <w:t>September 30,</w:t>
            </w:r>
          </w:p>
        </w:tc>
        <w:tc>
          <w:tcPr>
            <w:tcW w:w="11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3"/>
              </w:rPr>
              <w:t>September 30,</w:t>
            </w:r>
          </w:p>
        </w:tc>
        <w:tc>
          <w:tcPr>
            <w:tcW w:w="220" w:type="dxa"/>
            <w:vAlign w:val="bottom"/>
          </w:tcPr>
          <w:p>
            <w:pPr>
              <w:spacing w:after="0"/>
              <w:rPr>
                <w:sz w:val="16"/>
                <w:szCs w:val="16"/>
                <w:color w:val="auto"/>
              </w:rPr>
            </w:pPr>
          </w:p>
        </w:tc>
        <w:tc>
          <w:tcPr>
            <w:tcW w:w="140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September 30,</w:t>
            </w:r>
          </w:p>
        </w:tc>
        <w:tc>
          <w:tcPr>
            <w:tcW w:w="12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3"/>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55,330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34,358</w:t>
            </w:r>
          </w:p>
        </w:tc>
        <w:tc>
          <w:tcPr>
            <w:tcW w:w="0" w:type="dxa"/>
            <w:vAlign w:val="bottom"/>
          </w:tcPr>
          <w:p>
            <w:pPr>
              <w:spacing w:after="0"/>
              <w:rPr>
                <w:sz w:val="1"/>
                <w:szCs w:val="1"/>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Other comprehensive income, before tax:</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interest rate swaps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5320" w:type="dxa"/>
            <w:vAlign w:val="bottom"/>
          </w:tcPr>
          <w:p>
            <w:pPr>
              <w:ind w:left="320"/>
              <w:spacing w:after="0"/>
              <w:rPr>
                <w:sz w:val="20"/>
                <w:szCs w:val="20"/>
                <w:color w:val="auto"/>
              </w:rPr>
            </w:pPr>
            <w:r>
              <w:rPr>
                <w:rFonts w:ascii="Arial" w:cs="Arial" w:eastAsia="Arial" w:hAnsi="Arial"/>
                <w:sz w:val="18"/>
                <w:szCs w:val="18"/>
                <w:color w:val="auto"/>
              </w:rPr>
              <w:t>Change in fair value of available-for-sale securities</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Unrealized gain on available-for-sale securities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160"/>
              <w:spacing w:after="0"/>
              <w:rPr>
                <w:sz w:val="20"/>
                <w:szCs w:val="20"/>
                <w:color w:val="auto"/>
              </w:rPr>
            </w:pPr>
            <w:r>
              <w:rPr>
                <w:rFonts w:ascii="Arial" w:cs="Arial" w:eastAsia="Arial" w:hAnsi="Arial"/>
                <w:sz w:val="18"/>
                <w:szCs w:val="18"/>
                <w:color w:val="auto"/>
              </w:rPr>
              <w:t>Other comprehensive income, before tax</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921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2"/>
        </w:trPr>
        <w:tc>
          <w:tcPr>
            <w:tcW w:w="5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Income tax expense related to components of other comprehensive</w:t>
            </w: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16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55,892</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Acquisitions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On July 1, 2014, the Company acquired certain assets of Truck Parts Depot, Inc. which included a commercial parts and service facility in Gainsville, Georgia. The Gainsville location is operating as a full-service Rush Truck Center and offers commercial vehicles manufactured by International. The transaction was valued at approximately $0.5 million, with the purchase price paid in cash.</w:t>
      </w:r>
    </w:p>
    <w:p>
      <w:pPr>
        <w:spacing w:after="0" w:line="181"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18"/>
          <w:szCs w:val="18"/>
          <w:color w:val="auto"/>
        </w:rPr>
        <w:t>On June 25, 2014, a joint venture was established to further expand the Company’s used commercial vehicle sales network. As a result, the Company owns 50% of Central California Truck and Trailer Sales, LLC (“CCTTS”), which has locations in Fresno and Stockton, California that sell used trucks. In connection with the formation of this joint venture, the Company contributed $2.2 million. CCTTS is accounted for using the equity method of accounting in accordance with ASC 323, “Investments-Equity Method and Joint Venture,” and is recorded on the Consolidated Balance Sheet in Other Assets.</w:t>
      </w:r>
    </w:p>
    <w:p>
      <w:pPr>
        <w:spacing w:after="0" w:line="188" w:lineRule="exact"/>
        <w:rPr>
          <w:sz w:val="20"/>
          <w:szCs w:val="20"/>
          <w:color w:val="auto"/>
        </w:rPr>
      </w:pPr>
    </w:p>
    <w:p>
      <w:pPr>
        <w:jc w:val="both"/>
        <w:ind w:right="380" w:firstLine="648"/>
        <w:spacing w:after="0" w:line="297" w:lineRule="auto"/>
        <w:rPr>
          <w:sz w:val="20"/>
          <w:szCs w:val="20"/>
          <w:color w:val="auto"/>
        </w:rPr>
      </w:pPr>
      <w:r>
        <w:rPr>
          <w:rFonts w:ascii="Arial" w:cs="Arial" w:eastAsia="Arial" w:hAnsi="Arial"/>
          <w:sz w:val="16"/>
          <w:szCs w:val="16"/>
          <w:color w:val="auto"/>
        </w:rPr>
        <w:t>In May 2014, the Company announced an agreement with 3M to pursue the design, manufacture and installation of a portfolio of compressed natural gas (“CNG”) fuel systems for use in Class 6 through 8 vehicles. The Agreement allows the Company to engineer, assemble and install CNG fuel systems utilizing 3M’s CNG tanks, as well as provide market distribution and aftermarket support. In addition to the initial $2.0 million investment for research and development, which was recorded in selling, general and administrative expense, the Company will continue to incur expenses to bring its CNG fuel system to market. The transaction did not qualify as a business combination in accordance with ASC 805, “Business Combinations.”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On January 13,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for the assets, membership interests, goodwill and dealership properties was approximately $145.1 million, which was paid in cash and 83,091 shares of the Company’s Class B Common Stock with a total value of $2.0 million on the date of acquisition. The operations of CIT, Inc. are included in the accompanying consolidated financial statements from the date of the acquisition. The preliminary purchase price was allocated based on the fair values of the assets at the date of acquisition as follows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Accounts receivable</w:t>
            </w: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558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145,063</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value of certain assets and liabilities are preliminary in nature, they are subject to adjustment as additional information is obtained about the facts and circumstances that existed at the acquisition date. Pro forma information is not included in accordance with ASC 805, “Business Combinations,” because the acquisition was not considered material.</w:t>
      </w: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584" w:right="5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2013,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of the date on which they are made and the Company undertakes no duty to update or revise any forward-looking statements.</w:t>
      </w:r>
    </w:p>
    <w:p>
      <w:pPr>
        <w:spacing w:after="0" w:line="3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06"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Mack</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Mack Trucks, Inc.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SAP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SAP Aktiengesellschaft.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Its principal offices are located at 555 IH 35 South, Suite 500, New Braunfels, Texas 78130.</w:t>
      </w:r>
    </w:p>
    <w:p>
      <w:pPr>
        <w:spacing w:after="0" w:line="170" w:lineRule="exact"/>
        <w:rPr>
          <w:sz w:val="20"/>
          <w:szCs w:val="20"/>
          <w:color w:val="auto"/>
        </w:rPr>
      </w:pPr>
    </w:p>
    <w:p>
      <w:pPr>
        <w:jc w:val="both"/>
        <w:ind w:right="60" w:firstLine="648"/>
        <w:spacing w:after="0" w:line="297" w:lineRule="auto"/>
        <w:rPr>
          <w:sz w:val="20"/>
          <w:szCs w:val="20"/>
          <w:color w:val="auto"/>
        </w:rPr>
      </w:pPr>
      <w:r>
        <w:rPr>
          <w:rFonts w:ascii="Arial" w:cs="Arial" w:eastAsia="Arial" w:hAnsi="Arial"/>
          <w:sz w:val="16"/>
          <w:szCs w:val="16"/>
          <w:color w:val="auto"/>
        </w:rPr>
        <w:t>The Company is a full-service, integrated retailer of commercial vehicles and related services. The Truck Segment includes the Company’s operation of a regional network of commercial vehicle dealerships under the name “Rush Truck Centers.” Rush Truck Centers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580" w:right="539" w:bottom="1440" w:gutter="0" w:footer="0" w:header="0"/>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107 Rush Truck Centers in 20 states.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Goodwill is tested for impairment by reporting unit utilizing a two-step process at least annually, or more frequently when events or changes in circumstances indicate that the asset might be impaired. The first step requires the Company to compare the fair value of the reporting unit, which is the same as the segment, to the respective carrying value. The Company considers its Truck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 to materialize, the resulting decline in its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Goodwill was tested for impairment during the fourth quarter of 2013 and no impairment was required. The fair value of our reporting unit exceeded the carrying value of its net assets. As a result, we were not required to conduct the second step of the impairment test. The Company does not believe its reporting unit is at risk of failing step one of the impairment test. No facts or circumstances were noted during the nine months ended September 30, 2014 that would indicate impairment.</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partially self-insured for a portion of the claims related to its property and casualty insurance programs, requiring it to make estimates regarding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7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effective portion of the gain or loss on the Company’s cash flow hedges are reported as a component of accumulated other comprehensive loss. Hedge effectiveness is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8"/>
          <w:szCs w:val="18"/>
          <w:b w:val="1"/>
          <w:bCs w:val="1"/>
          <w:color w:val="auto"/>
        </w:rPr>
        <w:t>.</w:t>
      </w:r>
      <w:r>
        <w:rPr>
          <w:rFonts w:ascii="Arial" w:cs="Arial" w:eastAsia="Arial" w:hAnsi="Arial"/>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nine months ended September 30, 2014 and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9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Three Months Ended September</w:t>
            </w:r>
          </w:p>
        </w:tc>
        <w:tc>
          <w:tcPr>
            <w:tcW w:w="28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45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Cost of products sold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Parts and service sales</w:t>
            </w:r>
          </w:p>
        </w:tc>
        <w:tc>
          <w:tcPr>
            <w:tcW w:w="40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0"/>
        </w:trPr>
        <w:tc>
          <w:tcPr>
            <w:tcW w:w="45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Total cost of products sold</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83.5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83.5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r>
      <w:tr>
        <w:trPr>
          <w:trHeight w:val="20"/>
        </w:trPr>
        <w:tc>
          <w:tcPr>
            <w:tcW w:w="4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9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Three Months Ended September</w:t>
            </w:r>
          </w:p>
        </w:tc>
        <w:tc>
          <w:tcPr>
            <w:tcW w:w="28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4"/>
              </w:rPr>
              <w:t>Nine Months Ended September</w:t>
            </w:r>
          </w:p>
        </w:tc>
        <w:tc>
          <w:tcPr>
            <w:tcW w:w="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8"/>
                <w:szCs w:val="18"/>
                <w:color w:val="auto"/>
              </w:rPr>
            </w:pPr>
          </w:p>
        </w:tc>
      </w:tr>
      <w:tr>
        <w:trPr>
          <w:trHeight w:val="669"/>
        </w:trPr>
        <w:tc>
          <w:tcPr>
            <w:tcW w:w="58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7" w:name="page18"/>
    <w:bookmarkEnd w:id="17"/>
    <w:p>
      <w:pPr>
        <w:ind w:right="16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Nine Months Ended</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22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rPr>
              <w:t>New heavy-duty</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120"/>
              <w:spacing w:after="0"/>
              <w:rPr>
                <w:sz w:val="20"/>
                <w:szCs w:val="20"/>
                <w:color w:val="auto"/>
              </w:rPr>
            </w:pPr>
            <w:r>
              <w:rPr>
                <w:rFonts w:ascii="Arial" w:cs="Arial" w:eastAsia="Arial" w:hAnsi="Arial"/>
                <w:sz w:val="18"/>
                <w:szCs w:val="18"/>
                <w:color w:val="auto"/>
              </w:rPr>
              <w:t>vehicles</w:t>
            </w:r>
          </w:p>
        </w:tc>
        <w:tc>
          <w:tcPr>
            <w:tcW w:w="7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4,384</w:t>
            </w:r>
          </w:p>
        </w:tc>
        <w:tc>
          <w:tcPr>
            <w:tcW w:w="7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2,605</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10,714</w:t>
            </w: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6,758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2"/>
        </w:trPr>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New medium-duty</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vehicles</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2,587</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2,421</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7,529</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rPr>
              <w:t>New light-duty</w:t>
            </w:r>
          </w:p>
        </w:tc>
        <w:tc>
          <w:tcPr>
            <w:tcW w:w="780" w:type="dxa"/>
            <w:vAlign w:val="bottom"/>
          </w:tcPr>
          <w:p>
            <w:pPr>
              <w:spacing w:after="0"/>
              <w:rPr>
                <w:sz w:val="17"/>
                <w:szCs w:val="17"/>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377</w:t>
            </w:r>
          </w:p>
        </w:tc>
        <w:tc>
          <w:tcPr>
            <w:tcW w:w="780" w:type="dxa"/>
            <w:vAlign w:val="bottom"/>
          </w:tcPr>
          <w:p>
            <w:pPr>
              <w:spacing w:after="0"/>
              <w:rPr>
                <w:sz w:val="17"/>
                <w:szCs w:val="17"/>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515</w:t>
            </w: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1,352</w:t>
            </w:r>
          </w:p>
        </w:tc>
        <w:tc>
          <w:tcPr>
            <w:tcW w:w="26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1,444</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7"/>
        </w:trPr>
        <w:tc>
          <w:tcPr>
            <w:tcW w:w="1660" w:type="dxa"/>
            <w:vAlign w:val="bottom"/>
          </w:tcPr>
          <w:p>
            <w:pPr>
              <w:ind w:left="120"/>
              <w:spacing w:after="0"/>
              <w:rPr>
                <w:sz w:val="20"/>
                <w:szCs w:val="20"/>
                <w:color w:val="auto"/>
              </w:rPr>
            </w:pPr>
            <w:r>
              <w:rPr>
                <w:rFonts w:ascii="Arial" w:cs="Arial" w:eastAsia="Arial" w:hAnsi="Arial"/>
                <w:sz w:val="18"/>
                <w:szCs w:val="18"/>
                <w:color w:val="auto"/>
              </w:rPr>
              <w:t>vehicles</w:t>
            </w:r>
          </w:p>
        </w:tc>
        <w:tc>
          <w:tcPr>
            <w:tcW w:w="7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6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Total new vehicle</w:t>
            </w: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unit sales</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7,348</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5,541</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19,595</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1,956</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1,635</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rPr>
              <w:t>New heavy-duty</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120"/>
              <w:spacing w:after="0"/>
              <w:rPr>
                <w:sz w:val="20"/>
                <w:szCs w:val="20"/>
                <w:color w:val="auto"/>
              </w:rPr>
            </w:pPr>
            <w:r>
              <w:rPr>
                <w:rFonts w:ascii="Arial" w:cs="Arial" w:eastAsia="Arial" w:hAnsi="Arial"/>
                <w:sz w:val="18"/>
                <w:szCs w:val="18"/>
                <w:color w:val="auto"/>
              </w:rPr>
              <w:t>vehicles</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561.6</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348.2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1,421.9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928.0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2"/>
        </w:trPr>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New medium-duty</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vehicles</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185.4</w:t>
            </w: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181.2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532.9</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rPr>
              <w:t>New light-duty</w:t>
            </w:r>
          </w:p>
        </w:tc>
        <w:tc>
          <w:tcPr>
            <w:tcW w:w="780" w:type="dxa"/>
            <w:vAlign w:val="bottom"/>
          </w:tcPr>
          <w:p>
            <w:pPr>
              <w:spacing w:after="0"/>
              <w:rPr>
                <w:sz w:val="17"/>
                <w:szCs w:val="17"/>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14.9</w:t>
            </w:r>
          </w:p>
        </w:tc>
        <w:tc>
          <w:tcPr>
            <w:tcW w:w="780" w:type="dxa"/>
            <w:vAlign w:val="bottom"/>
          </w:tcPr>
          <w:p>
            <w:pPr>
              <w:spacing w:after="0"/>
              <w:rPr>
                <w:sz w:val="17"/>
                <w:szCs w:val="17"/>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17.2</w:t>
            </w: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45.8</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1660" w:type="dxa"/>
            <w:vAlign w:val="bottom"/>
          </w:tcPr>
          <w:p>
            <w:pPr>
              <w:ind w:left="120"/>
              <w:spacing w:after="0"/>
              <w:rPr>
                <w:sz w:val="20"/>
                <w:szCs w:val="20"/>
                <w:color w:val="auto"/>
              </w:rPr>
            </w:pPr>
            <w:r>
              <w:rPr>
                <w:rFonts w:ascii="Arial" w:cs="Arial" w:eastAsia="Arial" w:hAnsi="Arial"/>
                <w:sz w:val="18"/>
                <w:szCs w:val="18"/>
                <w:color w:val="auto"/>
              </w:rPr>
              <w:t>vehicles</w:t>
            </w:r>
          </w:p>
        </w:tc>
        <w:tc>
          <w:tcPr>
            <w:tcW w:w="7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6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Total new vehicle</w:t>
            </w: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761.9</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546.6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1,425.3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4"/>
              </w:rPr>
              <w:t>Used vehicle revenue</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82.1</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64.4</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6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Other vehicle</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6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b w:val="1"/>
                <w:bCs w:val="1"/>
                <w:color w:val="auto"/>
              </w:rPr>
              <w:t>revenue:</w:t>
            </w:r>
            <w:r>
              <w:rPr>
                <w:rFonts w:ascii="Arial" w:cs="Arial" w:eastAsia="Arial" w:hAnsi="Arial"/>
                <w:sz w:val="29"/>
                <w:szCs w:val="29"/>
                <w:color w:val="auto"/>
                <w:vertAlign w:val="superscript"/>
              </w:rPr>
              <w:t>(1)</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120.2%</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114.6%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body shop (collectively, “Aftermarket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the Company’s commercial vehicle dealerships’ absorption ratio was approximately 80%. The Company has made a concerted effort to increase its absorption ratio since 1999. The Company’s truck dealerships achieved a 120.2% absorption ratio for the third quarter of 2014 compared to a 114.6% absorption ratio for the third quarter of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Compared to Three Months Ended September 30, 2013</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positive impact of continued freight growth and economic improvement in the third quarter contributed to the Company achieving another quarter of record performance in total revenues, net income, Class 8 new truck sales and market share, aftermarket sales and its absorption ratio. The Company continued to focus on asset management, process standardization and customer service consistency, while expanding its portfolio of solutions to help drive efficiencies for its customers.</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Aftermarket Services revenue was driven by continued repair and maintenance needs of aged vehicles, increased activity in pre-delivery inspection and vehicle modifications resulting from new truck sales, and service support for a broad range of market segments. The Company expects aftermarket sales to remain strong through the remainder of 2014 and into 2015; however, continued low oil prices could adversely impact the Company if such lower prices lead to reduced activity in the energy sector.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Demand for new Class 8 trucks remained strong in the third quarter. Large fleets continued to replace aged vehicles to improve uptime, capitalize on gains in fuel efficiency, and appeal to a wider range of potential drivers. Demand for vehicles from small and mid-size vocational customers increased in the third quarter. Our third quarter Class 4-7 truck sales accounted for the second largest quarterly sales volume in the Company’s history. The Company believes that this was a direct result of our investment in a large inventory of work-ready equipment, which allows it to meet the immediate demands of vocational customers, particularly those in construction.</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continues to implement its accelerated business system rollout as planned and expand its investments in new facility construction and renovations. The Company is currently constructing new dealerships in San Antonio, Texas; Cleveland and Cincinnati, Ohio; and will begin construction soon on new dealerships in Denver, Colorado; Odessa, Texas; and Twin Falls, Idaho.</w:t>
      </w:r>
    </w:p>
    <w:p>
      <w:pPr>
        <w:sectPr>
          <w:pgSz w:w="11900" w:h="16838" w:orient="portrait"/>
          <w:cols w:equalWidth="0" w:num="1">
            <w:col w:w="11040"/>
          </w:cols>
          <w:pgMar w:left="240" w:top="611" w:right="619" w:bottom="204"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$328.0 million, or 35.9%, in the third quarter of 2014, compared to the third quarter of 2013.</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Aftermarket Services revenues increased $83.1 million, or 32.3%, in the third quarter of 2014, compared to the third quarter of 2013. This increase is due primarily to the effect of the acquisitions that occurred since the second quarter of 2013, but is also impacted by strong demand for maintenance and repair of aged vehicles. The Company expects Aftermarket Services revenues to continue to remain strong through 2014 and remains focused on expanding aftermarket product and service offerings.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$230.6 million, or 37.5%, in the third quarter of 2014 compared to the third quarter of 2013.</w:t>
      </w:r>
    </w:p>
    <w:p>
      <w:pPr>
        <w:spacing w:after="0" w:line="170"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The Company sold 4,384 heavy-duty trucks in the third quarter of 2014, a 68.3% increase compared to 2,605 heavy-duty trucks in the third quarter of 2013. This increase is due primarily to a stronger heavy-duty truck market and the effect of the acquisitions that occurred since the second quarter of 2013. According to A.C.T. Research Co., LLC (“A.C.T. Research”), a truck industry data and forecasting service provider, the U.S. Class 8 truck market increased 20% in the third quarter of 2014 compared to the third quarter of 2013. A.C.T. Research currently predicts U.S. retail sales of Class 8 trucks of approximately 227,100 units in 2014, 240,000 units in 2015, and 220,000 units in 2016, compared to approximately 188,000 units in 2013. The Company’s share of the U.S. Class 8 truck sales market was approximately 5.1% in 2013, and 6.6% in the first nine months of 2014. The Company expects its market share to range between 6.5% and 7.0% of U.S. Class 8 truck sales in 2014. Based on A.C.T. Research’s estimate of U.S. retail sales of 227,100 units, this market share percentage would result in the sale of approximately 14,800 to 15,900 of Class 8 trucks in 2014.</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sold 2,587 medium-duty commercial vehicles, including 435 buses, in the third quarter of 2014, a 6.9% increase compared to 2,421 medium-duty commercial vehicles, including 626 buses, in 2013. A.C.T. Research estimates that unit sales of Class 4 through 7 commercial vehicles in the U.S. increased approximately 20% in the third quarter of 2014, compared to the third quarter of 2013. A.C.T. Research currently predicts U.S. retail sales of Class 4 through 7 medium-duty commercial vehicles of approximately 196,300 units in 2014, 204,300 units in 2015, and 212,300 in 2016. The Company’s share of the U.S. Class 4 through 7 commercial vehicle sales market in the U.S. in 2013 was 4.7%, and 5.1% in the first nine months of 2014. The Company expects its market share to range between 4.9% and 5.3% of U.S. Class 4 through 7 commercial vehicle sales in 2014. Based on A.C.T. Research’s current U.S. retail sales estimates of 196,300 units, this market share percentage would result in the sale of approximately 9,600 to 10,400 of Class 4 through 7 commercial vehicles in 2014.</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sold 377 light-duty vehicles in the third quarter of 2014, a 26.8% decrease compared to 515 light-duty vehicles sold in the third quarter of 2013. This decrease was primarily attributable to the relocation of the Orlando dealership during the third quarter of 2014 which resulted in a temporary closure during the move. The Company expects to sell approximately 2,000 light-duty vehicles in 2014.</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sold 1,956 used commercial vehicles in the third quarter of 2014, a 19.6% increase compared to 1,635 used commercial vehicles in the third quarter of 2013. This increase was primarily the result of acquisitions that occurred since the second quarter of 2013. The Company expects to sell 7,500 to 8,500 used commercial vehicles in 2014. The volume of used commercial vehicle sales will be largely dependent upon our ability to acquire quality used commercial vehicles and maintain an adequate used commercial vehicle inventory throughout 2014.</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Truck lease and rental revenues increased $12.4 million, or 38.1%, in the third quarter of 2014, compared to the third quarter of 2013. The increase in lease and rental revenue is primarily due to acquisitions that occurred in the second half of 2013 and the first quarter of 2014. The Company expects lease and rental revenue to increase 38% to 40% during 2014, compared to 2013.</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Finance and insurance revenues increased $0.9 million, or 20.6%, in the third quarter of 2014, compared to the third quarter of 2013. The Company expects finance and insurance revenue to fluctuate proportionately with the Company’s new and used commercial vehicle sales for the remainder of the year. Finance and insurance revenues have limited direct costs and, therefore, contribute a disproportionate share of the Company’s operating profits.</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Gross profit increased $48.5 million, or 32.3%, in the third quarter of 2014, compared to the third quarter of 2013. Gross profit as a percentage of sales decreased to 16.0% in the third quarter of 2014, from 16.5% in the third quarter of 2013. This decrease in gross profit as a percentage of sales is a result of a change in our product sales mix. Commercial vehicle sales, a lower margin revenue item, increased as a percentage of total revenue to 68.2% in 2014, from 67.4% in 2013. Aftermarket Services revenues, a higher margin revenue item, decreased as a percentage of total revenue to 27.4% in 2014, from 28.2% in 2013.</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Gross margins from the Company’s Aftermarket Services operations decreased to 36.6% in the third quarter of 2014, from 37.4% in the third quarter of 2013. Gross profit for the Aftermarket Services departments increased to $124.6 million in the third quarter of 2014, from $96.3 million in the third quarter of 2013. Historically, parts operations gross margins range from 27% to 28% and service and body shop operations range from 67% to 68%. Gross profits from parts sales represented 55% of total gross profit for Aftermarket Services operations in both the third quarter of 2014 and 2013. Service and body shop operations represented 45% of total gross profit for Aftermarket Services operations in both the third quarter of 2014 and 2013. The Company expects blended gross margins on Aftermarket Services operations to range from 35.5% to 36.5% in 2014.</w:t>
      </w:r>
    </w:p>
    <w:p>
      <w:pPr>
        <w:spacing w:after="0" w:line="16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on Class 8 truck sales increased to 6.9% in the third quarter of 2014, from 6.7% in the third quarter of 2013. In 2014, the Company expects overall gross margins from Class 8 truck sales of approximately 6.9% to 7.5%.</w:t>
      </w:r>
    </w:p>
    <w:p>
      <w:pPr>
        <w:spacing w:after="0" w:line="170"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Gross margins on medium-duty commercial vehicle sales increased to 5.8% in the third quarter of 2014, from 5.3% in the third quarter of 2013. It is difficult to accurately forecast gross margins on medium-duty commercial vehicles because gross margins vary significantly depending upon the mix of fleet and non-fleet purchasers and types of medium-duty commercial vehicles sold. For 2014, the Company expects overall gross margins from medium-duty commercial vehicle sales of approximately 5.3% to 5.9%, but this will largely depend upon the mix of purchasers and types of vehicles sold.</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used commercial vehicle sales increased to 10.3% in the third quarter of 2014, from 9.0% in the third quarter of 2013. The Company expects margins on used commercial vehicles to range between 9.8% and 10.5% during 2014, depending upon general economic conditions and the availability of quality used vehicles.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margins from truck lease and rental sales increased to 15.2% in the third quarter of 2014, from 14.6% in the third quarter of 2013. The Company expects gross margins from lease and rental sales of approximately 13.3% to 14.0% during 2014,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Selling, General and Administrative (“SG&amp;A”) expenses increased $33.4 million, or 29.1%, in the third quarter of 2014, compared to the third quarter of 2013. SG&amp;A expenses as a percentage of total revenue decreased to 11.9% in the second quarter of 2014, from 12.6% in the second quarter of 2013. SG&amp;A expenses as a percentage of total revenue have historically ranged from 10.0% to 15.0%. For 2014, the Company expects SG&amp;A expenses as a percentage of total revenue to range from 12.5% to 13.5% and the selling portion of SG&amp;A expenses to be approximately 25% to 30% of new and used commercial vehicle gross profit. In 2014, the Company expects the general and administrative portion of SG&amp;A expenses to increase by approximately 25% to 30% compared to 2013, due primarily to the full year effect of the acquisitions that occurred since the first quarter of 2013, the addition of personnel and technology to integrate the Company’s network of dealerships and the start-up of the Company’s natural gas fuel systems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expense increased $1.9 million, or 25.4%, in the third quarter of 2014, compared to the third quarter of 2013. This increase is primarily due to acquisitions that occurred since the second quarter of 2013, the construction of new dealerships and dealership renovations and expansions.</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interest expense remained unchanged compared to the third quarter of 2013. Net interest expense in 2014 will depend on inventory levels and the amount of cash available to make prepayments on the Company’s floor plan agreement with GE Capital Commercial, Inc. (“GE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$13.2 million, or 52.8%, in the third quarter of 2014, compared to the third quarter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taxes increased $4.9 million, or 49.9%, in the third quarter of 2014, compared to the third quarter of 2013. The Company provided for taxes at a 38.75% effective rate in the third quarter of 2014, compared to an effective rate of 39.5% in the third quarter of 2013. The Company expects its effective tax rate to be approximately 38% to 39% of pretax income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2014 Compared to Nine Months Ended September 30, 2013</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Unless otherwise stated below, the Company’s variance explanations and future expectations with regard to the items discussed in this section are set forth in the discussion of the “Three Months Ended September 30, 2014, Compared to Three Months Ended September 30,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$922.6 million, or 37.5%, in the first nine months of 2014, compared to the first nine months of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Aftermarket Services sales increased $248.7 million, or 34.0%, in the first nine months of 2014, compared to the first nine months of 2013.</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$631.0 million, or 39.1%, in the first nine months of 2014, compared to the first nine months of 2013.</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sold 10,714 heavy-duty trucks in the first nine months of 2014, a 58.5% increase compared to 6,758 heavy-duty trucks in the first nine months of 2013. According to A.C.T. Research, the U.S. Class 8 truck market increased 20% in the first nine months of 2014, compared to the first nine months of 2013.</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sold 7,529 medium-duty commercial vehicles, including 1,242 buses, in the first nine months of 2014, an 18.1% increase compared to 6,376 medium-duty commercial vehicles, including 1,092 buses, in the first nine months of 2013. A.C.T. Research estimates that unit sales of Class 4 through 7 commercial vehicles, including buses, in the U.S increased approximately 13% in the first nine months of 2014, compared to the first nine months of 2013.</w:t>
      </w:r>
    </w:p>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Company sold 1,352 light-duty commercial vehicles in the first nine months of 2014, a 6.4% decrease compared to 1,444 light-duty commercial vehicles in the first nine months of 2013.</w:t>
      </w:r>
    </w:p>
    <w:p>
      <w:pPr>
        <w:spacing w:after="0" w:line="17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Company sold 5,680 used commercial vehicles in the first nine months of 2014, a 24.4% increase compared to 4,567 used commercial vehicles in the first nine months of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Truck lease and rental revenues increased $36.0 million, or 38.2%, in the first nine months of 2014, compared to the first nine months of 2013.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increased $3.3 million, or 28.8%, in the first nine months of 2014, compared to the first nine months of 2013.</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611" w:right="5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Gross profit increased $136.3 million, or 32.3%, in the first nine months of 2014, compared to the first nine months of 2013. Gross profit as a percentage of sales decreased to 16.5% in the first nine months of 2014, from 17.1% in the first nine months of 2013. This decrease in gross profit as a percentage of sales is a result of a change in our product sales mix. Commercial vehicle sales, a lower margin revenue item, increased as a percentage of total revenue to 66.4% in 2014, from 65.6% in 2013. Aftermarket Services revenues, a higher margin revenue item, decreased as a percentage of total revenue to 29.0% in 2014, from 29.8% in 2013.</w:t>
      </w:r>
    </w:p>
    <w:p>
      <w:pPr>
        <w:spacing w:after="0" w:line="18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Gross margins from the Company’s Aftermarket Services operations decreased to 36.1% in the first nine months of 2014, from 37.2% in the first nine months of 2013. Gross profit for the Aftermarket Services departments was $353.9 million in the first nine months of 2014, compared to $272.5 million in the first nine months of 2013. Gross profits from parts sales represented 55% of total gross profit for Aftermarket Services operations in the first nine months of 2014 and the first nine months of 2013. Service and body shop operations represented 45% of total gross profit for Aftermarket Services operations in the first nine months of 2014 and the first nine months of 2013.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on Class 8 truck sales increased to 7.3% in the first nine months of 2014, from 6.9% in the first nine months of 2013.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increased to 5.7% in the first nine months of 2014, from 5.3% in the first nine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on used commercial vehicle sales increased to 10.2% in the first nine months of 2014, from 9.8% in the first nine months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from truck lease and rental sales decreased to 13.6% in the first nine months of 2014, from 16.1% in the first nine months of 2013. The decrease in gross margins is primarily due to the acquisitions in Illinois and Indiana.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SG&amp;A expenses increased $96.3 million, or 28.7%, in the first nine months of 2014, compared to the first nine months of 2013. SG&amp;A expenses as a percentage of sales were 12.8% in the first nine months of 2014 and 13.6% in the first nine months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$5.5 million, or 25.3%, in the first nine months of 2014, compared to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$0.6 million, or 7.6%, in the first nine months of 2014, compared to the first nine months of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$33.8 million, or 59.9%, in the first nine months of 2014, compared to the first nine months of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Income taxes increased $12.9 million, or 58.1% in the first nine months of 2014, compared to the first nine months of 2013. The Company provided for taxes at a 38.75% rate in the first nine months of 2014, compared to a rate of 39.2% in the first nine months of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2014, the Company had working capital of approximately $125.3 million, including $144.7 million in cash available to fund our operations. The Company believes that these funds are sufficient to meet its operating requirements for at least the next twelve months.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3" w:name="page24"/>
    <w:bookmarkEnd w:id="23"/>
    <w:p>
      <w:pPr>
        <w:jc w:val="both"/>
        <w:ind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$15.0 million. There were no advances outstanding under this secured line of credit at September 30, 2014; however, $11.5 million was pledged to secure various letters of credit related to self-insurance products, leaving $3.5 million available for future borrowings as of September 30, 2014.</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long-term real estate debt agreements and floor plan financing arrangements require the Company to satisfy various financial ratios such as the debt-to-worth ratio, leverage ratio and the fixed charge coverage ratio and certain requirements for tangible net worth and GAAP net worth. As of September 30, 2014, the Company was in compliance with all debt covenants related to debt secured by real estate and lease and rental units and its floor plan credit agreement. The Company does not anticipate any breach of the covenants in the foreseeable future.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expects to purchase or lease trucks worth approximately $170.0 million for its leasing operations during 2014, depending on customer demand, all of which will be financed. The Company expects to make capital expenditures for recurring items such as computers, shop equipment and vehicles of approximately $4.0 million to $6.0 million during the remainder of 2014.</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currently under contracts to construct dealership facilities or remodel existing dealership facilities in San Antonio, Texas, at an estimated cost of $12.0 million, Dallas, Texas at an estimated cost of $2.6 million, Odessa, Texas at an estimated cost of $10.9 million, Cleveland, Ohio at an estimated cost of $8.4 million, Chicago, Illinois at an estimated cost of $2.4 million, and Cincinnati, Ohio at an estimated cost of $12.7 million. These construction projects are estimated to continue through the second quarter of 2015.</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anticipates funding its capital expenditures relating to the improvement and expansion of existing facilities and recurring expenses through its operating cash flow. The Company expects to fund the construction or purchase of new facilities through either its operating cash flow or by financing 70% to 80% of the appraised value of such facility.</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February 4, 2014, the Company announced that its Board of Directors approved a new stock repurchase program authorizing the Company to repurchase, from time to time, up to an aggregate of $40.0 million shares of Class A Common Stock and/or Class B Common Stock. The new stock repurchase program replaces the previous $40 million stock repurchase program that was set to expire on February 11, 2014.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February 3, 2015, and may be suspended or discontinued at any time. While the stock repurchase program does not obligate the Company to acquire any particular amount or class of common stock, the Company anticipates that it will be repurchasing primarily shares of its Class B Common Stock. As of September 30, 2014, the Company had repurchased $9.4 million of its Class B Common Stock under the stock repurchase program announced on February 4, 2014.</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no other material commitments for capital expenditures as of September 30, 2014,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Cash and cash equivalents decreased by $72.6 million during the nine months ended September 30, 2014, and decreased by $32.5 million during the nine months ended September 30, 2013.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nine months of 2014, operating activities resulted in net cash provided by operations of $88.6 million. Cash provided by operating activities was primarily impacted by the increase in accounts payable, the increase in accrued liabilities and draws on floor plan notes payable – trade, which was offset by the increase in inventories and accounts receivable.</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4" w:name="page25"/>
    <w:bookmarkEnd w:id="24"/>
    <w:p>
      <w:pPr>
        <w:jc w:val="both"/>
        <w:ind w:right="40" w:firstLine="648"/>
        <w:spacing w:after="0" w:line="264" w:lineRule="auto"/>
        <w:rPr>
          <w:sz w:val="20"/>
          <w:szCs w:val="20"/>
          <w:color w:val="auto"/>
        </w:rPr>
      </w:pPr>
      <w:r>
        <w:rPr>
          <w:rFonts w:ascii="Arial" w:cs="Arial" w:eastAsia="Arial" w:hAnsi="Arial"/>
          <w:sz w:val="18"/>
          <w:szCs w:val="18"/>
          <w:color w:val="auto"/>
        </w:rPr>
        <w:t>During the first nine months of 2013, operating activities resulted in net cash provided by operations of $77.8 million. Cash provided by operating activities was primarily impacted by the increase in accounts payable and draws on floor plan notes payable – trade, which was offset by the increase in inventories and accounts receivable and the decrease in accrued liabilities.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September 30, 2014, the interest rate on the wholesale financing agreement was 5.25% before considering the applicable incentives. As of September 30, 2014, the Company had an outstanding balance of $61.2 million under the Ford Motor Credit Company wholesale financing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Cash flows used in investing activities primarily consist of cash used for capital expenditures and business acquisitions. During the first nine months of 2014, cash used in investing activities was $328.4 million. Capital expenditures consisted of purchases of property and equipment and improvements to our existing dealership facilities of $182.2 million. Property and equipment purchases during the first nine months of 2014 included $120.7 million for additional units for rental and leasing operations, which will be directly offset by borrowings of long-term debt. The Company expects to purchase or lease trucks worth approximately $170.0 million for its leasing operations in 2014, depending on customer demand, all of which will be financed. Cash used in business acquisitions was $147.8 million during the first nine months of 2014, which was partially offset by borrowings of long-term debt and floor plan notes payable. See Note 10 of the Notes to Consolidated Financial Statements for a detailed discussion of the business acquisitions. The Company expects to make capital expenditures for recurring items such as computers, shop equipment and vehicles of approximately $4.0 million to $6.0 million during the remainder of 2014.</w:t>
      </w:r>
    </w:p>
    <w:p>
      <w:pPr>
        <w:spacing w:after="0" w:line="18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During the first nine months of 2013, cash used in investing activities was $189.0 million. Capital expenditures consisted of purchases of property and equipment and improvements to our existing dealership facilities of $123.0 million. Property and equipment purchases, during the first nine months of 2013 included $73.0 million for additional units for rental and leasing operations, which will be directly offset by borrowings of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 non-trade. Cash provided by financing activities was $167.2 million during the first nine months of 2014. The Company had borrowings of long-term debt of $153.4 million, primarily related to units for the lease and rental operations, and repayments of long-term debt and capital lease obligations of $94.3 million during the first nine months of 2014. The Company had net draws on floor plan notes payable – non-trade of $101.8 million during the first nine months of 2014. Cash flows from financing activities also included proceeds from the issuance of shares relating to equity award plans, excess tax benefits from stock-based compensation and common stock repurchased.</w:t>
      </w:r>
    </w:p>
    <w:p>
      <w:pPr>
        <w:spacing w:after="0" w:line="17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Cash provided by financing activities was $78.7 million during the first nine months of 2013. The Company had borrowings of long-term debt of $112.4 million, primarily related to units for the lease and rental operations, and repayments of long-term debt and capital lease obligations of $75.1 million during the first nine months of 2013. The Company had net draws on floor plan notes payable – non-trade of $35.6 million during the first nine months of 2013. Cash flows from financing activities also included proceeds from the issuance of shares relating to equity award plans, excess tax benefits from stock-based compensation and common stock repurchased.</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the Company’s commercial vehicle purchases are made on terms requiring payment to the manufacturer within 15 days or less from the date the commercial vehicles are invoiced from the factory. On July 11, 2013, the Company entered into the third amendment to its credit agreement with GE Capital. The amendment increased the aggregate loan commitment to $750.0 million. Borrowings under the amended credit agreement will now bear interest per annum, payable monthly, at the three month LIBOR rate, determined on the last day of the prior month, plus 2.03%. In addition, the Company is required to pay the lenders a monthly working capital fee equal to 0.35% per annum multiplied by the amount of voluntary prepayments of new and used inventory loans. Loans under the credit agreement for the purchase of used inventory are limited to $150.0 million. Pursuant to the third amendment, the credit agreement expires July 11, 2016, although GE Capital has the right to terminate the credit agreement at any time upon 120 days’ written notice. The Company may terminate the credit agreement at any time, although if it does so it must pay the lenders a prepayment processing fee of (i) $15,000,000 if it terminates on or prior to January 11, 2015, (ii) $7,500,000 if it terminates after January 11, 2015, but on or prior to July 11, 2015 and (iii) $300,000 if it terminates thereafter, subject in each case to specified limited exceptions. On September 30, 2014, the Company had approximately $660.9 million outstanding under its credit agreement with GE Capital. The average daily outstanding borrowings under the credit agreement with GE Capital were $533.6 million during the nine months ended September 30, 2014.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5" w:name="page26"/>
    <w:bookmarkEnd w:id="25"/>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If the commercial vehicle is not sold within the interest-free period, the Company then finances the commercial vehicle under the GE Capital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right="40" w:firstLine="648"/>
        <w:spacing w:after="0" w:line="293" w:lineRule="auto"/>
        <w:rPr>
          <w:sz w:val="20"/>
          <w:szCs w:val="20"/>
          <w:color w:val="auto"/>
        </w:rPr>
      </w:pPr>
      <w:r>
        <w:rPr>
          <w:rFonts w:ascii="Arial" w:cs="Arial" w:eastAsia="Arial" w:hAnsi="Arial"/>
          <w:sz w:val="16"/>
          <w:szCs w:val="16"/>
          <w:color w:val="auto"/>
        </w:rPr>
        <w:t>On September 30, 2014, the Company’s backlog of commercial vehicle orders was approximately $1,437.7 million, compared to a backlog of commercial vehicle orders of approximately $666.5 million on September 30, 2013. The Company includes only confirmed orders in its backlog. The delivery time for a custom-ordered commercial vehicle varies depending on the truck specifications and demand for the particular model ordered, however, the Company expects to fill the majority of its backlog orders during 2014 and 2015. The Company sells the majority of its new heavy-duty commercial vehicles by customer special order. The Company sells the majority of its medium- and light-duty commercial vehicles out of inventory. Orders from a number of the Company’s major fleet customers are included in the Company’s backlog as of September 30,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business is moderately seasonal. Seasonal effects on new commercial vehicle sales related to the seasonal purchasing patterns of any single customer type are mitigated by the diverse geographic locations of the Company’s dealerships and its diverse customer base, including regional and national fleets, local governments, corporations and owner operators. However, Aftermarket Services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that it is in a better position to reduce the negative impact on the Company’s earnings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6" w:name="page27"/>
    <w:bookmarkEnd w:id="26"/>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will be fully implemented in model year 2017. The EPA and DOT have announced plans to extend these standards beyond model year 2018, but have not yet proposed regulations. We do not believe that the foregoing standards will negatively impact our business, however, future legislation or other new regulations that may be adopted to address GHG emissions may negatively impact our business.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September 30, 2014, the Company had floor plan borrowings and variable interest rate real estate debt of approximately $791.2 million. Assuming an increase or decrease in LIBOR of 100 basis points, annual interest expense could correspondingly increase or decrease by approximately $7.9 million.</w:t>
      </w:r>
    </w:p>
    <w:p>
      <w:pPr>
        <w:spacing w:after="0" w:line="15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offers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September 30, 2014, the Company had interest rate swaps with a total notional amount of $35.8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$144.7 million on September 30, 2014.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$1.4 million.</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 As of September 30, 2014, the Company held auction rate securities with underlying tax-exempt municipal bonds that mature in 2030 and have a fair value of $6.8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 2014, to ensure that information required to be disclosed in the reports filed or submitted under the Securities Exchange Act of 1934 is</w:t>
      </w:r>
    </w:p>
    <w:p>
      <w:pPr>
        <w:spacing w:after="0" w:line="2"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recorded, processed, summarized and reported within the time periods specified in the Securities and Exchange Commission’s rules and forms, and</w:t>
      </w:r>
    </w:p>
    <w:p>
      <w:pPr>
        <w:spacing w:after="0" w:line="32" w:lineRule="exact"/>
        <w:rPr>
          <w:rFonts w:ascii="Arial" w:cs="Arial" w:eastAsia="Arial" w:hAnsi="Arial"/>
          <w:sz w:val="16"/>
          <w:szCs w:val="16"/>
          <w:color w:val="auto"/>
        </w:rPr>
      </w:pPr>
    </w:p>
    <w:p>
      <w:pPr>
        <w:ind w:right="20" w:firstLine="8"/>
        <w:spacing w:after="0" w:line="261" w:lineRule="auto"/>
        <w:tabs>
          <w:tab w:leader="none" w:pos="276"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accumulated and communicated to Company management, including the Chief Executive Officer and Chief Financial Officer, as appropriate, to allow timely decisions regarding required disclosure.</w:t>
      </w:r>
    </w:p>
    <w:p>
      <w:pPr>
        <w:spacing w:after="0" w:line="18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During the three months ended September 30, 2014, there has been no change in the Company’s internal control over financial reporting that has occurred that has materially affected, or is reasonably likely to materially affect, the Company’s internal control over financial reporting.</w:t>
      </w:r>
    </w:p>
    <w:p>
      <w:pPr>
        <w:spacing w:after="0" w:line="3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580" w:right="6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0" w:firstLine="648"/>
        <w:spacing w:after="0" w:line="291" w:lineRule="auto"/>
        <w:rPr>
          <w:sz w:val="20"/>
          <w:szCs w:val="20"/>
          <w:color w:val="auto"/>
        </w:rPr>
      </w:pPr>
      <w:r>
        <w:rPr>
          <w:rFonts w:ascii="Arial" w:cs="Arial" w:eastAsia="Arial" w:hAnsi="Arial"/>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2013 Annual Report on Form 10-K (the “2013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2013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repurchase activity for the Company’s third quarter of 2014 is as follows: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Purchased as</w:t>
            </w:r>
          </w:p>
        </w:tc>
        <w:tc>
          <w:tcPr>
            <w:tcW w:w="10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Part of Publicly</w:t>
            </w:r>
          </w:p>
        </w:tc>
        <w:tc>
          <w:tcPr>
            <w:tcW w:w="1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May Yet be Purchased</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 (1)</w:t>
            </w:r>
          </w:p>
        </w:tc>
        <w:tc>
          <w:tcPr>
            <w:tcW w:w="1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Average Price Paid</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8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5"/>
              </w:rPr>
              <w:t>(2)(3)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Per Share (1)</w:t>
            </w: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(2)</w:t>
            </w:r>
          </w:p>
        </w:tc>
        <w:tc>
          <w:tcPr>
            <w:tcW w:w="10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Programs (3)</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July 31, 2014</w:t>
            </w:r>
          </w:p>
        </w:tc>
        <w:tc>
          <w:tcPr>
            <w:tcW w:w="12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4"/>
              </w:rPr>
              <w:t>29.85</w:t>
            </w:r>
          </w:p>
        </w:tc>
        <w:tc>
          <w:tcPr>
            <w:tcW w:w="22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333,353</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31,066,935</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August 1 – August 31, 2014</w:t>
            </w:r>
          </w:p>
        </w:tc>
        <w:tc>
          <w:tcPr>
            <w:tcW w:w="2060" w:type="dxa"/>
            <w:vAlign w:val="bottom"/>
            <w:gridSpan w:val="3"/>
          </w:tcPr>
          <w:p>
            <w:pPr>
              <w:jc w:val="right"/>
              <w:ind w:right="220"/>
              <w:spacing w:after="0"/>
              <w:rPr>
                <w:sz w:val="20"/>
                <w:szCs w:val="20"/>
                <w:color w:val="auto"/>
              </w:rPr>
            </w:pPr>
            <w:r>
              <w:rPr>
                <w:rFonts w:ascii="Arial" w:cs="Arial" w:eastAsia="Arial" w:hAnsi="Arial"/>
                <w:sz w:val="18"/>
                <w:szCs w:val="18"/>
                <w:color w:val="auto"/>
              </w:rPr>
              <w:t>5,236</w:t>
            </w:r>
          </w:p>
        </w:tc>
        <w:tc>
          <w:tcPr>
            <w:tcW w:w="120" w:type="dxa"/>
            <w:vAlign w:val="bottom"/>
          </w:tcPr>
          <w:p>
            <w:pPr>
              <w:spacing w:after="0"/>
              <w:rPr>
                <w:sz w:val="18"/>
                <w:szCs w:val="18"/>
                <w:color w:val="auto"/>
              </w:rPr>
            </w:pPr>
          </w:p>
        </w:tc>
        <w:tc>
          <w:tcPr>
            <w:tcW w:w="1820" w:type="dxa"/>
            <w:vAlign w:val="bottom"/>
            <w:gridSpan w:val="2"/>
          </w:tcPr>
          <w:p>
            <w:pPr>
              <w:ind w:left="1200"/>
              <w:spacing w:after="0"/>
              <w:rPr>
                <w:sz w:val="20"/>
                <w:szCs w:val="20"/>
                <w:color w:val="auto"/>
              </w:rPr>
            </w:pPr>
            <w:r>
              <w:rPr>
                <w:rFonts w:ascii="Arial" w:cs="Arial" w:eastAsia="Arial" w:hAnsi="Arial"/>
                <w:sz w:val="18"/>
                <w:szCs w:val="18"/>
                <w:color w:val="auto"/>
              </w:rPr>
              <w:t>30.91</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338,589</w:t>
            </w:r>
          </w:p>
        </w:tc>
        <w:tc>
          <w:tcPr>
            <w:tcW w:w="1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30,905,102</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2014</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9,031</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30.58</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347,620</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30,628,892</w:t>
            </w:r>
          </w:p>
        </w:tc>
      </w:tr>
      <w:tr>
        <w:trPr>
          <w:trHeight w:val="20"/>
        </w:trPr>
        <w:tc>
          <w:tcPr>
            <w:tcW w:w="3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42,775</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347,620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30,628,892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-8255</wp:posOffset>
            </wp:positionV>
            <wp:extent cx="10979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-8255</wp:posOffset>
            </wp:positionV>
            <wp:extent cx="2332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w:t>
      </w:r>
    </w:p>
    <w:p>
      <w:pPr>
        <w:spacing w:after="0" w:line="8" w:lineRule="exact"/>
        <w:rPr>
          <w:sz w:val="20"/>
          <w:szCs w:val="20"/>
          <w:color w:val="auto"/>
        </w:rPr>
      </w:pPr>
    </w:p>
    <w:p>
      <w:pPr>
        <w:ind w:left="58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9" w:lineRule="exact"/>
        <w:rPr>
          <w:rFonts w:ascii="Arial" w:cs="Arial" w:eastAsia="Arial" w:hAnsi="Arial"/>
          <w:sz w:val="18"/>
          <w:szCs w:val="18"/>
          <w:color w:val="auto"/>
        </w:rPr>
      </w:pPr>
    </w:p>
    <w:p>
      <w:pPr>
        <w:jc w:val="both"/>
        <w:ind w:left="580" w:right="320" w:hanging="572"/>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repurchased shares under a program announced on February 4, 2014, which authorized the repurchase of up to $40.0 million of its shares of Class A common stock, $.01 par value per share, and/or Class B common stock, $.01 par value per share. The stock repurchase program expires on February 3, 2015, and may be suspended or discontinued at any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34"/>
        </w:trPr>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64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6"/>
                <w:szCs w:val="16"/>
                <w:color w:val="auto"/>
              </w:rPr>
            </w:pPr>
          </w:p>
        </w:tc>
        <w:tc>
          <w:tcPr>
            <w:tcW w:w="10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Restated Articles of Incorporation of Rush Enterprises, Inc. (incorporated herein by reference to Exhibit 3.1 of the Company’s Quarterly Report</w:t>
            </w:r>
          </w:p>
        </w:tc>
      </w:tr>
      <w:tr>
        <w:trPr>
          <w:trHeight w:val="216"/>
        </w:trPr>
        <w:tc>
          <w:tcPr>
            <w:tcW w:w="780" w:type="dxa"/>
            <w:vAlign w:val="bottom"/>
          </w:tcPr>
          <w:p>
            <w:pPr>
              <w:spacing w:after="0"/>
              <w:rPr>
                <w:sz w:val="18"/>
                <w:szCs w:val="18"/>
                <w:color w:val="auto"/>
              </w:rPr>
            </w:pP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on Form 10-Q (File No. 000-20797) for the quarter ended June 30, 2008).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w w:val="94"/>
              </w:rPr>
              <w:t>Rush Enterprises, Inc. Amended and Restated Bylaws (incorporated herein by reference to Exhibit 3.1 of the Company’s Current Report on</w:t>
            </w:r>
          </w:p>
        </w:tc>
      </w:tr>
      <w:tr>
        <w:trPr>
          <w:trHeight w:val="216"/>
        </w:trPr>
        <w:tc>
          <w:tcPr>
            <w:tcW w:w="780" w:type="dxa"/>
            <w:vAlign w:val="bottom"/>
          </w:tcPr>
          <w:p>
            <w:pPr>
              <w:spacing w:after="0"/>
              <w:rPr>
                <w:sz w:val="18"/>
                <w:szCs w:val="18"/>
                <w:color w:val="auto"/>
              </w:rPr>
            </w:pP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Form 8-K (File No. 000-20797) filed May 21,2013).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w w:val="98"/>
              </w:rPr>
              <w:t>Certification of CEO pursuant to Rules 13a-14(a) and 15d-14(a) adopted pursuant to Section 302 of the Sarbanes-Oxley Act of 2002.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w w:val="98"/>
              </w:rPr>
              <w:t>Certification of CFO pursuant to Rules 13a-14(a) and 15d-14(a) adopted pursuant to Section 302 of the Sarbanes-Oxley Act of 2002.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rPr>
              <w:t>32.1**</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rPr>
              <w:t>32.2**</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XBRL Instance Document.</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1064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48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RUSH ENTERPRISES, INC.</w:t>
            </w:r>
          </w:p>
        </w:tc>
      </w:tr>
      <w:tr>
        <w:trPr>
          <w:trHeight w:val="824"/>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100"/>
              <w:spacing w:after="0"/>
              <w:rPr>
                <w:sz w:val="20"/>
                <w:szCs w:val="20"/>
                <w:color w:val="auto"/>
              </w:rPr>
            </w:pPr>
            <w:r>
              <w:rPr>
                <w:rFonts w:ascii="Arial" w:cs="Arial" w:eastAsia="Arial" w:hAnsi="Arial"/>
                <w:sz w:val="18"/>
                <w:szCs w:val="18"/>
                <w:color w:val="auto"/>
              </w:rPr>
              <w:t>November 10, 2014</w:t>
            </w:r>
          </w:p>
        </w:tc>
        <w:tc>
          <w:tcPr>
            <w:tcW w:w="2340" w:type="dxa"/>
            <w:vAlign w:val="bottom"/>
          </w:tcPr>
          <w:p>
            <w:pPr>
              <w:ind w:left="188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6"/>
              </w:rPr>
              <w:t>/S/ W.M. “RUSTY” RUSH</w:t>
            </w:r>
          </w:p>
        </w:tc>
        <w:tc>
          <w:tcPr>
            <w:tcW w:w="326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80" w:type="dxa"/>
            <w:vAlign w:val="bottom"/>
            <w:gridSpan w:val="3"/>
          </w:tcPr>
          <w:p>
            <w:pPr>
              <w:ind w:left="40"/>
              <w:spacing w:after="0"/>
              <w:rPr>
                <w:sz w:val="20"/>
                <w:szCs w:val="20"/>
                <w:color w:val="auto"/>
              </w:rPr>
            </w:pPr>
            <w:r>
              <w:rPr>
                <w:rFonts w:ascii="Arial" w:cs="Arial" w:eastAsia="Arial" w:hAnsi="Arial"/>
                <w:sz w:val="18"/>
                <w:szCs w:val="18"/>
                <w:color w:val="auto"/>
              </w:rPr>
              <w:t>W.M. “Rusty” Rush</w:t>
            </w:r>
          </w:p>
        </w:tc>
      </w:tr>
      <w:tr>
        <w:trPr>
          <w:trHeight w:val="216"/>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gridSpan w:val="3"/>
          </w:tcPr>
          <w:p>
            <w:pPr>
              <w:ind w:left="4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824"/>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100"/>
              <w:spacing w:after="0"/>
              <w:rPr>
                <w:sz w:val="20"/>
                <w:szCs w:val="20"/>
                <w:color w:val="auto"/>
              </w:rPr>
            </w:pPr>
            <w:r>
              <w:rPr>
                <w:rFonts w:ascii="Arial" w:cs="Arial" w:eastAsia="Arial" w:hAnsi="Arial"/>
                <w:sz w:val="18"/>
                <w:szCs w:val="18"/>
                <w:color w:val="auto"/>
              </w:rPr>
              <w:t>November 10, 2014</w:t>
            </w:r>
          </w:p>
        </w:tc>
        <w:tc>
          <w:tcPr>
            <w:tcW w:w="2340" w:type="dxa"/>
            <w:vAlign w:val="bottom"/>
          </w:tcPr>
          <w:p>
            <w:pPr>
              <w:ind w:left="1880"/>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6"/>
              </w:rPr>
              <w:t>/S/ STEVEN L. KELLER</w:t>
            </w:r>
          </w:p>
        </w:tc>
        <w:tc>
          <w:tcPr>
            <w:tcW w:w="3360" w:type="dxa"/>
            <w:vAlign w:val="bottom"/>
            <w:gridSpan w:val="2"/>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80" w:type="dxa"/>
            <w:vAlign w:val="bottom"/>
            <w:gridSpan w:val="3"/>
          </w:tcPr>
          <w:p>
            <w:pPr>
              <w:ind w:left="40"/>
              <w:spacing w:after="0"/>
              <w:rPr>
                <w:sz w:val="20"/>
                <w:szCs w:val="20"/>
                <w:color w:val="auto"/>
              </w:rPr>
            </w:pPr>
            <w:r>
              <w:rPr>
                <w:rFonts w:ascii="Arial" w:cs="Arial" w:eastAsia="Arial" w:hAnsi="Arial"/>
                <w:sz w:val="18"/>
                <w:szCs w:val="18"/>
                <w:color w:val="auto"/>
              </w:rPr>
              <w:t>Steven L. Keller</w:t>
            </w:r>
          </w:p>
        </w:tc>
      </w:tr>
      <w:tr>
        <w:trPr>
          <w:trHeight w:val="216"/>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gridSpan w:val="3"/>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5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4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05"/>
        </w:trPr>
        <w:tc>
          <w:tcPr>
            <w:tcW w:w="5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tcPr>
          <w:p>
            <w:pPr>
              <w:spacing w:after="0"/>
              <w:rPr>
                <w:sz w:val="9"/>
                <w:szCs w:val="9"/>
                <w:color w:val="auto"/>
              </w:rPr>
            </w:pPr>
          </w:p>
        </w:tc>
      </w:tr>
      <w:tr>
        <w:trPr>
          <w:trHeight w:val="61"/>
        </w:trPr>
        <w:tc>
          <w:tcPr>
            <w:tcW w:w="52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31" w:name="page32"/>
    <w:bookmarkEnd w:id="31"/>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tcPr>
          <w:p>
            <w:pPr>
              <w:ind w:left="3740"/>
              <w:spacing w:after="0"/>
              <w:rPr>
                <w:sz w:val="20"/>
                <w:szCs w:val="20"/>
                <w:color w:val="auto"/>
              </w:rPr>
            </w:pPr>
            <w:r>
              <w:rPr>
                <w:rFonts w:ascii="Arial" w:cs="Arial" w:eastAsia="Arial" w:hAnsi="Arial"/>
                <w:sz w:val="18"/>
                <w:szCs w:val="18"/>
                <w:b w:val="1"/>
                <w:bCs w:val="1"/>
                <w:color w:val="auto"/>
              </w:rPr>
              <w:t>EXHIBIT INDEX</w:t>
            </w:r>
          </w:p>
        </w:tc>
      </w:tr>
      <w:tr>
        <w:trPr>
          <w:trHeight w:val="738"/>
        </w:trPr>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Exhibit</w:t>
            </w:r>
          </w:p>
        </w:tc>
        <w:tc>
          <w:tcPr>
            <w:tcW w:w="10320" w:type="dxa"/>
            <w:vAlign w:val="bottom"/>
          </w:tcPr>
          <w:p>
            <w:pPr>
              <w:spacing w:after="0"/>
              <w:rPr>
                <w:sz w:val="24"/>
                <w:szCs w:val="24"/>
                <w:color w:val="auto"/>
              </w:rPr>
            </w:pPr>
          </w:p>
        </w:tc>
      </w:tr>
      <w:tr>
        <w:trPr>
          <w:trHeight w:val="234"/>
        </w:trPr>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6"/>
                <w:szCs w:val="16"/>
                <w:color w:val="auto"/>
              </w:rPr>
            </w:pPr>
          </w:p>
        </w:tc>
        <w:tc>
          <w:tcPr>
            <w:tcW w:w="103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5"/>
              </w:rPr>
              <w:t>Restated Articles of Incorporation of Rush Enterprises, Inc. (incorporated herein by reference to Exhibit 3.1 of the Company’s Quarterly</w:t>
            </w: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Report on Form 10-Q (File No. 000-20797) for the quarter ended June 30, 2008).</w:t>
            </w: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3.1 of the Company’s Current Report on</w:t>
            </w: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Form 8-K (File No. 000-20797) filed May 21,2013).</w:t>
            </w: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7"/>
              </w:rPr>
              <w:t>Certification of CEO pursuant to Rules 13a-14(a) and 15d-14(a) adopted pursuant to Section 302 of the Sarbanes-Oxley Act of 2002.</w:t>
            </w: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7"/>
              </w:rPr>
              <w:t>Certification of CFO pursuant to Rules 13a-14(a) and 15d-14(a) adopted pursuant to Section 302 of the Sarbanes-Oxley Act of 2002.</w:t>
            </w: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16"/>
        </w:trPr>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101.SCH*</w:t>
            </w:r>
          </w:p>
        </w:tc>
        <w:tc>
          <w:tcPr>
            <w:tcW w:w="103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101.CAL*</w:t>
            </w:r>
          </w:p>
        </w:tc>
        <w:tc>
          <w:tcPr>
            <w:tcW w:w="103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101.DEF*</w:t>
            </w:r>
          </w:p>
        </w:tc>
        <w:tc>
          <w:tcPr>
            <w:tcW w:w="103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101.LAB*</w:t>
            </w:r>
          </w:p>
        </w:tc>
        <w:tc>
          <w:tcPr>
            <w:tcW w:w="103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101.PRE*</w:t>
            </w:r>
          </w:p>
        </w:tc>
        <w:tc>
          <w:tcPr>
            <w:tcW w:w="103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460" w:hanging="652"/>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00"/>
          </w:cols>
          <w:pgMar w:left="240" w:top="580"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Date:   November 10, 2014</w:t>
            </w:r>
          </w:p>
        </w:tc>
        <w:tc>
          <w:tcPr>
            <w:tcW w:w="5700" w:type="dxa"/>
            <w:vAlign w:val="bottom"/>
            <w:gridSpan w:val="3"/>
          </w:tcPr>
          <w:p>
            <w:pPr>
              <w:ind w:left="1740"/>
              <w:spacing w:after="0"/>
              <w:rPr>
                <w:sz w:val="20"/>
                <w:szCs w:val="20"/>
                <w:color w:val="auto"/>
              </w:rPr>
            </w:pPr>
            <w:r>
              <w:rPr>
                <w:rFonts w:ascii="Arial" w:cs="Arial" w:eastAsia="Arial" w:hAnsi="Arial"/>
                <w:sz w:val="18"/>
                <w:szCs w:val="18"/>
                <w:color w:val="auto"/>
              </w:rPr>
              <w:t>By:   /S/ W.M. “RUSTY” RUSH</w:t>
            </w:r>
          </w:p>
        </w:tc>
      </w:tr>
      <w:tr>
        <w:trPr>
          <w:trHeight w:val="222"/>
        </w:trPr>
        <w:tc>
          <w:tcPr>
            <w:tcW w:w="3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1520" w:type="dxa"/>
            <w:vAlign w:val="bottom"/>
          </w:tcPr>
          <w:p>
            <w:pPr>
              <w:spacing w:after="0"/>
              <w:rPr>
                <w:sz w:val="19"/>
                <w:szCs w:val="19"/>
                <w:color w:val="auto"/>
              </w:rPr>
            </w:pPr>
          </w:p>
        </w:tc>
      </w:tr>
      <w:tr>
        <w:trPr>
          <w:trHeight w:val="216"/>
        </w:trPr>
        <w:tc>
          <w:tcPr>
            <w:tcW w:w="3800" w:type="dxa"/>
            <w:vAlign w:val="bottom"/>
          </w:tcPr>
          <w:p>
            <w:pPr>
              <w:spacing w:after="0"/>
              <w:rPr>
                <w:sz w:val="18"/>
                <w:szCs w:val="18"/>
                <w:color w:val="auto"/>
              </w:rPr>
            </w:pPr>
          </w:p>
        </w:tc>
        <w:tc>
          <w:tcPr>
            <w:tcW w:w="5700" w:type="dxa"/>
            <w:vAlign w:val="bottom"/>
            <w:gridSpan w:val="3"/>
          </w:tcPr>
          <w:p>
            <w:pPr>
              <w:ind w:left="2160"/>
              <w:spacing w:after="0"/>
              <w:rPr>
                <w:sz w:val="20"/>
                <w:szCs w:val="20"/>
                <w:color w:val="auto"/>
              </w:rPr>
            </w:pPr>
            <w:r>
              <w:rPr>
                <w:rFonts w:ascii="Arial" w:cs="Arial" w:eastAsia="Arial" w:hAnsi="Arial"/>
                <w:sz w:val="18"/>
                <w:szCs w:val="18"/>
                <w:color w:val="auto"/>
                <w:w w:val="90"/>
              </w:rPr>
              <w:t>Chairman, President and Chief Executive Officer</w:t>
            </w:r>
          </w:p>
        </w:tc>
      </w:tr>
      <w:tr>
        <w:trPr>
          <w:trHeight w:val="230"/>
        </w:trPr>
        <w:tc>
          <w:tcPr>
            <w:tcW w:w="3800" w:type="dxa"/>
            <w:vAlign w:val="bottom"/>
          </w:tcPr>
          <w:p>
            <w:pPr>
              <w:spacing w:after="0"/>
              <w:rPr>
                <w:sz w:val="20"/>
                <w:szCs w:val="20"/>
                <w:color w:val="auto"/>
              </w:rPr>
            </w:pPr>
          </w:p>
        </w:tc>
        <w:tc>
          <w:tcPr>
            <w:tcW w:w="5700" w:type="dxa"/>
            <w:vAlign w:val="bottom"/>
            <w:gridSpan w:val="3"/>
          </w:tcPr>
          <w:p>
            <w:pPr>
              <w:ind w:left="216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240" w:top="125" w:right="6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Date:   November 10, 2014</w:t>
            </w:r>
          </w:p>
        </w:tc>
        <w:tc>
          <w:tcPr>
            <w:tcW w:w="5740" w:type="dxa"/>
            <w:vAlign w:val="bottom"/>
            <w:gridSpan w:val="3"/>
          </w:tcPr>
          <w:p>
            <w:pPr>
              <w:ind w:left="1740"/>
              <w:spacing w:after="0"/>
              <w:rPr>
                <w:sz w:val="20"/>
                <w:szCs w:val="20"/>
                <w:color w:val="auto"/>
              </w:rPr>
            </w:pPr>
            <w:r>
              <w:rPr>
                <w:rFonts w:ascii="Arial" w:cs="Arial" w:eastAsia="Arial" w:hAnsi="Arial"/>
                <w:sz w:val="18"/>
                <w:szCs w:val="18"/>
                <w:color w:val="auto"/>
              </w:rPr>
              <w:t>By:   /S/ STEVEN L. KELLER</w:t>
            </w:r>
          </w:p>
        </w:tc>
      </w:tr>
      <w:tr>
        <w:trPr>
          <w:trHeight w:val="222"/>
        </w:trPr>
        <w:tc>
          <w:tcPr>
            <w:tcW w:w="3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660" w:type="dxa"/>
            <w:vAlign w:val="bottom"/>
          </w:tcPr>
          <w:p>
            <w:pPr>
              <w:spacing w:after="0"/>
              <w:rPr>
                <w:sz w:val="19"/>
                <w:szCs w:val="19"/>
                <w:color w:val="auto"/>
              </w:rPr>
            </w:pPr>
          </w:p>
        </w:tc>
      </w:tr>
      <w:tr>
        <w:trPr>
          <w:trHeight w:val="216"/>
        </w:trPr>
        <w:tc>
          <w:tcPr>
            <w:tcW w:w="3800" w:type="dxa"/>
            <w:vAlign w:val="bottom"/>
          </w:tcPr>
          <w:p>
            <w:pPr>
              <w:spacing w:after="0"/>
              <w:rPr>
                <w:sz w:val="18"/>
                <w:szCs w:val="18"/>
                <w:color w:val="auto"/>
              </w:rPr>
            </w:pPr>
          </w:p>
        </w:tc>
        <w:tc>
          <w:tcPr>
            <w:tcW w:w="5740" w:type="dxa"/>
            <w:vAlign w:val="bottom"/>
            <w:gridSpan w:val="3"/>
          </w:tcPr>
          <w:p>
            <w:pPr>
              <w:ind w:left="2160"/>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3800" w:type="dxa"/>
            <w:vAlign w:val="bottom"/>
          </w:tcPr>
          <w:p>
            <w:pPr>
              <w:spacing w:after="0"/>
              <w:rPr>
                <w:sz w:val="20"/>
                <w:szCs w:val="20"/>
                <w:color w:val="auto"/>
              </w:rPr>
            </w:pPr>
          </w:p>
        </w:tc>
        <w:tc>
          <w:tcPr>
            <w:tcW w:w="5740" w:type="dxa"/>
            <w:vAlign w:val="bottom"/>
            <w:gridSpan w:val="3"/>
          </w:tcPr>
          <w:p>
            <w:pPr>
              <w:ind w:left="216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240" w:top="125" w:right="6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2014,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W.M. “Rusty” Rush, Chairman,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W.M. “RUSTY” RUSH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Name:W.M. “Rusty” Rush</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November 10, 2014</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240" w:top="125" w:right="6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2014,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Name:Steven L. Keller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Senior Vice President and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November 10, 2014</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endash "/>
      <w:numFmt w:val="bullet"/>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2019-12-06T14:30:39Z</dcterms:created>
  <dcterms:modified xsi:type="dcterms:W3CDTF">2019-12-06T14:30:39Z</dcterms:modified>
</cp:coreProperties>
</file>