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REPORT PURSUANT TO SECTION 13 OR 15(d)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2014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w:t>
      </w:r>
      <w:r>
        <w:rPr>
          <w:rFonts w:ascii="Times New Roman" w:cs="Times New Roman" w:eastAsia="Times New Roman" w:hAnsi="Times New Roman"/>
          <w:sz w:val="18"/>
          <w:szCs w:val="18"/>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74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74-1733016</w:t>
            </w:r>
          </w:p>
        </w:tc>
      </w:tr>
      <w:tr>
        <w:trPr>
          <w:trHeight w:val="234"/>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542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555 IH 35 South, New Braunfels, TX</w:t>
            </w:r>
          </w:p>
        </w:tc>
        <w:tc>
          <w:tcPr>
            <w:tcW w:w="374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78130</w:t>
            </w:r>
          </w:p>
        </w:tc>
      </w:tr>
      <w:tr>
        <w:trPr>
          <w:trHeight w:val="234"/>
        </w:trPr>
        <w:tc>
          <w:tcPr>
            <w:tcW w:w="5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4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(830) 626-5200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20"/>
          </w:cols>
          <w:pgMar w:left="240" w:top="220" w:right="239" w:bottom="1440" w:gutter="0" w:footer="0" w:header="0"/>
        </w:sectPr>
      </w:pPr>
    </w:p>
    <w:p>
      <w:pPr>
        <w:spacing w:after="0" w:line="275"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Class A and Class B Common Stock, $.01 par value</w:t>
      </w:r>
    </w:p>
    <w:p>
      <w:pPr>
        <w:spacing w:after="0" w:line="4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p>
      <w:pPr>
        <w:spacing w:after="0" w:line="3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211" w:lineRule="exact"/>
        <w:rPr>
          <w:sz w:val="24"/>
          <w:szCs w:val="24"/>
          <w:color w:val="auto"/>
        </w:rPr>
      </w:pPr>
    </w:p>
    <w:p>
      <w:pPr>
        <w:sectPr>
          <w:pgSz w:w="11900" w:h="16838" w:orient="portrait"/>
          <w:cols w:equalWidth="0" w:num="2">
            <w:col w:w="6280" w:space="720"/>
            <w:col w:w="4420"/>
          </w:cols>
          <w:pgMar w:left="240" w:top="220" w:right="239" w:bottom="1440" w:gutter="0" w:footer="0" w:header="0"/>
          <w:type w:val="continuous"/>
        </w:sectPr>
      </w:pP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39" w:lineRule="exact"/>
        <w:rPr>
          <w:sz w:val="24"/>
          <w:szCs w:val="24"/>
          <w:color w:val="auto"/>
        </w:rPr>
      </w:pPr>
    </w:p>
    <w:p>
      <w:pPr>
        <w:ind w:left="5600"/>
        <w:spacing w:after="0" w:line="207" w:lineRule="exact"/>
        <w:tabs>
          <w:tab w:leader="none" w:pos="65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420"/>
          </w:cols>
          <w:pgMar w:left="240" w:top="220" w:right="239" w:bottom="1440" w:gutter="0" w:footer="0" w:header="0"/>
          <w:type w:val="continuous"/>
        </w:sectPr>
      </w:pPr>
    </w:p>
    <w:p>
      <w:pPr>
        <w:spacing w:after="0" w:line="207" w:lineRule="exact"/>
        <w:rPr>
          <w:sz w:val="24"/>
          <w:szCs w:val="24"/>
          <w:color w:val="auto"/>
        </w:rPr>
      </w:pPr>
    </w:p>
    <w:p>
      <w:pPr>
        <w:ind w:left="5600" w:right="1720" w:hanging="5263"/>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5600"/>
        <w:spacing w:after="0" w:line="207" w:lineRule="exact"/>
        <w:tabs>
          <w:tab w:leader="none" w:pos="65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ind w:left="5600"/>
        <w:spacing w:after="0" w:line="207" w:lineRule="exact"/>
        <w:tabs>
          <w:tab w:leader="none" w:pos="65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3300" w:right="180" w:hanging="5041"/>
        <w:spacing w:after="0" w:line="219" w:lineRule="exact"/>
        <w:tabs>
          <w:tab w:leader="none" w:pos="32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5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5600"/>
        <w:spacing w:after="0" w:line="207" w:lineRule="exact"/>
        <w:tabs>
          <w:tab w:leader="none" w:pos="65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504190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The aggregate market value of common stock held by non-affiliates of the registrant as of June 30, 2014 was approximately $1,232,949,299 based upon the last sales price on June 30, 2014 on The NASDAQ Global Select Market</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of $34.67 for the registrant’s Class A Common Stock and $31.45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registrant had 29,960,414 shares Class A Common Stock and 9,943,045 shares of Class B Common Stock outstanding on February 25, 2015.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Portions of registrant’s definitive proxy statement for the registrant’s 2015 Annual Meeting of Shareholders, to be filed with the Securities and Exchange Commission not later than April 30, 2015,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40" w:type="dxa"/>
            <w:vAlign w:val="bottom"/>
            <w:gridSpan w:val="15"/>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RUSH ENTERPRISES, INC.</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5"/>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rPr>
              <w:t>Index to Form 10-K</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40" w:type="dxa"/>
            <w:vAlign w:val="bottom"/>
            <w:gridSpan w:val="15"/>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2014</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1"/>
          </w:tcPr>
          <w:p>
            <w:pPr>
              <w:jc w:val="center"/>
              <w:ind w:right="4560"/>
              <w:spacing w:after="0"/>
              <w:rPr>
                <w:rFonts w:ascii="Times New Roman" w:cs="Times New Roman" w:eastAsia="Times New Roman" w:hAnsi="Times New Roman"/>
                <w:sz w:val="18"/>
                <w:szCs w:val="18"/>
                <w:b w:val="1"/>
                <w:bCs w:val="1"/>
                <w:color w:val="0000EE"/>
                <w:w w:val="96"/>
              </w:rPr>
            </w:pPr>
            <w:hyperlink w:anchor="page4">
              <w:r>
                <w:rPr>
                  <w:rFonts w:ascii="Times New Roman" w:cs="Times New Roman" w:eastAsia="Times New Roman" w:hAnsi="Times New Roman"/>
                  <w:sz w:val="18"/>
                  <w:szCs w:val="18"/>
                  <w:b w:val="1"/>
                  <w:bCs w:val="1"/>
                  <w:color w:val="0000EE"/>
                  <w:w w:val="96"/>
                </w:rPr>
                <w:t>Part I</w:t>
              </w:r>
            </w:hyperlink>
          </w:p>
        </w:tc>
        <w:tc>
          <w:tcPr>
            <w:tcW w:w="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3700" w:type="dxa"/>
            <w:vAlign w:val="bottom"/>
            <w:gridSpan w:val="16"/>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580" w:type="dxa"/>
            <w:vAlign w:val="bottom"/>
            <w:gridSpan w:val="9"/>
          </w:tcPr>
          <w:p>
            <w:pPr>
              <w:spacing w:after="0"/>
              <w:rPr>
                <w:sz w:val="17"/>
                <w:szCs w:val="17"/>
                <w:color w:val="auto"/>
              </w:rPr>
            </w:pPr>
          </w:p>
        </w:tc>
        <w:tc>
          <w:tcPr>
            <w:tcW w:w="680" w:type="dxa"/>
            <w:vAlign w:val="bottom"/>
            <w:tcBorders>
              <w:top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60" w:type="dxa"/>
            <w:vAlign w:val="bottom"/>
            <w:gridSpan w:val="27"/>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Risk Factors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15</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60" w:type="dxa"/>
            <w:vAlign w:val="bottom"/>
            <w:gridSpan w:val="27"/>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Unresolved Staff Comments</w:t>
              </w:r>
            </w:hyperlink>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Properties</w:t>
              </w:r>
            </w:hyperlink>
          </w:p>
        </w:tc>
        <w:tc>
          <w:tcPr>
            <w:tcW w:w="7320" w:type="dxa"/>
            <w:vAlign w:val="bottom"/>
            <w:gridSpan w:val="1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Legal Proceedings</w:t>
              </w:r>
            </w:hyperlink>
          </w:p>
        </w:tc>
        <w:tc>
          <w:tcPr>
            <w:tcW w:w="8020" w:type="dxa"/>
            <w:vAlign w:val="bottom"/>
            <w:gridSpan w:val="22"/>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60" w:type="dxa"/>
            <w:vAlign w:val="bottom"/>
            <w:gridSpan w:val="27"/>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Mine Safety Disclosures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1"/>
          </w:tcPr>
          <w:p>
            <w:pPr>
              <w:jc w:val="center"/>
              <w:ind w:right="4520"/>
              <w:spacing w:after="0"/>
              <w:rPr>
                <w:rFonts w:ascii="Times New Roman" w:cs="Times New Roman" w:eastAsia="Times New Roman" w:hAnsi="Times New Roman"/>
                <w:sz w:val="18"/>
                <w:szCs w:val="18"/>
                <w:b w:val="1"/>
                <w:bCs w:val="1"/>
                <w:color w:val="0000EE"/>
                <w:w w:val="98"/>
              </w:rPr>
            </w:pPr>
            <w:hyperlink w:anchor="page25">
              <w:r>
                <w:rPr>
                  <w:rFonts w:ascii="Times New Roman" w:cs="Times New Roman" w:eastAsia="Times New Roman" w:hAnsi="Times New Roman"/>
                  <w:sz w:val="18"/>
                  <w:szCs w:val="18"/>
                  <w:b w:val="1"/>
                  <w:bCs w:val="1"/>
                  <w:color w:val="0000EE"/>
                  <w:w w:val="98"/>
                </w:rPr>
                <w:t>Part II</w:t>
              </w:r>
            </w:hyperlink>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Market for Registrant’s Common Equity, Related Shareholder Matters and Issuer Purchases of Equity Securities</w:t>
              </w:r>
            </w:hyperlink>
          </w:p>
        </w:tc>
        <w:tc>
          <w:tcPr>
            <w:tcW w:w="12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60" w:type="dxa"/>
            <w:vAlign w:val="bottom"/>
            <w:gridSpan w:val="27"/>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Selected Financial Data</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24</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900" w:type="dxa"/>
            <w:vAlign w:val="bottom"/>
            <w:gridSpan w:val="4"/>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Quantitative and Qualitative Disclosures about Market Risk</w:t>
              </w:r>
            </w:hyperlink>
          </w:p>
        </w:tc>
        <w:tc>
          <w:tcPr>
            <w:tcW w:w="5040" w:type="dxa"/>
            <w:vAlign w:val="bottom"/>
            <w:gridSpan w:val="11"/>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39</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360" w:type="dxa"/>
            <w:vAlign w:val="bottom"/>
            <w:gridSpan w:val="27"/>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Financial Statements and Supplementary Data</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41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76</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880" w:type="dxa"/>
            <w:vAlign w:val="bottom"/>
            <w:gridSpan w:val="3"/>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360" w:type="dxa"/>
            <w:vAlign w:val="bottom"/>
            <w:gridSpan w:val="27"/>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Controls and Procedures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76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Other Information</w:t>
              </w:r>
            </w:hyperlink>
          </w:p>
        </w:tc>
        <w:tc>
          <w:tcPr>
            <w:tcW w:w="7600" w:type="dxa"/>
            <w:vAlign w:val="bottom"/>
            <w:gridSpan w:val="20"/>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77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bottom w:val="single" w:sz="8" w:color="0000EE"/>
            </w:tcBorders>
            <w:gridSpan w:val="7"/>
          </w:tcPr>
          <w:p>
            <w:pPr>
              <w:jc w:val="center"/>
              <w:ind w:right="20"/>
              <w:spacing w:after="0"/>
              <w:rPr>
                <w:rFonts w:ascii="Times New Roman" w:cs="Times New Roman" w:eastAsia="Times New Roman" w:hAnsi="Times New Roman"/>
                <w:sz w:val="18"/>
                <w:szCs w:val="18"/>
                <w:b w:val="1"/>
                <w:bCs w:val="1"/>
                <w:color w:val="0000EE"/>
              </w:rPr>
            </w:pPr>
            <w:hyperlink w:anchor="page82">
              <w:r>
                <w:rPr>
                  <w:rFonts w:ascii="Times New Roman" w:cs="Times New Roman" w:eastAsia="Times New Roman" w:hAnsi="Times New Roman"/>
                  <w:sz w:val="18"/>
                  <w:szCs w:val="18"/>
                  <w:b w:val="1"/>
                  <w:bCs w:val="1"/>
                  <w:color w:val="0000EE"/>
                </w:rPr>
                <w:t>Part III</w:t>
              </w:r>
            </w:hyperlink>
          </w:p>
        </w:tc>
        <w:tc>
          <w:tcPr>
            <w:tcW w:w="446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Directors, Executive Officers and Corporate Governance</w:t>
              </w:r>
            </w:hyperlink>
          </w:p>
        </w:tc>
        <w:tc>
          <w:tcPr>
            <w:tcW w:w="5260" w:type="dxa"/>
            <w:vAlign w:val="bottom"/>
            <w:gridSpan w:val="14"/>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Executive Compensation</w:t>
              </w:r>
            </w:hyperlink>
          </w:p>
        </w:tc>
        <w:tc>
          <w:tcPr>
            <w:tcW w:w="7520" w:type="dxa"/>
            <w:vAlign w:val="bottom"/>
            <w:gridSpan w:val="19"/>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78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360" w:type="dxa"/>
            <w:vAlign w:val="bottom"/>
            <w:gridSpan w:val="27"/>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Security Ownership of Certain Beneficial Owners and Management and Related Shareholder Matters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78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Certain Relationships and Related Transactions, and Director Independence</w:t>
              </w:r>
            </w:hyperlink>
          </w:p>
        </w:tc>
        <w:tc>
          <w:tcPr>
            <w:tcW w:w="2080" w:type="dxa"/>
            <w:vAlign w:val="bottom"/>
            <w:gridSpan w:val="2"/>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78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Principal Accountant Fees and Services</w:t>
              </w:r>
            </w:hyperlink>
          </w:p>
        </w:tc>
        <w:tc>
          <w:tcPr>
            <w:tcW w:w="3920" w:type="dxa"/>
            <w:vAlign w:val="bottom"/>
            <w:gridSpan w:val="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78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80" w:type="dxa"/>
            <w:vAlign w:val="bottom"/>
            <w:gridSpan w:val="13"/>
          </w:tcPr>
          <w:p>
            <w:pPr>
              <w:jc w:val="center"/>
              <w:ind w:right="4460"/>
              <w:spacing w:after="0"/>
              <w:rPr>
                <w:rFonts w:ascii="Times New Roman" w:cs="Times New Roman" w:eastAsia="Times New Roman" w:hAnsi="Times New Roman"/>
                <w:sz w:val="18"/>
                <w:szCs w:val="18"/>
                <w:b w:val="1"/>
                <w:bCs w:val="1"/>
                <w:color w:val="0000EE"/>
                <w:w w:val="99"/>
              </w:rPr>
            </w:pPr>
            <w:hyperlink w:anchor="page83">
              <w:r>
                <w:rPr>
                  <w:rFonts w:ascii="Times New Roman" w:cs="Times New Roman" w:eastAsia="Times New Roman" w:hAnsi="Times New Roman"/>
                  <w:sz w:val="18"/>
                  <w:szCs w:val="18"/>
                  <w:b w:val="1"/>
                  <w:bCs w:val="1"/>
                  <w:color w:val="0000EE"/>
                  <w:w w:val="99"/>
                </w:rPr>
                <w:t>Part IV</w:t>
              </w:r>
            </w:hyperlink>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4300" w:type="dxa"/>
            <w:vAlign w:val="bottom"/>
            <w:gridSpan w:val="15"/>
          </w:tcPr>
          <w:p>
            <w:pPr>
              <w:spacing w:after="0"/>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Exhibits, Financial Statement Schedules</w:t>
              </w:r>
            </w:hyperlink>
          </w:p>
        </w:tc>
        <w:tc>
          <w:tcPr>
            <w:tcW w:w="580" w:type="dxa"/>
            <w:vAlign w:val="bottom"/>
            <w:tcBorders>
              <w:top w:val="single" w:sz="8" w:color="0000EE"/>
            </w:tcBorders>
            <w:gridSpan w:val="5"/>
          </w:tcPr>
          <w:p>
            <w:pPr>
              <w:spacing w:after="0"/>
              <w:rPr>
                <w:sz w:val="24"/>
                <w:szCs w:val="24"/>
                <w:color w:val="auto"/>
              </w:rPr>
            </w:pPr>
          </w:p>
        </w:tc>
        <w:tc>
          <w:tcPr>
            <w:tcW w:w="448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5"/>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3" w:name="page4"/>
    <w:bookmarkEnd w:id="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7" w:lineRule="exact"/>
        <w:rPr>
          <w:sz w:val="20"/>
          <w:szCs w:val="20"/>
          <w:color w:val="auto"/>
        </w:rPr>
      </w:pPr>
    </w:p>
    <w:p>
      <w:pPr>
        <w:jc w:val="both"/>
        <w:ind w:right="80"/>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10-K (or otherwise made by the Company or on the Company’s behalf from time to time in other reports, filings with the Securities and Exchange Commission (“SEC”), news releases, conferences, website postings or otherwise) that are not statements of historical fact constitute “forward-looking statements” within the meaning of the Private Securities Litigation Reform Act of 1995, Section 27A of the Securities Act of 1933, as amended (the “Securities Act”),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“Risk Factors” for a discussion of certain of those risks. Other unknown or unpredictable factors could also have a material adverse effect on future results. Although the Company believes that its expectations are reasonable as of the date of this Form 10-K, it can give no assurance that such expectations will prove to be correct. We do not intend to update or revise any forward-looking statements unless securities laws require us to do so, and we undertake no obligation to publicly release any revisions to forward-looking statements, whether because of new information, future events or otherwise.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COMPANY’S FILINGS</w:t>
      </w:r>
    </w:p>
    <w:p>
      <w:pPr>
        <w:spacing w:after="0" w:line="204" w:lineRule="exact"/>
        <w:rPr>
          <w:sz w:val="20"/>
          <w:szCs w:val="20"/>
          <w:color w:val="auto"/>
        </w:rPr>
      </w:pPr>
    </w:p>
    <w:p>
      <w:pPr>
        <w:jc w:val="both"/>
        <w:spacing w:after="0" w:line="183" w:lineRule="auto"/>
        <w:rPr>
          <w:sz w:val="20"/>
          <w:szCs w:val="20"/>
          <w:color w:val="auto"/>
        </w:rPr>
      </w:pPr>
      <w:r>
        <w:rPr>
          <w:rFonts w:ascii="Times New Roman" w:cs="Times New Roman" w:eastAsia="Times New Roman" w:hAnsi="Times New Roman"/>
          <w:sz w:val="17"/>
          <w:szCs w:val="17"/>
          <w:i w:val="1"/>
          <w:iCs w:val="1"/>
          <w:color w:val="auto"/>
        </w:rPr>
        <w:t>Peterbilt</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Peterbilt Motors Company. PACCAR</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PACCAR, Inc. PacLease</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PACCAR Leasing Corporation. Navistar</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Navistar International Corporation. International</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Navistar International Transportation Corp. Idealease is a registered trademark of Idealease, Inc. aka Idealease of North America, Inc. Blue Bird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Blue Bird Investment Corporation. IC Bus</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IC Bus, LLC. Fuso</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Mitsubishi Fuso Truck and Bus Corporation. Hino</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Hino Motors, Ltd. Isuzu</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Isuzu Motors Limited. Ford Motor Credit Company</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Ford Motor Company. Ford</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Ford Motor Company. SAP</w:t>
      </w:r>
      <w:r>
        <w:rPr>
          <w:rFonts w:ascii="Times New Roman" w:cs="Times New Roman" w:eastAsia="Times New Roman" w:hAnsi="Times New Roman"/>
          <w:sz w:val="28"/>
          <w:szCs w:val="28"/>
          <w:i w:val="1"/>
          <w:iCs w:val="1"/>
          <w:color w:val="auto"/>
          <w:vertAlign w:val="superscript"/>
        </w:rPr>
        <w:t>®</w:t>
      </w:r>
      <w:r>
        <w:rPr>
          <w:rFonts w:ascii="Times New Roman" w:cs="Times New Roman" w:eastAsia="Times New Roman" w:hAnsi="Times New Roman"/>
          <w:sz w:val="17"/>
          <w:szCs w:val="17"/>
          <w:i w:val="1"/>
          <w:iCs w:val="1"/>
          <w:color w:val="auto"/>
        </w:rPr>
        <w:t xml:space="preserve"> is a registered trademark of SAP Aktiengesellschaft. This report contains additional trade names or trademarks of other companies. Our use of such trade names or trademarks should not imply any endorsement or relationship with such companies.</w:t>
      </w:r>
    </w:p>
    <w:p>
      <w:pPr>
        <w:spacing w:after="0" w:line="1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References herein to “the Company,” “Rush Enterprises,” “Rush,” “we,” “our” or “us” mean Rush Enterprises, Inc., a Texas corporation, and its subsidiaries unless the context requires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Company Information</w:t>
      </w:r>
    </w:p>
    <w:p>
      <w:pPr>
        <w:spacing w:after="0" w:line="22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Rush electronically files annual reports, quarterly reports, proxy statements and other reports and information statements with the SEC. You may read and copy any of the materials that we have filed with the SEC at the SEC’s Public Reference Room at 100 F Street NE, Washington, DC 20549. You may obtain information about the Public Reference Room by calling the SEC at 1-800-SEC-0330. Our filings are also available to you on the SEC’s website at www.sec.gov.</w:t>
      </w:r>
    </w:p>
    <w:p>
      <w:pPr>
        <w:spacing w:after="0" w:line="18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Rush makes certain of our SEC filings available, free of charge, through our website, including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incorporated into this report or otherwise made part of this report.</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2" w:right="539" w:bottom="1440" w:gutter="0" w:footer="0" w:header="0"/>
        </w:sectPr>
      </w:pPr>
    </w:p>
    <w:bookmarkStart w:id="4" w:name="page5"/>
    <w:bookmarkEnd w:id="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40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Its principal offices are located at 555 IH 35 South, Suite 500, New Braunfels, Texas 78130.</w:t>
      </w:r>
    </w:p>
    <w:p>
      <w:pPr>
        <w:spacing w:after="0" w:line="162" w:lineRule="exact"/>
        <w:rPr>
          <w:sz w:val="20"/>
          <w:szCs w:val="20"/>
          <w:color w:val="auto"/>
        </w:rPr>
      </w:pPr>
    </w:p>
    <w:p>
      <w:pPr>
        <w:jc w:val="both"/>
        <w:ind w:right="400"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the Company’s operation of a regional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4" w:lineRule="exact"/>
        <w:rPr>
          <w:sz w:val="20"/>
          <w:szCs w:val="20"/>
          <w:color w:val="auto"/>
        </w:rPr>
      </w:pPr>
    </w:p>
    <w:p>
      <w:pPr>
        <w:jc w:val="both"/>
        <w:ind w:right="400" w:firstLine="405"/>
        <w:spacing w:after="0" w:line="282"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Since commencing operations as a Peterbilt heavy-duty truck dealer in 1966, we have grown to operate 112 Rush Truck Centers in 20 states.</w:t>
      </w:r>
    </w:p>
    <w:p>
      <w:pPr>
        <w:spacing w:after="0" w:line="162" w:lineRule="exact"/>
        <w:rPr>
          <w:sz w:val="20"/>
          <w:szCs w:val="20"/>
          <w:color w:val="auto"/>
        </w:rPr>
      </w:pPr>
    </w:p>
    <w:p>
      <w:pPr>
        <w:jc w:val="both"/>
        <w:ind w:right="400" w:firstLine="648"/>
        <w:spacing w:after="0" w:line="258"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throughout the United States. We offer an integrated approach to meeting customer needs by providing service, parts and collision repair in addition to new and used commercial vehicle sales and leasing, plus financial services.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82" w:lineRule="exact"/>
        <w:rPr>
          <w:sz w:val="20"/>
          <w:szCs w:val="20"/>
          <w:color w:val="auto"/>
        </w:rPr>
      </w:pPr>
    </w:p>
    <w:p>
      <w:pPr>
        <w:jc w:val="both"/>
        <w:ind w:right="4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Rush Truck Centers. </w:t>
      </w:r>
      <w:r>
        <w:rPr>
          <w:rFonts w:ascii="Times New Roman" w:cs="Times New Roman" w:eastAsia="Times New Roman" w:hAnsi="Times New Roman"/>
          <w:sz w:val="18"/>
          <w:szCs w:val="18"/>
          <w:color w:val="auto"/>
        </w:rPr>
        <w:t>Our Rush Truck Centers are located in Alabama, Arizona, California, Colorado, Florida, Georgia, Idaho, Illinois, Indiana,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Kansas, Missouri, New Mexico, North Carolina, Ohio, Oklahoma, Oregon, Tennessee, Texas, Utah and Virginia. The following chart reflects our franchises and parts, service and body shop operations by location as of March 2, 2015: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Heavy-Duty</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Medium-Duty, Light-Duty and</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1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Franchise(s)</w:t>
            </w:r>
          </w:p>
        </w:tc>
        <w:tc>
          <w:tcPr>
            <w:tcW w:w="33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Bus Franchise(s)</w:t>
            </w:r>
          </w:p>
        </w:tc>
        <w:tc>
          <w:tcPr>
            <w:tcW w:w="10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Body Shop</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Alabama:</w:t>
            </w:r>
          </w:p>
        </w:tc>
        <w:tc>
          <w:tcPr>
            <w:tcW w:w="184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Arizona:</w:t>
            </w:r>
          </w:p>
        </w:tc>
        <w:tc>
          <w:tcPr>
            <w:tcW w:w="18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Flagstaff</w:t>
            </w:r>
          </w:p>
        </w:tc>
        <w:tc>
          <w:tcPr>
            <w:tcW w:w="18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None</w:t>
            </w:r>
          </w:p>
        </w:tc>
        <w:tc>
          <w:tcPr>
            <w:tcW w:w="3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None</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Phoenix</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Tucson</w:t>
            </w:r>
          </w:p>
        </w:tc>
        <w:tc>
          <w:tcPr>
            <w:tcW w:w="18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Yuma</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California:</w:t>
            </w:r>
          </w:p>
        </w:tc>
        <w:tc>
          <w:tcPr>
            <w:tcW w:w="18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Fontana Heavy-Duty</w:t>
            </w:r>
          </w:p>
        </w:tc>
        <w:tc>
          <w:tcPr>
            <w:tcW w:w="18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Fontana Medium-Duty</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None</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Peterbilt, Hino, Isuzu</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Pico Rivera</w:t>
            </w:r>
          </w:p>
        </w:tc>
        <w:tc>
          <w:tcPr>
            <w:tcW w:w="18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San Diego</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Sylmar</w:t>
            </w:r>
          </w:p>
        </w:tc>
        <w:tc>
          <w:tcPr>
            <w:tcW w:w="18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Whittier</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None</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Ford, Isuzu</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Colorado:</w:t>
            </w:r>
          </w:p>
        </w:tc>
        <w:tc>
          <w:tcPr>
            <w:tcW w:w="18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Denver Heavy-Duty</w:t>
            </w:r>
          </w:p>
        </w:tc>
        <w:tc>
          <w:tcPr>
            <w:tcW w:w="18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Denver Medium-Duty</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None</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Ford, Isuzu</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Greeley</w:t>
            </w:r>
          </w:p>
        </w:tc>
        <w:tc>
          <w:tcPr>
            <w:tcW w:w="18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Pueblo</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Florida:</w:t>
            </w:r>
          </w:p>
        </w:tc>
        <w:tc>
          <w:tcPr>
            <w:tcW w:w="18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Haines City</w:t>
            </w:r>
          </w:p>
        </w:tc>
        <w:tc>
          <w:tcPr>
            <w:tcW w:w="18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Jacksonville</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Peterbilt, Hino</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Lake City</w:t>
            </w:r>
          </w:p>
        </w:tc>
        <w:tc>
          <w:tcPr>
            <w:tcW w:w="18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10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Orlando Heavy-Duty</w:t>
            </w:r>
          </w:p>
        </w:tc>
        <w:tc>
          <w:tcPr>
            <w:tcW w:w="18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Peterbilt</w:t>
            </w:r>
          </w:p>
        </w:tc>
        <w:tc>
          <w:tcPr>
            <w:tcW w:w="33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 Isuzu</w:t>
            </w:r>
          </w:p>
        </w:tc>
        <w:tc>
          <w:tcPr>
            <w:tcW w:w="10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1"/>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30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2</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4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33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1440" w:gutter="0" w:footer="0" w:header="0"/>
        </w:sectPr>
      </w:pPr>
    </w:p>
    <w:bookmarkStart w:id="5" w:name="page6"/>
    <w:bookmarkEnd w:id="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Heavy-Duty</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Medium-Duty, Light-Duty and</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8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Franchise(s)</w:t>
            </w:r>
          </w:p>
        </w:tc>
        <w:tc>
          <w:tcPr>
            <w:tcW w:w="37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Bus Franchise(s)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Body Shop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gridSpan w:val="9"/>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Orlando Light &amp; Medium-Duty</w:t>
            </w:r>
          </w:p>
        </w:tc>
        <w:tc>
          <w:tcPr>
            <w:tcW w:w="16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None</w:t>
            </w:r>
          </w:p>
        </w:tc>
        <w:tc>
          <w:tcPr>
            <w:tcW w:w="3780" w:type="dxa"/>
            <w:vAlign w:val="bottom"/>
            <w:shd w:val="clear" w:color="auto" w:fill="CCEEFF"/>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Ford</w:t>
            </w:r>
          </w:p>
        </w:tc>
        <w:tc>
          <w:tcPr>
            <w:tcW w:w="8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Orlando South</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Isuzu</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Orlando Used Trucks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None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Tampa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Georgia:</w:t>
            </w:r>
          </w:p>
        </w:tc>
        <w:tc>
          <w:tcPr>
            <w:tcW w:w="16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Atlanta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International, Hino, Isuzu, IC Bus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Atlanta Bus Center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IC Bus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Columbus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Isuzu, IC Bus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Doraville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International, Hino, Isuzu, IC Bus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Gainesville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Smyrna</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International, Hino, Isuzu, IC Bus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Tifton</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IC Bus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Idaho:</w:t>
            </w:r>
          </w:p>
        </w:tc>
        <w:tc>
          <w:tcPr>
            <w:tcW w:w="160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Boise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International, Hino, IC Bus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Idaho Falls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Lewiston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Twin Falls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Illinois:</w:t>
            </w:r>
          </w:p>
        </w:tc>
        <w:tc>
          <w:tcPr>
            <w:tcW w:w="160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Bloomington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International, Hino</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Carol Stream</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Champaign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Chicago</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Decatur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Effingham</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Grayslake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Huntley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Joliet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Kankakee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Mount Vernon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Ottawa</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Quincy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Springfield</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7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Indiana:</w:t>
            </w:r>
          </w:p>
        </w:tc>
        <w:tc>
          <w:tcPr>
            <w:tcW w:w="16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Gary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80" w:type="dxa"/>
            <w:vAlign w:val="bottom"/>
            <w:gridSpan w:val="9"/>
            <w:shd w:val="clear" w:color="auto" w:fill="CCEEFF"/>
          </w:tcPr>
          <w:p>
            <w:pPr>
              <w:ind w:left="140"/>
              <w:spacing w:after="0" w:line="243" w:lineRule="exact"/>
              <w:rPr>
                <w:sz w:val="20"/>
                <w:szCs w:val="20"/>
                <w:color w:val="auto"/>
              </w:rPr>
            </w:pPr>
            <w:r>
              <w:rPr>
                <w:rFonts w:ascii="Times New Roman" w:cs="Times New Roman" w:eastAsia="Times New Roman" w:hAnsi="Times New Roman"/>
                <w:sz w:val="22"/>
                <w:szCs w:val="22"/>
                <w:color w:val="auto"/>
              </w:rPr>
              <w:t>Indianapolis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3"/>
              </w:rPr>
              <w:t>Kansas:</w:t>
            </w:r>
          </w:p>
        </w:tc>
        <w:tc>
          <w:tcPr>
            <w:tcW w:w="2200" w:type="dxa"/>
            <w:vAlign w:val="bottom"/>
            <w:tcBorders>
              <w:bottom w:val="single" w:sz="8" w:color="CCEEFF"/>
            </w:tcBorders>
            <w:gridSpan w:val="4"/>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Kansas City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Hino, Isuzu</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4"/>
              </w:rPr>
              <w:t>Missouri:</w:t>
            </w:r>
          </w:p>
        </w:tc>
        <w:tc>
          <w:tcPr>
            <w:tcW w:w="2080" w:type="dxa"/>
            <w:vAlign w:val="bottom"/>
            <w:tcBorders>
              <w:bottom w:val="single" w:sz="8" w:color="CCEEFF"/>
            </w:tcBorders>
            <w:gridSpan w:val="3"/>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St. Peters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 Louis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New Mexico:</w:t>
            </w:r>
          </w:p>
        </w:tc>
        <w:tc>
          <w:tcPr>
            <w:tcW w:w="160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Albuquerque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Las Cruces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6"/>
              </w:rPr>
              <w:t>North Carolina:</w:t>
            </w:r>
          </w:p>
        </w:tc>
        <w:tc>
          <w:tcPr>
            <w:tcW w:w="16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Asheville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Charlotte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Peterbilt, Hino, Isuzu</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Charlotte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Hickory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Statesville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Ohio:</w:t>
            </w:r>
          </w:p>
        </w:tc>
        <w:tc>
          <w:tcPr>
            <w:tcW w:w="16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9"/>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Akron</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gridSpan w:val="9"/>
          </w:tcPr>
          <w:p>
            <w:pPr>
              <w:ind w:left="140"/>
              <w:spacing w:after="0" w:line="198" w:lineRule="exact"/>
              <w:rPr>
                <w:sz w:val="20"/>
                <w:szCs w:val="20"/>
                <w:color w:val="auto"/>
              </w:rPr>
            </w:pPr>
            <w:r>
              <w:rPr>
                <w:rFonts w:ascii="Times New Roman" w:cs="Times New Roman" w:eastAsia="Times New Roman" w:hAnsi="Times New Roman"/>
                <w:sz w:val="18"/>
                <w:szCs w:val="18"/>
                <w:color w:val="auto"/>
              </w:rPr>
              <w:t>Cincinnati</w:t>
            </w: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rPr>
              <w:t>International, IC Bus, Isuzu, Ford, Mitsubishi</w:t>
            </w: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Fuso</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111" w:right="659" w:bottom="1049" w:gutter="0" w:footer="0" w:header="0"/>
        </w:sectPr>
      </w:pPr>
    </w:p>
    <w:p>
      <w:pPr>
        <w:spacing w:after="0" w:line="29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00"/>
          </w:cols>
          <w:pgMar w:left="240" w:top="111" w:right="659" w:bottom="1049" w:gutter="0" w:footer="0" w:header="0"/>
          <w:type w:val="continuous"/>
        </w:sectPr>
      </w:pPr>
    </w:p>
    <w:bookmarkStart w:id="6" w:name="page7"/>
    <w:bookmarkEnd w:id="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Heavy-Duty</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Medium-Duty, Light-Duty and</w:t>
            </w: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Franchise(s)</w:t>
            </w:r>
          </w:p>
        </w:tc>
        <w:tc>
          <w:tcPr>
            <w:tcW w:w="3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Bus Franchise(s)</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Body Shop</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5"/>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Cleveland</w:t>
            </w:r>
          </w:p>
        </w:tc>
        <w:tc>
          <w:tcPr>
            <w:tcW w:w="15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International</w:t>
            </w:r>
          </w:p>
        </w:tc>
        <w:tc>
          <w:tcPr>
            <w:tcW w:w="3820" w:type="dxa"/>
            <w:vAlign w:val="bottom"/>
            <w:shd w:val="clear" w:color="auto" w:fill="CCEEFF"/>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International, IC Bus</w:t>
            </w:r>
          </w:p>
        </w:tc>
        <w:tc>
          <w:tcPr>
            <w:tcW w:w="7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Columbus East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Columbus West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International, IC Bus, Isuzu</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Dayton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International, IC Bus, Isuzu</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Findlay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Lima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Springfield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None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Oklahoma:</w:t>
            </w:r>
          </w:p>
        </w:tc>
        <w:tc>
          <w:tcPr>
            <w:tcW w:w="158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Ardmore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Oklahoma City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 Hino, Ford, Isuzu</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Tulsa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Peterbilt, Hino</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Oregon:</w:t>
            </w:r>
          </w:p>
        </w:tc>
        <w:tc>
          <w:tcPr>
            <w:tcW w:w="15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Ontario</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Tennessee:</w:t>
            </w:r>
          </w:p>
        </w:tc>
        <w:tc>
          <w:tcPr>
            <w:tcW w:w="158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Nashville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7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Texas:</w:t>
            </w:r>
          </w:p>
        </w:tc>
        <w:tc>
          <w:tcPr>
            <w:tcW w:w="15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Abilene</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Alice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Amarillo</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5"/>
          </w:tcPr>
          <w:p>
            <w:pPr>
              <w:ind w:left="140"/>
              <w:spacing w:after="0" w:line="198" w:lineRule="exact"/>
              <w:rPr>
                <w:sz w:val="20"/>
                <w:szCs w:val="20"/>
                <w:color w:val="auto"/>
              </w:rPr>
            </w:pPr>
            <w:r>
              <w:rPr>
                <w:rFonts w:ascii="Times New Roman" w:cs="Times New Roman" w:eastAsia="Times New Roman" w:hAnsi="Times New Roman"/>
                <w:sz w:val="18"/>
                <w:szCs w:val="18"/>
                <w:color w:val="auto"/>
              </w:rPr>
              <w:t>Austin</w:t>
            </w:r>
          </w:p>
        </w:tc>
        <w:tc>
          <w:tcPr>
            <w:tcW w:w="1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Peterbilt, Hino, Isuzu, Blue Bird, Micro Bird,</w:t>
            </w:r>
          </w:p>
        </w:tc>
        <w:tc>
          <w:tcPr>
            <w:tcW w:w="7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Elkhart</w:t>
            </w: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Corpus Christi</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Peterbilt, Hino, Isuzu, Blue Bird, Elkhart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Cotulla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None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Dalhart</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Dallas Heavy-Duty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Dallas Medium-Duty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 Hino, Blue Bird, Micro Bird, Elkhart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Dallas Light &amp; Medium-Duty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Ford, Isuzu</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 Paso</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Peterbilt, Hino, Isuzu</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Fort Worth</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Houston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 Hino, Blue Bird, Micro Bird, Elkhart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Houston Bus Center</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 Hino, Blue Bird, Micro Bird, Elkhart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Laredo</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Lubbock</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Lufkin</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Odessa</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Pharr</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Peterbilt, Hino, Blue Bird, Micro Bird, Elkhart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San Antonio</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Peterbilt, Hino, Blue Bird, Micro Bird, Elkhart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San Antonio Bus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Blue Bird, Micro Bird, Elkhart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Sealy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Peterbilt, Isuzu, Blue Bird, Micro Bird, Elkhart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5"/>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Texarkana</w:t>
            </w:r>
          </w:p>
        </w:tc>
        <w:tc>
          <w:tcPr>
            <w:tcW w:w="15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Peterbilt</w:t>
            </w:r>
          </w:p>
        </w:tc>
        <w:tc>
          <w:tcPr>
            <w:tcW w:w="382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Peterbilt, Hino, Isuzu, Blue Bird, Micro Bird,</w:t>
            </w:r>
          </w:p>
        </w:tc>
        <w:tc>
          <w:tcPr>
            <w:tcW w:w="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38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Elkhart</w:t>
            </w:r>
          </w:p>
        </w:tc>
        <w:tc>
          <w:tcPr>
            <w:tcW w:w="7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20" w:type="dxa"/>
            <w:vAlign w:val="bottom"/>
            <w:shd w:val="clear" w:color="auto" w:fill="808080"/>
          </w:tcPr>
          <w:p>
            <w:pPr>
              <w:spacing w:after="0"/>
              <w:rPr>
                <w:sz w:val="5"/>
                <w:szCs w:val="5"/>
                <w:color w:val="auto"/>
              </w:rPr>
            </w:pPr>
          </w:p>
        </w:tc>
        <w:tc>
          <w:tcPr>
            <w:tcW w:w="158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7" w:name="page8"/>
    <w:bookmarkEnd w:id="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Heavy-Duty</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Medium-Duty, Light-Duty and</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Rush Truck Center Location</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Franchise(s)</w:t>
            </w:r>
          </w:p>
        </w:tc>
        <w:tc>
          <w:tcPr>
            <w:tcW w:w="37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Bus Franchise(s)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9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Body Shop</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80" w:type="dxa"/>
            <w:vAlign w:val="bottom"/>
            <w:gridSpan w:val="3"/>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Tyler</w:t>
            </w:r>
          </w:p>
        </w:tc>
        <w:tc>
          <w:tcPr>
            <w:tcW w:w="16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Peterbilt</w:t>
            </w:r>
          </w:p>
        </w:tc>
        <w:tc>
          <w:tcPr>
            <w:tcW w:w="3780" w:type="dxa"/>
            <w:vAlign w:val="bottom"/>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color w:val="auto"/>
                <w:w w:val="99"/>
              </w:rPr>
              <w:t>Peterbilt, Blue Bird, Micro Bird, Elkhart</w:t>
            </w:r>
          </w:p>
        </w:tc>
        <w:tc>
          <w:tcPr>
            <w:tcW w:w="8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8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Waco</w:t>
            </w:r>
          </w:p>
        </w:tc>
        <w:tc>
          <w:tcPr>
            <w:tcW w:w="1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Peterbilt</w:t>
            </w:r>
          </w:p>
        </w:tc>
        <w:tc>
          <w:tcPr>
            <w:tcW w:w="378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Peterbilt, Hino, Isuzu, Blue Bird, Micro Bird,</w:t>
            </w:r>
          </w:p>
        </w:tc>
        <w:tc>
          <w:tcPr>
            <w:tcW w:w="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Elkhart</w:t>
            </w: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Utah:</w:t>
            </w:r>
          </w:p>
        </w:tc>
        <w:tc>
          <w:tcPr>
            <w:tcW w:w="16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Helper</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Farr West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International, IC Bus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Salt Lake City</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International, IC Bus, Mitsubishi Fuso</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Springville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International, Mitsubishi Fuso</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 George</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International, Mitsubishi Fuso</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Virginia:</w:t>
            </w:r>
          </w:p>
        </w:tc>
        <w:tc>
          <w:tcPr>
            <w:tcW w:w="1600" w:type="dxa"/>
            <w:vAlign w:val="bottom"/>
            <w:shd w:val="clear" w:color="auto" w:fill="CCEEFF"/>
          </w:tcPr>
          <w:p>
            <w:pPr>
              <w:spacing w:after="0"/>
              <w:rPr>
                <w:sz w:val="15"/>
                <w:szCs w:val="15"/>
                <w:color w:val="auto"/>
              </w:rPr>
            </w:pPr>
          </w:p>
        </w:tc>
        <w:tc>
          <w:tcPr>
            <w:tcW w:w="3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Chester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Fredericksburg</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Richmond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Suffolk</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International</w:t>
            </w:r>
          </w:p>
        </w:tc>
        <w:tc>
          <w:tcPr>
            <w:tcW w:w="37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International</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9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2"/>
              </w:rPr>
              <w:t>Yes</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have dedicated used truck facilities in Willowbrook and Wilmington, Illinois and Knoxville, Tennessee.</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Leasing and Rental Services. </w:t>
      </w:r>
      <w:r>
        <w:rPr>
          <w:rFonts w:ascii="Times New Roman" w:cs="Times New Roman" w:eastAsia="Times New Roman" w:hAnsi="Times New Roman"/>
          <w:sz w:val="18"/>
          <w:szCs w:val="18"/>
          <w:color w:val="auto"/>
        </w:rPr>
        <w:t>Through certain of our Rush Truck Centers and several stand-alone Rush Truck Leasing Centers, we provide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 line of product selections for lease or rent, including Class 4, Class 5, Class 6, Class 7 and Class 8 trucks, heavy-duty cranes and refuse vehicles. Our lease and rental fleets are offered on a daily, monthly or long-term basis. The following chart reflects our leasing franchises by location:</w:t>
      </w:r>
    </w:p>
    <w:p>
      <w:pPr>
        <w:spacing w:after="0" w:line="172" w:lineRule="exact"/>
        <w:rPr>
          <w:sz w:val="20"/>
          <w:szCs w:val="20"/>
          <w:color w:val="auto"/>
        </w:rPr>
      </w:pPr>
    </w:p>
    <w:tbl>
      <w:tblPr>
        <w:tblLayout w:type="fixed"/>
        <w:tblInd w:w="26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Standalone or in a</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60" w:type="dxa"/>
            <w:vAlign w:val="bottom"/>
            <w:tcBorders>
              <w:bottom w:val="single" w:sz="8" w:color="auto"/>
            </w:tcBorders>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Rush Truck Leasing Location</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Franchise</w:t>
            </w:r>
          </w:p>
        </w:tc>
        <w:tc>
          <w:tcPr>
            <w:tcW w:w="18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Rush Truck Center</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8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Alabama:</w:t>
            </w:r>
          </w:p>
        </w:tc>
        <w:tc>
          <w:tcPr>
            <w:tcW w:w="14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Birmingham</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5"/>
              </w:rPr>
              <w:t>Arizona:</w:t>
            </w:r>
          </w:p>
        </w:tc>
        <w:tc>
          <w:tcPr>
            <w:tcW w:w="2220" w:type="dxa"/>
            <w:vAlign w:val="bottom"/>
            <w:tcBorders>
              <w:bottom w:val="single" w:sz="8" w:color="CCEEFF"/>
            </w:tcBorders>
            <w:gridSpan w:val="5"/>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Phoenix</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California:</w:t>
            </w:r>
          </w:p>
        </w:tc>
        <w:tc>
          <w:tcPr>
            <w:tcW w:w="14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top w:val="single" w:sz="8" w:color="auto"/>
            </w:tcBorders>
            <w:gridSpan w:val="8"/>
          </w:tcPr>
          <w:p>
            <w:pPr>
              <w:ind w:left="160"/>
              <w:spacing w:after="0"/>
              <w:rPr>
                <w:sz w:val="20"/>
                <w:szCs w:val="20"/>
                <w:color w:val="auto"/>
              </w:rPr>
            </w:pPr>
            <w:r>
              <w:rPr>
                <w:rFonts w:ascii="Times New Roman" w:cs="Times New Roman" w:eastAsia="Times New Roman" w:hAnsi="Times New Roman"/>
                <w:sz w:val="18"/>
                <w:szCs w:val="18"/>
                <w:color w:val="auto"/>
                <w:w w:val="99"/>
              </w:rPr>
              <w:t>Fontana</w:t>
            </w:r>
          </w:p>
        </w:tc>
        <w:tc>
          <w:tcPr>
            <w:tcW w:w="210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Borders>
              <w:top w:val="single" w:sz="8" w:color="CCEEFF"/>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Pico Rivera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San Diego</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Sylmar</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Colorado:</w:t>
            </w: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Denver</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Florida:</w:t>
            </w: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Orlando</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Tampa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Jacksonville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Idaho:</w:t>
            </w: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Boise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Idaho Falls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4"/>
              </w:rPr>
              <w:t>Illinois:</w:t>
            </w:r>
          </w:p>
        </w:tc>
        <w:tc>
          <w:tcPr>
            <w:tcW w:w="2280" w:type="dxa"/>
            <w:vAlign w:val="bottom"/>
            <w:tcBorders>
              <w:bottom w:val="single" w:sz="8" w:color="CCEEFF"/>
            </w:tcBorders>
            <w:gridSpan w:val="7"/>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Carol Stream</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Chicago</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Effingham</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Huntley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Joliet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Springfield</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Indiana:</w:t>
            </w: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Indianapolis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Gary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Missouri:</w:t>
            </w:r>
          </w:p>
        </w:tc>
        <w:tc>
          <w:tcPr>
            <w:tcW w:w="14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gridSpan w:val="9"/>
          </w:tcPr>
          <w:p>
            <w:pPr>
              <w:ind w:left="160"/>
              <w:spacing w:after="0"/>
              <w:rPr>
                <w:sz w:val="20"/>
                <w:szCs w:val="20"/>
                <w:color w:val="auto"/>
              </w:rPr>
            </w:pPr>
            <w:r>
              <w:rPr>
                <w:rFonts w:ascii="Times New Roman" w:cs="Times New Roman" w:eastAsia="Times New Roman" w:hAnsi="Times New Roman"/>
                <w:sz w:val="18"/>
                <w:szCs w:val="18"/>
                <w:color w:val="auto"/>
              </w:rPr>
              <w:t>St. Louis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240" w:top="111" w:right="599" w:bottom="1440" w:gutter="0" w:footer="0" w:header="0"/>
        </w:sectPr>
      </w:pPr>
    </w:p>
    <w:p>
      <w:pPr>
        <w:spacing w:after="0" w:line="2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type w:val="continuous"/>
        </w:sectPr>
      </w:pPr>
    </w:p>
    <w:bookmarkStart w:id="8" w:name="page9"/>
    <w:bookmarkEnd w:id="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262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Standalone or in a</w:t>
            </w:r>
          </w:p>
        </w:tc>
      </w:tr>
      <w:tr>
        <w:trPr>
          <w:trHeight w:val="238"/>
        </w:trPr>
        <w:tc>
          <w:tcPr>
            <w:tcW w:w="288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Rush Truck Leasing Location</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Franchise</w:t>
            </w:r>
          </w:p>
        </w:tc>
        <w:tc>
          <w:tcPr>
            <w:tcW w:w="18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Rush Truck Center</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7"/>
        </w:trPr>
        <w:tc>
          <w:tcPr>
            <w:tcW w:w="2880" w:type="dxa"/>
            <w:vAlign w:val="bottom"/>
            <w:gridSpan w:val="8"/>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St. Peters</w:t>
            </w:r>
          </w:p>
        </w:tc>
        <w:tc>
          <w:tcPr>
            <w:tcW w:w="14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w w:val="98"/>
              </w:rPr>
              <w:t>In RTC</w:t>
            </w:r>
          </w:p>
        </w:tc>
      </w:tr>
      <w:tr>
        <w:trPr>
          <w:trHeight w:val="176"/>
        </w:trPr>
        <w:tc>
          <w:tcPr>
            <w:tcW w:w="28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North Carolina:</w:t>
            </w: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1"/>
        </w:trPr>
        <w:tc>
          <w:tcPr>
            <w:tcW w:w="4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28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Charlotte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176"/>
        </w:trPr>
        <w:tc>
          <w:tcPr>
            <w:tcW w:w="28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New Mexico:</w:t>
            </w: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1"/>
        </w:trPr>
        <w:tc>
          <w:tcPr>
            <w:tcW w:w="4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28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Albuquerque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176"/>
        </w:trPr>
        <w:tc>
          <w:tcPr>
            <w:tcW w:w="28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Ohio:</w:t>
            </w: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1"/>
        </w:trPr>
        <w:tc>
          <w:tcPr>
            <w:tcW w:w="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28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Cincinnati</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Oakwood Village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8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Columbus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r>
      <w:tr>
        <w:trPr>
          <w:trHeight w:val="216"/>
        </w:trPr>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Dayton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r>
      <w:tr>
        <w:trPr>
          <w:trHeight w:val="176"/>
        </w:trPr>
        <w:tc>
          <w:tcPr>
            <w:tcW w:w="28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Oklahoma:</w:t>
            </w:r>
          </w:p>
        </w:tc>
        <w:tc>
          <w:tcPr>
            <w:tcW w:w="14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21"/>
        </w:trPr>
        <w:tc>
          <w:tcPr>
            <w:tcW w:w="4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Oklahoma City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r>
      <w:tr>
        <w:trPr>
          <w:trHeight w:val="176"/>
        </w:trPr>
        <w:tc>
          <w:tcPr>
            <w:tcW w:w="28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Tennessee:</w:t>
            </w:r>
          </w:p>
        </w:tc>
        <w:tc>
          <w:tcPr>
            <w:tcW w:w="144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21"/>
        </w:trPr>
        <w:tc>
          <w:tcPr>
            <w:tcW w:w="4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Nashville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r>
      <w:tr>
        <w:trPr>
          <w:trHeight w:val="196"/>
        </w:trPr>
        <w:tc>
          <w:tcPr>
            <w:tcW w:w="50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5"/>
              </w:rPr>
              <w:t>Texas:</w:t>
            </w:r>
          </w:p>
        </w:tc>
        <w:tc>
          <w:tcPr>
            <w:tcW w:w="2380" w:type="dxa"/>
            <w:vAlign w:val="bottom"/>
            <w:tcBorders>
              <w:bottom w:val="single" w:sz="8" w:color="CCEEFF"/>
            </w:tcBorders>
            <w:gridSpan w:val="6"/>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r>
      <w:tr>
        <w:trPr>
          <w:trHeight w:val="216"/>
        </w:trPr>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Austin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8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Corpus Christi</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r>
      <w:tr>
        <w:trPr>
          <w:trHeight w:val="216"/>
        </w:trPr>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El Paso</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r>
      <w:tr>
        <w:trPr>
          <w:trHeight w:val="216"/>
        </w:trPr>
        <w:tc>
          <w:tcPr>
            <w:tcW w:w="28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Houston</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Lubbock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r>
      <w:tr>
        <w:trPr>
          <w:trHeight w:val="216"/>
        </w:trPr>
        <w:tc>
          <w:tcPr>
            <w:tcW w:w="28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San Antonio</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PacLease</w:t>
            </w:r>
          </w:p>
        </w:tc>
        <w:tc>
          <w:tcPr>
            <w:tcW w:w="18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In RTC</w:t>
            </w:r>
          </w:p>
        </w:tc>
      </w:tr>
      <w:tr>
        <w:trPr>
          <w:trHeight w:val="176"/>
        </w:trPr>
        <w:tc>
          <w:tcPr>
            <w:tcW w:w="28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Virginia:</w:t>
            </w:r>
          </w:p>
        </w:tc>
        <w:tc>
          <w:tcPr>
            <w:tcW w:w="14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1"/>
        </w:trPr>
        <w:tc>
          <w:tcPr>
            <w:tcW w:w="4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16"/>
        </w:trPr>
        <w:tc>
          <w:tcPr>
            <w:tcW w:w="2880" w:type="dxa"/>
            <w:vAlign w:val="bottom"/>
            <w:gridSpan w:val="8"/>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Richmond</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216"/>
        </w:trPr>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Norfolk</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r>
      <w:tr>
        <w:trPr>
          <w:trHeight w:val="196"/>
        </w:trPr>
        <w:tc>
          <w:tcPr>
            <w:tcW w:w="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7"/>
              </w:rPr>
              <w:t>Utah:</w:t>
            </w:r>
          </w:p>
        </w:tc>
        <w:tc>
          <w:tcPr>
            <w:tcW w:w="2440" w:type="dxa"/>
            <w:vAlign w:val="bottom"/>
            <w:tcBorders>
              <w:bottom w:val="single" w:sz="8" w:color="CCEEFF"/>
            </w:tcBorders>
            <w:gridSpan w:val="7"/>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r>
      <w:tr>
        <w:trPr>
          <w:trHeight w:val="234"/>
        </w:trPr>
        <w:tc>
          <w:tcPr>
            <w:tcW w:w="288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Salt Lake City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Idealease</w:t>
            </w:r>
          </w:p>
        </w:tc>
        <w:tc>
          <w:tcPr>
            <w:tcW w:w="18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Standalone</w:t>
            </w: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locations in the above table, Rush Truck Leasing also provides full-service maintenance on customers’ vehicles at several of our customers’ facilities.</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and Insurance Products. </w:t>
      </w:r>
      <w:r>
        <w:rPr>
          <w:rFonts w:ascii="Times New Roman" w:cs="Times New Roman" w:eastAsia="Times New Roman" w:hAnsi="Times New Roman"/>
          <w:sz w:val="18"/>
          <w:szCs w:val="18"/>
          <w:color w:val="auto"/>
        </w:rPr>
        <w:t>At our Rush Truck Centers, we offer third-party financing to assist customers in purchasing new and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vehicles. Additionally, we sell, as agent through our insurance agency, a complete line of property and casualty insurance, including collision and liability insurance on commercial vehicles, cargo insurance and credit life insurance.</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Businesses. </w:t>
      </w:r>
      <w:r>
        <w:rPr>
          <w:rFonts w:ascii="Times New Roman" w:cs="Times New Roman" w:eastAsia="Times New Roman" w:hAnsi="Times New Roman"/>
          <w:sz w:val="18"/>
          <w:szCs w:val="18"/>
          <w:color w:val="auto"/>
        </w:rPr>
        <w:t>Perfection Equipment offers installation of equipment, equipment repair, parts installation, and paint and body repair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location in Oklahoma City. Perfection Equipment specializes in up-fitting trucks used by oilfield service providers and other specialized service providers.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World Wide Tires stores operate in three locations in Texas. World Wide Tires primarily sells tires for use on commercial vehicles.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Custom Vehicle Solutions operates in two locations in Texas. Custom Vehicle Solutions provides new vehicle pre-delivery inspections, truck modifications, natural gas fuel system installations, and body, chassis upfit and component installation.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Momentum Fuel Technologies will manufacture, distribute and provide aftermarket support for compressed natural gas fuel systems.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 – Industry” for a description of our industry and the markets in which we operate.</w:t>
      </w:r>
    </w:p>
    <w:p>
      <w:pPr>
        <w:spacing w:after="0" w:line="200" w:lineRule="exact"/>
        <w:rPr>
          <w:sz w:val="20"/>
          <w:szCs w:val="20"/>
          <w:color w:val="auto"/>
        </w:rPr>
      </w:pP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9" w:name="page10"/>
    <w:bookmarkEnd w:id="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Operating Strategy. </w:t>
      </w:r>
      <w:r>
        <w:rPr>
          <w:rFonts w:ascii="Times New Roman" w:cs="Times New Roman" w:eastAsia="Times New Roman" w:hAnsi="Times New Roman"/>
          <w:sz w:val="18"/>
          <w:szCs w:val="18"/>
          <w:color w:val="auto"/>
        </w:rPr>
        <w:t>Our strategy is to operate an integrated dealer network that provides service solutions to the commercial vehicle industry.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includes the following key elements:</w:t>
      </w:r>
    </w:p>
    <w:p>
      <w:pPr>
        <w:spacing w:after="0" w:line="207" w:lineRule="exact"/>
        <w:rPr>
          <w:sz w:val="20"/>
          <w:szCs w:val="20"/>
          <w:color w:val="auto"/>
        </w:rPr>
      </w:pPr>
    </w:p>
    <w:p>
      <w:pPr>
        <w:jc w:val="both"/>
        <w:ind w:left="1120" w:hanging="464"/>
        <w:spacing w:after="0" w:line="258" w:lineRule="auto"/>
        <w:tabs>
          <w:tab w:leader="none" w:pos="1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One-Stop Centers</w:t>
      </w:r>
      <w:r>
        <w:rPr>
          <w:rFonts w:ascii="Times New Roman" w:cs="Times New Roman" w:eastAsia="Times New Roman" w:hAnsi="Times New Roman"/>
          <w:sz w:val="18"/>
          <w:szCs w:val="18"/>
          <w:color w:val="auto"/>
        </w:rPr>
        <w:t>. We have developed our commercial vehicle dealerships as “one-stop centers” that offer an integrated approach to meeting customer needs. We provide service, parts and collision repair, new and used commercial vehicles sales, leasing and rental, plus financial services including finance and insurance. We believe that this full-service strategy also helps to mitigate cyclical economic fluctuations because the parts and service sales at our dealerships generally tend to be less volatile than our new and used commercial vehicle sales.</w:t>
      </w:r>
    </w:p>
    <w:p>
      <w:pPr>
        <w:spacing w:after="0" w:line="183" w:lineRule="exact"/>
        <w:rPr>
          <w:rFonts w:ascii="Times New Roman" w:cs="Times New Roman" w:eastAsia="Times New Roman" w:hAnsi="Times New Roman"/>
          <w:sz w:val="18"/>
          <w:szCs w:val="18"/>
          <w:color w:val="auto"/>
        </w:rPr>
      </w:pPr>
    </w:p>
    <w:p>
      <w:pPr>
        <w:jc w:val="both"/>
        <w:ind w:left="1120" w:hanging="464"/>
        <w:spacing w:after="0" w:line="266" w:lineRule="auto"/>
        <w:tabs>
          <w:tab w:leader="none" w:pos="1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Branding Program</w:t>
      </w:r>
      <w:r>
        <w:rPr>
          <w:rFonts w:ascii="Times New Roman" w:cs="Times New Roman" w:eastAsia="Times New Roman" w:hAnsi="Times New Roman"/>
          <w:sz w:val="18"/>
          <w:szCs w:val="18"/>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176" w:lineRule="exact"/>
        <w:rPr>
          <w:rFonts w:ascii="Times New Roman" w:cs="Times New Roman" w:eastAsia="Times New Roman" w:hAnsi="Times New Roman"/>
          <w:sz w:val="18"/>
          <w:szCs w:val="18"/>
          <w:color w:val="auto"/>
        </w:rPr>
      </w:pPr>
    </w:p>
    <w:p>
      <w:pPr>
        <w:jc w:val="both"/>
        <w:ind w:left="1120" w:hanging="464"/>
        <w:spacing w:after="0" w:line="258" w:lineRule="auto"/>
        <w:tabs>
          <w:tab w:leader="none" w:pos="1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by Dealership Units</w:t>
      </w:r>
      <w:r>
        <w:rPr>
          <w:rFonts w:ascii="Times New Roman" w:cs="Times New Roman" w:eastAsia="Times New Roman" w:hAnsi="Times New Roman"/>
          <w:sz w:val="18"/>
          <w:szCs w:val="18"/>
          <w:color w:val="auto"/>
        </w:rPr>
        <w:t>. At each of our dealerships, we operate one or more of the following departments: new commercial vehicle sales, used commercial vehicle sales, financial services, parts, service or body shop. Our general managers measure and manage the operations of each dealership according to the specific departments operating at that location. We believe that this system enhances the profitability of all aspects of a dealership and increases our overall operating margins. Operating goals for each department at each of our dealerships are established annually and managers are rewarded for performance.</w:t>
      </w:r>
    </w:p>
    <w:p>
      <w:pPr>
        <w:spacing w:after="0" w:line="183" w:lineRule="exact"/>
        <w:rPr>
          <w:rFonts w:ascii="Times New Roman" w:cs="Times New Roman" w:eastAsia="Times New Roman" w:hAnsi="Times New Roman"/>
          <w:sz w:val="18"/>
          <w:szCs w:val="18"/>
          <w:color w:val="auto"/>
        </w:rPr>
      </w:pPr>
    </w:p>
    <w:p>
      <w:pPr>
        <w:jc w:val="both"/>
        <w:ind w:left="1200" w:hanging="476"/>
        <w:spacing w:after="0" w:line="266" w:lineRule="auto"/>
        <w:tabs>
          <w:tab w:leader="none" w:pos="12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Aftermarket Services</w:t>
      </w:r>
      <w:r>
        <w:rPr>
          <w:rFonts w:ascii="Times New Roman" w:cs="Times New Roman" w:eastAsia="Times New Roman" w:hAnsi="Times New Roman"/>
          <w:sz w:val="18"/>
          <w:szCs w:val="18"/>
          <w:color w:val="auto"/>
        </w:rPr>
        <w:t>. Our aftermarket capabilities now include a wide range of services and products such as a fleet of mobile service units, mobile technicians who staff our customers’ facilities, a proprietary line of parts and accessories, new diagnostic and analysis capabilities, factory-certified service for alternative fuel vehicles and assembly service for specialized bodies and equipment.</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Growth Strategy. </w:t>
      </w:r>
      <w:r>
        <w:rPr>
          <w:rFonts w:ascii="Times New Roman" w:cs="Times New Roman" w:eastAsia="Times New Roman" w:hAnsi="Times New Roman"/>
          <w:sz w:val="18"/>
          <w:szCs w:val="18"/>
          <w:color w:val="auto"/>
        </w:rPr>
        <w:t>Through our expansion and acquisition initiatives, we have grown to operate a large, multistate, full-service network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vehicle dealerships. As described below, we intend to continue to grow our business internally and through acquisitions by expanding into new geographic areas, expanding our product and service offerings and opening new dealerships in existing markets.</w:t>
      </w:r>
    </w:p>
    <w:p>
      <w:pPr>
        <w:spacing w:after="0" w:line="176" w:lineRule="exact"/>
        <w:rPr>
          <w:sz w:val="20"/>
          <w:szCs w:val="20"/>
          <w:color w:val="auto"/>
        </w:rPr>
      </w:pPr>
    </w:p>
    <w:p>
      <w:pPr>
        <w:jc w:val="both"/>
        <w:ind w:left="1120" w:hanging="464"/>
        <w:spacing w:after="0" w:line="266" w:lineRule="auto"/>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Into New Geographic Areas</w:t>
      </w:r>
      <w:r>
        <w:rPr>
          <w:rFonts w:ascii="Times New Roman" w:cs="Times New Roman" w:eastAsia="Times New Roman" w:hAnsi="Times New Roman"/>
          <w:sz w:val="18"/>
          <w:szCs w:val="18"/>
          <w:color w:val="auto"/>
        </w:rPr>
        <w:t>. We plan to continue to expand our dealership network by acquiring dealerships in areas of the U.S. where we do not already have dealerships. We believe the geographic diversity of our Rush Truck Center network has significantly expanded our customer base while reducing the effects of local economic cycles.</w:t>
      </w:r>
    </w:p>
    <w:p>
      <w:pPr>
        <w:spacing w:after="0" w:line="176" w:lineRule="exact"/>
        <w:rPr>
          <w:rFonts w:ascii="Times New Roman" w:cs="Times New Roman" w:eastAsia="Times New Roman" w:hAnsi="Times New Roman"/>
          <w:sz w:val="18"/>
          <w:szCs w:val="18"/>
          <w:color w:val="auto"/>
        </w:rPr>
      </w:pPr>
    </w:p>
    <w:p>
      <w:pPr>
        <w:jc w:val="both"/>
        <w:ind w:left="1120" w:hanging="464"/>
        <w:spacing w:after="0" w:line="258" w:lineRule="auto"/>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Expansion of Product and Service Offerings</w:t>
      </w:r>
      <w:r>
        <w:rPr>
          <w:rFonts w:ascii="Times New Roman" w:cs="Times New Roman" w:eastAsia="Times New Roman" w:hAnsi="Times New Roman"/>
          <w:sz w:val="18"/>
          <w:szCs w:val="18"/>
          <w:color w:val="auto"/>
        </w:rPr>
        <w:t>. We intend to continue to expand our product lines within our dealerships by adding product categories and service capabilities that are both complementary to our existing product lines and well suited to our operating model. We believe that there are many additional product and service offerings that would complement our primary product lines. For example, we believe that technological advances to the vehicles we sell will provide us with the opportunity to provide vehicle owners with more preventative maintenance options and the ability to maximize the performance of vehicles in their fleets.</w:t>
      </w:r>
    </w:p>
    <w:p>
      <w:pPr>
        <w:spacing w:after="0" w:line="183" w:lineRule="exact"/>
        <w:rPr>
          <w:rFonts w:ascii="Times New Roman" w:cs="Times New Roman" w:eastAsia="Times New Roman" w:hAnsi="Times New Roman"/>
          <w:sz w:val="18"/>
          <w:szCs w:val="18"/>
          <w:color w:val="auto"/>
        </w:rPr>
      </w:pPr>
    </w:p>
    <w:p>
      <w:pPr>
        <w:ind w:left="1120" w:hanging="464"/>
        <w:spacing w:after="0" w:line="282" w:lineRule="auto"/>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New Rush Truck Centers in Existing Areas of Operation</w:t>
      </w:r>
      <w:r>
        <w:rPr>
          <w:rFonts w:ascii="Times New Roman" w:cs="Times New Roman" w:eastAsia="Times New Roman" w:hAnsi="Times New Roman"/>
          <w:sz w:val="18"/>
          <w:szCs w:val="18"/>
          <w:color w:val="auto"/>
        </w:rPr>
        <w:t>. We continually evaluate opportunities to increase our market presence by adding new Rush Truck Centers to underserved markets within our current areas of operation.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of Our Dealerships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Rush Truck Centers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Rush Truck Centers are responsible for sales of new and used commercial vehicles, as well as related parts and services.</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10" w:name="page11"/>
    <w:bookmarkEnd w:id="1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Commercial Vehicle Parts and Service</w:t>
      </w:r>
      <w:r>
        <w:rPr>
          <w:rFonts w:ascii="Times New Roman" w:cs="Times New Roman" w:eastAsia="Times New Roman" w:hAnsi="Times New Roman"/>
          <w:sz w:val="18"/>
          <w:szCs w:val="18"/>
          <w:color w:val="auto"/>
        </w:rPr>
        <w:t>. Commercial vehicle-related parts and service revenues accounted for approximately $1,315.7 million, or 27.8%, of our total revenues for 2014, and 62.6% of our gross profit. The parts and service business enhances our sales and service functions and is a source of recurring revenue. Rush Truck Centers carry a wide variety of commercial vehicle parts in inventory. Certain Rush Truck Centers also feature fully equipped service and body shop facilities, the combination and configuration of which varies by location, capable of handling a broad range of repairs on most commercial vehicles. Each Rush Truck Center is a warranty service center for the commercial vehicle manufacturers represented at that location and most are also authorized service centers for other vehicle component manufacturers, including Cummins, Eaton and Allison. We have approximately 1,900 service and body shop bays throughout our Rush Truck Center network. We also have approximately 300 mobile service units and 350 mobile technicians who staff our mobile service units and our customers’ facilities.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service departments perform warranty and non-warranty repairs on commercial vehicles. The cost of warranty work is generally reimbursed by the applicable manufacturer at retail commercial rates. Additionally, we provide a wide array of services, including assembly service for specialized truck bodies and truck mounted equipment. Our goal is to provide our customer any service that they need related to their commercial vehicles.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our leasing and rental operations, we also enter into contracts to provide full-service maintenance on some customers’ vehicles. We had 1,197 vehicles under contract maintenance as of December 31, 2014, and 967 vehicles under contract maintenance as of December 31, 2013. The full-service maintenance revenue and retail service revenue are included as parts and service revenue on the Consolidated Statements of Income.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New Commercial Vehicle Sales</w:t>
      </w:r>
      <w:r>
        <w:rPr>
          <w:rFonts w:ascii="Times New Roman" w:cs="Times New Roman" w:eastAsia="Times New Roman" w:hAnsi="Times New Roman"/>
          <w:sz w:val="18"/>
          <w:szCs w:val="18"/>
          <w:color w:val="auto"/>
        </w:rPr>
        <w:t>. New commercial vehicle sales represent the largest portion of our revenue, accounting for approximately $2,868.2 million, or 60.7%, of our total revenues in 2014. Of this total, new Class 8 heavy-duty truck sales accounted for approximately $2,087.4 million, or 44.2% of our total revenues for 2014, and 72.8% of our new commercial vehicle revenues for 2014.</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Rush Truck Centers that sell new and used Class 8 heavy-duty trucks may also sell medium-duty and light-duty commercial vehicles. Certain Rush Truck Centers sell medium-duty commercial vehicles manufactured by Peterbilt, Hino, Isuzu, Ford, International or Mitsubishi Fuso and buses manufactured by Blue Bird, IC BUS and Elkhart and light-duty commercial vehicles manufactured by Ford (see Part I, Item 1, “General – </w:t>
      </w:r>
      <w:r>
        <w:rPr>
          <w:rFonts w:ascii="Times New Roman" w:cs="Times New Roman" w:eastAsia="Times New Roman" w:hAnsi="Times New Roman"/>
          <w:sz w:val="18"/>
          <w:szCs w:val="18"/>
          <w:i w:val="1"/>
          <w:iCs w:val="1"/>
          <w:color w:val="auto"/>
        </w:rPr>
        <w:t>Rush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Truck Centers</w:t>
      </w:r>
      <w:r>
        <w:rPr>
          <w:rFonts w:ascii="Times New Roman" w:cs="Times New Roman" w:eastAsia="Times New Roman" w:hAnsi="Times New Roman"/>
          <w:sz w:val="18"/>
          <w:szCs w:val="18"/>
          <w:color w:val="auto"/>
        </w:rPr>
        <w:t>” for information on which brands we sell at each Rush Truck Center). New medium-duty commercial vehicle sales, excluding new bus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accounted for approximately $585.0 million, or 12.4% of our total revenues for 2014, and 20.4% of our new commercial vehicle revenues for 2014. New light-duty commercial vehicle sales accounted for approximately $58.2 million, or 1.2% of our total revenues for 2014, and 2.0% of our new commercial vehicle revenues for 2014. New bus sales accounted for approximately $123.9 million, or 2.6% of our total revenues for 2014, and 4.3% of our new commercial vehicle revenues for 2014.</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significant portion of our new commercial vehicle sales are to fleet customers. Because of the size and geographic scope of our Rush Truck Center network, our strong relationships with our fleet customers and our ability to handle large quantities of used commercial vehicle trade-ins, we are able to successfully market and sell to fleet customers nationwide. We believe that we have a competitive advantage over most other dealers in that we can absorb multi-unit trade-ins often associated with fleet sales and effectively disperse the used commercial vehicles for resale throughout our dealership network and our dedicated used truck facilities. We believe that the broad range of services we offer to purchasers of commercial vehicles at the time of purchase and post-purchase has resulted in a high level of customer loyalty.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Used Commercial Vehicle Sales</w:t>
      </w:r>
      <w:r>
        <w:rPr>
          <w:rFonts w:ascii="Times New Roman" w:cs="Times New Roman" w:eastAsia="Times New Roman" w:hAnsi="Times New Roman"/>
          <w:sz w:val="18"/>
          <w:szCs w:val="18"/>
          <w:color w:val="auto"/>
        </w:rPr>
        <w:t>. Used commercial vehicle sales accounted for approximately $327.7 million, or 6.9%, of our total revenues for 2014. We sell used commercial vehicles at most of our Rush Truck Centers and dedicated used truck facilities. We believe that we are well positioned to market used commercial vehicles due to our ability to recondition them for resale utilizing the parts and service departments of our Rush Truck Centers and our ability to move used commercial vehicles between Rush Truck Centers and our dedicated used truck facilities to satisfy customer demand. The majority of our used commercial vehicle inventory consists of commercial vehicles taken as trade-ins from new truck customers or retired from our lease and rental fleet, but we supplement our used commercial vehicle inventory by purchasing used commercial vehicles from third parties for resale.</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New and Used Commercial Vehicle Financing</w:t>
      </w:r>
      <w:r>
        <w:rPr>
          <w:rFonts w:ascii="Times New Roman" w:cs="Times New Roman" w:eastAsia="Times New Roman" w:hAnsi="Times New Roman"/>
          <w:sz w:val="18"/>
          <w:szCs w:val="18"/>
          <w:color w:val="auto"/>
        </w:rPr>
        <w:t>. Our Rush Truck Centers have personnel responsible for arranging third-party financing for our product offerings. Generally, commercial vehicle finance contracts are memorialized through the use of installment contracts, which are secured by the commercial vehicles financed, and require a down payment, with the remaining balance financed over a two to seven-year period. The majority of finance contracts are sold to third parties without recourse to the Company. The Company provides an allowance for repossession losses and early repayment penalties.</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Truck Leasing and Rental</w:t>
      </w:r>
      <w:r>
        <w:rPr>
          <w:rFonts w:ascii="Times New Roman" w:cs="Times New Roman" w:eastAsia="Times New Roman" w:hAnsi="Times New Roman"/>
          <w:sz w:val="18"/>
          <w:szCs w:val="18"/>
          <w:color w:val="auto"/>
        </w:rPr>
        <w:t>. Truck leasing and rental revenues accounted for approximately $177.6 million, or 3.8%, of our total revenues for 2014. At our Rush Truck Leasing locations, we engage in full-service truck leasing through PacLease and Idealease. Rented trucks are also generally serviced at our facilities. We had 6,876 vehicles in our lease and rental fleet, including cranes, as of December 31, 2014 compared to 5,348 vehicles as of December 31, 2013. Generally, we sell trucks that have been retired from our lease and rental fleet through the used sales operations at our Rush Truck Centers. Historically, we have realized gains on the sale of used lease and rental trucks.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 Products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sale of financial and insurance products accounted for approximately $20.0 million, or 0.4%, of our total revenues for 2014. Finance and insurance revenues have minimal direct costs and, therefore, contribute a disproportionate share of our operating profits.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Insurance Products</w:t>
      </w:r>
      <w:r>
        <w:rPr>
          <w:rFonts w:ascii="Times New Roman" w:cs="Times New Roman" w:eastAsia="Times New Roman" w:hAnsi="Times New Roman"/>
          <w:sz w:val="18"/>
          <w:szCs w:val="18"/>
          <w:color w:val="auto"/>
        </w:rPr>
        <w:t>. We sell, as agent, a complete line of property and casualty insurance to commercial vehicle owners. Our agency is licensed to sell truck liability, collision and comprehensive, workers’ compensation, cargo, and credit life insurance coverage offered by a number of leading insurance companies. Our renewal rate in 2014 was approximately 85%. We also have licensed insurance agents at several Rush Truck Centers.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established history of operations in the commercial vehicle business has resulted in a strong customer base that is diverse in terms of geography, industry and scale of operations. Our customers include owner operators, regional and national truck fleets, corporations and local governments. During 2014, no single customer accounted for more than 10% of our sales by dollar volume. We generally promote our products and related services through direct customer contact by our sales personnel, advertisements in trade magazines and attendance at industry shows.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an effort to enhance our name recognition and to communicate the standardized high level of quality products and services provided at our Rush Truck Centers, we implement our “Rush” brand name concept at each of our dealerships.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Facility Management</w:t>
      </w:r>
    </w:p>
    <w:p>
      <w:pPr>
        <w:spacing w:after="0" w:line="2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Personnel. </w:t>
      </w:r>
      <w:r>
        <w:rPr>
          <w:rFonts w:ascii="Times New Roman" w:cs="Times New Roman" w:eastAsia="Times New Roman" w:hAnsi="Times New Roman"/>
          <w:sz w:val="18"/>
          <w:szCs w:val="18"/>
          <w:color w:val="auto"/>
        </w:rPr>
        <w:t>Each of our facilities is typically managed by a general manager who oversees the operations, personnel and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 location, subject to the direction of a regional manager and personnel at our corporate headquarters. Additionally, each full-service Rush Truck Center is typically staffed by a sales manager, parts manager, service manager, body shop manager, sales representatives, parts employees, and other service and make-ready employees, as appropriate, given the services offered. The sales staff of each Rush Truck Center is compensated on a salary plus commission or a commission only basis, while managers receive a combination of salary and performance bonus. We believe that our employees are among the highest paid in the industry, which enables us to attract and retain qualified personnel.</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been successful in retaining our senior management, regional managers and general managers. To promote communication and efficiency in operating standards, regional managers and members of senior management attend company-wide strategy sessions each year. In addition, management personnel attend various industry sponsored leadership and management seminars and receive continuing education on the products we distribute, marketing strategies and management information systems.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Compliance with Policies. </w:t>
      </w:r>
      <w:r>
        <w:rPr>
          <w:rFonts w:ascii="Times New Roman" w:cs="Times New Roman" w:eastAsia="Times New Roman" w:hAnsi="Times New Roman"/>
          <w:sz w:val="18"/>
          <w:szCs w:val="18"/>
          <w:color w:val="auto"/>
        </w:rPr>
        <w:t>Each Rush Truck Center is audited regularly for compliance with corporate policies and procedures. These routine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unannounced internal audits objectively measure dealership performance with respect to corporate expectations in the management and administration of sales, commercial vehicle inventory, parts inventory, parts sales, service sales, body shop sales, corporate policy compliance, human resources compliance, and environmental and safety compliance matters.</w:t>
      </w:r>
    </w:p>
    <w:p>
      <w:pPr>
        <w:spacing w:after="0" w:line="200" w:lineRule="exact"/>
        <w:rPr>
          <w:sz w:val="20"/>
          <w:szCs w:val="20"/>
          <w:color w:val="auto"/>
        </w:rPr>
      </w:pPr>
    </w:p>
    <w:p>
      <w:pPr>
        <w:spacing w:after="0" w:line="2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Purchasing and Suppliers. </w:t>
      </w:r>
      <w:r>
        <w:rPr>
          <w:rFonts w:ascii="Times New Roman" w:cs="Times New Roman" w:eastAsia="Times New Roman" w:hAnsi="Times New Roman"/>
          <w:sz w:val="18"/>
          <w:szCs w:val="18"/>
          <w:color w:val="auto"/>
        </w:rPr>
        <w:t>We believe that pricing is an important element of our marketing strategy. Because of our size, we benefit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 purchases at favorable prices that permit us to achieve a competitive pricing position in the industry. We purchase our commercial vehicle inventory and proprietary parts and accessories directly from the applicable vehicle manufacturer, wholesale distributors, or other sources that provide the most favorable pricing. Most purchasing commitments are negotiated by personnel at our corporate headquarters. Historically, we have been able to negotiate favorable pricing levels and terms, which enable us to offer competitive prices for our products.</w:t>
      </w:r>
    </w:p>
    <w:p>
      <w:pPr>
        <w:spacing w:after="0" w:line="234" w:lineRule="exact"/>
        <w:rPr>
          <w:sz w:val="20"/>
          <w:szCs w:val="20"/>
          <w:color w:val="auto"/>
        </w:rPr>
      </w:pPr>
    </w:p>
    <w:p>
      <w:pPr>
        <w:jc w:val="both"/>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Management Information Systems. </w:t>
      </w:r>
      <w:r>
        <w:rPr>
          <w:rFonts w:ascii="Times New Roman" w:cs="Times New Roman" w:eastAsia="Times New Roman" w:hAnsi="Times New Roman"/>
          <w:sz w:val="18"/>
          <w:szCs w:val="18"/>
          <w:color w:val="auto"/>
        </w:rPr>
        <w:t>We utilize our management information systems to monitor the inventory level of commercial vehicles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parts at each of our dealerships. Management tracks historic sales levels of different product lines, which enables management to identify the appropriate level and combination of inventory and forms the basis of our operating plan.</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Information received from industry analysts allows us to determine market share statistics and gross volume sales numbers for our products as well as those of competitors. Local management remains aware of changes within markets we service and are able to realign product lines and add new commercial vehicle models as demands of the market change.</w:t>
      </w:r>
    </w:p>
    <w:p>
      <w:pPr>
        <w:spacing w:after="0" w:line="228" w:lineRule="exact"/>
        <w:rPr>
          <w:sz w:val="20"/>
          <w:szCs w:val="20"/>
          <w:color w:val="auto"/>
        </w:rPr>
      </w:pPr>
    </w:p>
    <w:p>
      <w:pPr>
        <w:jc w:val="both"/>
        <w:ind w:right="6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Distribution and Inventory Management. </w:t>
      </w:r>
      <w:r>
        <w:rPr>
          <w:rFonts w:ascii="Times New Roman" w:cs="Times New Roman" w:eastAsia="Times New Roman" w:hAnsi="Times New Roman"/>
          <w:sz w:val="18"/>
          <w:szCs w:val="18"/>
          <w:color w:val="auto"/>
        </w:rPr>
        <w:t>We utilize an inventory tracking system that allows for the prompt transfer of inventory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Rush Truck Centers. The transfer of inventory reduces delays in delivery, helps maximize inventory turns and assists in controlling problems created by overstock and understock situations. Our network is linked directly to our major suppliers for purposes of ordering vehicles and parts and managing parts inventory levels. Automated reordering and communication systems allow us to maintain proper inventory levels and permit us to have inventory delivered to our locations, or directly to customers, typically within 24 hours of an order being placed.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8, 2014, the Company acquired certain assets of North Florida Truck Parts, Inc. which included a commercial parts and service facility in Lake City, Florida. The Lake City location is operating as a full-service Rush Truck Center and offers commercial vehicles manufactured by Peterbilt. The transaction was valued at approximately $1.6 million, with the purchase price paid in cash.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3, 2014, we acquired certain assets of House of Trucks, Inc., which included used commercial vehicle facilities in Willowbrook and Wilmington, Illinois. The transaction was valued at approximately $6.8 million, with the purchase price paid in cash.</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 2014, we acquired certain assets of Truck Parts Depot, Inc. which included a commercial parts and service facility in Gainesville, Georgia. The Gainesville location is operating as a full-service Rush Truck Center and offers commercial vehicles manufactured by International. The transaction was valued at approximately $500,000, with the purchase price paid in cash.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25, 2014, a joint venture was established to further expand our used commercial vehicle sales network. As a result, we own 50% of Central California Truck and Trailer Sales, LLC (“CCTTS”), which has multiple locations in California that sell used trucks. In connection with the formation of this joint venture, we contributed $2.2 million.</w:t>
      </w:r>
    </w:p>
    <w:p>
      <w:pPr>
        <w:spacing w:after="0" w:line="176"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In May 2014, we announced an agreement with 3M to pursue the design, manufacture and installation of a portfolio of compressed natural gas (“CNG”) fuel systems for use in Class 6 through 8 vehicles. The agreement allows the Company to engineer, assemble and install CNG fuel systems utilizing 3M’s CNG tanks, as well as provide market distribution and aftermarket support. In addition to the initial $2.0 million investment for research and development, which was recorded in selling, general and administrative expense, we will continue to incur expenses to bring our CNG fuel system to market.</w:t>
      </w:r>
    </w:p>
    <w:p>
      <w:pPr>
        <w:spacing w:after="0" w:line="184" w:lineRule="exact"/>
        <w:rPr>
          <w:sz w:val="20"/>
          <w:szCs w:val="20"/>
          <w:color w:val="auto"/>
        </w:rPr>
      </w:pPr>
    </w:p>
    <w:p>
      <w:pPr>
        <w:jc w:val="both"/>
        <w:ind w:right="60" w:firstLine="648"/>
        <w:spacing w:after="0" w:line="256" w:lineRule="auto"/>
        <w:rPr>
          <w:sz w:val="20"/>
          <w:szCs w:val="20"/>
          <w:color w:val="auto"/>
        </w:rPr>
      </w:pPr>
      <w:r>
        <w:rPr>
          <w:rFonts w:ascii="Times New Roman" w:cs="Times New Roman" w:eastAsia="Times New Roman" w:hAnsi="Times New Roman"/>
          <w:sz w:val="18"/>
          <w:szCs w:val="18"/>
          <w:color w:val="auto"/>
        </w:rPr>
        <w:t>In January 2014, we acquired certain assets of CIT, Inc., which did business as Chicago International Trucks, Mcgrenho L.L.C., which did business as Indy Truck Sales, and Indiana Mack Leasing, LLC; and the membership interests of Idealease of Chicago, LLC. The acquisition included International commercial vehicle dealerships and Idealease commercial vehicle rental and leasing businesses in Carol Stream, Chicago, Grayslake, Huntley, Joliet, Kankakee and Ottawa, Illinois, and Brazil, Gary and Indianapolis, Indiana. The purchase price for the assets, membership interests, goodwill and dealership properties was approximately $146.6 million, which was paid in cash and 83,091 shares of the Company’s Class B Common Stock with a total value of $2.0 million on the date of acquisition.</w:t>
      </w: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112" w:right="5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28, 2013, we acquired certain assets of Prairie International Trucks, which operated commercial vehicle dealerships and a commercial vehicle leasing operation in Bloomington, Champaign, Decatur, Quincy and Springfield, Illinois. These locations are operating as Rush Truck Centers and offer commercial vehicle sales, parts and service for International trucks. The Springfield location includes an Idealease franchise. The transaction was valued at approximately $9.5 million. A portion of the purchase price for the assets of the business was financed under our lease and rental truck financing arrangement with the remainder paid in cash.</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30, 2013, we acquired certain assets of Transauthority, Inc., Transauthority Idealease, LLC and Transauthority Idealease-Tidewater, LLC, which operated commercial vehicle dealerships and commercial vehicle leasing operations in Richmond, Suffolk, Fredericksburg and Chester, Virginia. These locations are operating as Rush Truck Centers and offer commercial vehicle sales, parts and service for International trucks. The Richmond and Norfolk locations include Idealease franchises. The transaction was valued at approximately $41.7 million, including real estate of $11.1 million. A portion of the purchase price for the assets of the business was financed under our floor plan and lease and rental truck financing arrangements with the remainder paid in cash.</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29, 2013, we acquired certain assets of Midwest Truck Sales, which operated commercial vehicle dealerships in St. Peters and St. Louis, Missouri and Olathe, Kansas. The Missouri locations are operating as Rush Truck Centers and offer commercial vehicle sales, parts and service for International trucks. The Kansas location is operating as a Rush Truck Center and offers commercial vehicle sales, parts and service capabilities for Hino and Isuzu vehicles and parts and service support for Mitsubishi Fuso trucks. The St. Peters, Missouri location includes an Idealease franchise. The transaction was valued at approximately $16.8 million, including real estate of $2.3 million, with the purchase price paid in cash.</w:t>
      </w:r>
    </w:p>
    <w:p>
      <w:pPr>
        <w:spacing w:after="0" w:line="18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 2013, we acquired certain assets of The Larson Group, Inc., which included Ford and Mitsubishi Fuso truck franchises in Cincinnati, Ohio. The transaction was valued at approximately $1.2 million, with the purchase price paid in cash.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6, 2013, we acquired certain assets of Piedmont International Trucks, LLC, which operated commercial vehicle dealerships in Statesville, Hickory and Asheville, North Carolina. The acquisition included International and Idealease franchises. These locations are operating as Rush Truck Centers and offer commercial vehicles manufactured by International in addition to parts, service, body shop, truck rental and leasing, financing and insurance capabilities. The transaction was valued at approximately $3.5 million, with the purchase price paid in cash.</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31, 2012, we acquired certain assets of MVI Group, which operated commercial vehicle and bus dealerships in Ohio under the names of Miami Valley International, Center City International, CCI North Coast and Buckeye Truck Centers. The acquisition included International, IC Bus, and Isuzu franchise locations in Akron, Cincinnati, Cleveland, Columbus, Dayton, Findlay and Lima, Ohio. These dealerships now operate as Rush Truck Centers. Rush Truck Leasing now operates Idealease truck rental and leasing franchises in Cincinnati, Cleveland, Columbus, Dayton and Lima, Ohio. The transaction, including real estate of $2.5 million, was valued at approximately $104.5 million. A portion of the purchase price for the assets of the business was financed under our floor plan and lease and rental truck financing arrangements, with the remainder paid in cash.</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15 of the Notes to Consolidated Financial Statements for a detailed discussion of the allocation of the purchase price of these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62" w:lineRule="exact"/>
        <w:rPr>
          <w:sz w:val="20"/>
          <w:szCs w:val="20"/>
          <w:color w:val="auto"/>
        </w:rPr>
      </w:pPr>
    </w:p>
    <w:p>
      <w:pPr>
        <w:ind w:left="1120" w:hanging="464"/>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accessibility of dealership locations;</w:t>
      </w:r>
    </w:p>
    <w:p>
      <w:pPr>
        <w:spacing w:after="0" w:line="225"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dealership locations representing the manufacturers that we represent and other manufacturers;</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1120" w:hanging="464"/>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dealership networks by manufacturers to provide more consistent, higher quality service across their dealer networks;</w:t>
      </w:r>
    </w:p>
    <w:p>
      <w:pPr>
        <w:spacing w:after="0" w:line="225"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value, quality and design of the products sold; and</w:t>
      </w:r>
    </w:p>
    <w:p>
      <w:pPr>
        <w:spacing w:after="0" w:line="225"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to customer service (including technical service)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dealerships compete with dealerships representing other manufacturers including commercial vehicles manufactured by Mack, Freightliner, Kenworth, Volvo, and Western Star. We believe that our dealerships are able to compete with manufacturer-owned dealers, independent dealers, independent service centers, parts wholesalers, commercial vehicle wholesalers, rental service companies and industrial auctioneers in distributing our products and providing service because of the following: the overall quality and reputation of the products we sell; the “Rush” brand name recognition and reputation for quality service; the geographic scope of our dealership network; the breadth of products offered in our dealership network; and our ability to provide comprehensive parts and service support, as well as financing, insurance and other customer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Dealership Agreements</w:t>
      </w:r>
    </w:p>
    <w:p>
      <w:pPr>
        <w:spacing w:after="0" w:line="2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Peterbilt. </w:t>
      </w:r>
      <w:r>
        <w:rPr>
          <w:rFonts w:ascii="Times New Roman" w:cs="Times New Roman" w:eastAsia="Times New Roman" w:hAnsi="Times New Roman"/>
          <w:sz w:val="18"/>
          <w:szCs w:val="18"/>
          <w:color w:val="auto"/>
        </w:rPr>
        <w:t>We have entered into nonexclusive dealership agreements with Peterbilt which authorize us to act as a dealer of Peterbilt heavy-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medium-duty trucks. Our Peterbilt areas of responsibility currently encompass areas in the states of Alabama, Arizona, California, Colorado, Florida, New Mexico, North Carolina, Oklahoma, Tennessee and Texas. These dealership agreements currently have terms expiring between August 2015 and May 2017 and impose certain operational obligations and financial requirements upon us and our dealerships. Our dealership agreements with Peterbilt may be terminated by Peterbilt in the event that the aggregate voting power of W. Marvin Rush, W.M. “Rusty” Rush, other members of the Rush family and certain executives of the Company decreases below 22%. Sales of new Peterbilt commercial vehicles accounted for approximately 38.5% of our total revenues for 2014.</w:t>
      </w:r>
    </w:p>
    <w:p>
      <w:pPr>
        <w:spacing w:after="0" w:line="23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We have entered into nonexclusive dealership agreements with Navistar which authorize us to act as a dealer of International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heavy- and medium-duty trucks and IC buses. Our Navistar areas of responsibility currently encompass areas in the states of Georgia, Idaho, Illinois, Indiana, Missouri, North Carolina, Ohio, Oregon, Utah and Virginia. These dealership agreements currently have terms expiring between May 2015 and May 2020 and impose certain operational obligations and financial requirements upon us and our dealerships. Sales of new International commercial vehicles accounted for approximately 13.3% of our total revenues for 2014.</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Commercial Vehicle Suppliers. </w:t>
      </w:r>
      <w:r>
        <w:rPr>
          <w:rFonts w:ascii="Times New Roman" w:cs="Times New Roman" w:eastAsia="Times New Roman" w:hAnsi="Times New Roman"/>
          <w:sz w:val="18"/>
          <w:szCs w:val="18"/>
          <w:color w:val="auto"/>
        </w:rPr>
        <w:t>In addition to our dealership agreements with Peterbilt, various Rush Truck Centers have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dealership agreements with other commercial vehicle manufacturers including Autocar, Blue Bird, Ford, Hino, Isuzu, Micro Bird and Mitsubishi, which currently have terms expiring between March 2015 and August 2016. These dealership agreements impose operating requirements upon us and require consent from the affected supplier for sale or transfer of such dealership agreement. Sales of non-Peterbilt and non-International commercial vehicles accounted for approximately 8.6% of our total revenues for 2014.</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termination or non-renewal of our dealership agreements must follow certain guidelines established by both state and federal legislation designed to protect motor vehicle dealers from arbitrary termination or non-renewal of franchise agreements. The federal Automobile Dealers Day in Court Act and other similar state laws provide that the termination or non-renewal of a motor vehicle dealership agreement must be done in “good faith” and upon a showing of “good cause” by the manufacturer for such termination or non-renewal, as such terms have been defined by statute and interpreted in case law.</w:t>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Floor Plan Financing</w:t>
      </w:r>
    </w:p>
    <w:p>
      <w:pPr>
        <w:spacing w:after="0" w:line="2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2014, we financed the majority of all new commercial vehicle inventory and the loan value of our used commercial vehicle inventory under a credit agreement (the “GE Credit Agreement”) with General Electric Capital Commercial, Inc. (“GE Capital”). On July 11, 2013, we entered into the third amendment to the GE Credit Agreement. The third amendment increased the aggregate loan commitment to $750.0 million. Borrowings under the GE Credit Agreement bear interest at an annual rate equal to the three month LIBOR rate, determined on the last day of the prior month, plus 2.03% and are payable monthly. In addition, we are required to pay a monthly working capital fee equal to 0.35% per annum multiplied by the amount of voluntary prepayments of new and used inventory loans. Loans under the GE Credit Agreement for the purchase of used inventory are limited to $150.0 million. Pursuant to the third amendment, the GE Credit Agreement expires July 11, 2016, although GE Capital has the right to terminate the GE Credit Agreement at any time upon 120 days’ written notice. We may terminate the GE Credit Agreement at any time, although if we do so we must pay a prepayment processing fee of (i) $7,500,000 if it terminates on or prior to July 11, 2015 or (ii) $300,000 if it terminates thereafter, subject in each case to specified limited exceptions. On December 31, 2014, we had approximately $677.8 million outstanding under the GE Credit Agreement. The average daily outstanding borrowings under the GE Credit Agreement were $561.8 million during the year ended December 31, 2014. From time to time, we utilize our excess cash on hand to pay down our outstanding borrowings under the GE Credit Agreement, and the resulting interest earned is recognized as an offset to our gross interest expense under the GE Credit Agreement.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new Ford vehicle inventory. This wholesale financing agreement bears interest at a rate of Prime plus 150 basis points minus certain incentives and rebates. The prime rate is defined to be a minimum of 3.75%. As of December 31, 2014, the interest rate on the wholesale financing agreement was 5.25% before considering the applicable incentives. As of December 31, 2014, we had an outstanding balance of $79.4 million under the Ford Motor Credit Company wholesale financing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Warranties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provide a warranty on our branded parts and related service. We also provide an extended warranty beyond the manufacturer’s warranty on new school buses sold in the State of Texas, as required by state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generally sell used commercial vehicles in “as is” condition without a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commercial vehicles.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trademarks and trade names of the manufacturers we represent, which are used in connection with our marketing and sales efforts, are subject to limited licenses included in our dealership agreements with each manufacturer. The licenses are for the same periods as our dealership agreements. These trademarks and trade names are widely recognized and are important in the marketing of our products. Each licensor engages in a continuous program of trademark and trade name protection. We hold registered trademarks from the U.S. Patent and Trademark Office for the following names used in this document: “Rush Enterprises,” “Rush Truck Center,” “Associated Truck Insurance Services,” “Chrome Country” and “Rig Tough.”</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31, 2014, we had 6,297 employees.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collective bargaining agreements covering certain employees in Chicago, Illinois, which will expire on May 6, 2017, and Joliet, Illinois, which will expire on May 5, 2018.</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strikes, work stoppages or slowdowns during the negotiations of the foregoing collective bargaining agreements or at any time in the Company’s history, although no assurances can be given that such actions will not occur.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governments, corporations and owner operators. However, commercial vehicle parts and service operations historically have experienced higher sales volumes in the second and third quarters.</w:t>
      </w:r>
    </w:p>
    <w:p>
      <w:pPr>
        <w:sectPr>
          <w:pgSz w:w="11900" w:h="16838" w:orient="portrait"/>
          <w:cols w:equalWidth="0" w:num="1">
            <w:col w:w="11060"/>
          </w:cols>
          <w:pgMar w:left="240" w:top="112" w:right="5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type w:val="continuous"/>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31, 2014, our backlog of commercial vehicle orders was approximately $1,502.8 million as compared to a backlog of commercial vehicle orders of approximately $810.2 million on December 31, 2013.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December 31, 2014 and we expect to fill the majority of our backlog orders during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Standards and Other Governmental Regulations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aftermarket services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prohibit discharges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do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impacts are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180" w:firstLine="648"/>
        <w:spacing w:after="0" w:line="255" w:lineRule="auto"/>
        <w:rPr>
          <w:sz w:val="20"/>
          <w:szCs w:val="20"/>
          <w:color w:val="auto"/>
        </w:rPr>
      </w:pPr>
      <w:r>
        <w:rPr>
          <w:rFonts w:ascii="Times New Roman" w:cs="Times New Roman" w:eastAsia="Times New Roman" w:hAnsi="Times New Roman"/>
          <w:sz w:val="18"/>
          <w:szCs w:val="18"/>
          <w:color w:val="auto"/>
        </w:rPr>
        <w:t>In 2010, the Environmental Protection Agency (“EPA”) and the U.S. Department of Transportation (“DOT”) announced the first national standards to reduce greenhouse gas (“GHG”) emissions and improve fuel efficiency of heavy-duty trucks and buses beginning in model year 2014. The final rules, which were issued on September 15, 2011, began to apply in 2014, and will be fully implemented in model year 2017. The EPA and DOT have announced plans to extend these standards beyond model year 2018, but have not yet proposed regulations. We do not believe that the foregoing standards will negatively impact our business, however, future legislation or other new regulations that may be adopted to address GHG emissions may negatively impact our business.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is subject to certain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adversely affected. If this were to happen, the value of our common stock could decline significantly, and you could lose all or part of your investment. This report is qualified in its entirety by these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upon PACCAR for the supply of Peterbilt trucks and parts, the sale of which generates the majority of our revenues.</w:t>
      </w:r>
    </w:p>
    <w:p>
      <w:pPr>
        <w:spacing w:after="0" w:line="227" w:lineRule="exact"/>
        <w:rPr>
          <w:sz w:val="20"/>
          <w:szCs w:val="20"/>
          <w:color w:val="auto"/>
        </w:rPr>
      </w:pPr>
    </w:p>
    <w:p>
      <w:pPr>
        <w:jc w:val="both"/>
        <w:ind w:right="180" w:firstLine="648"/>
        <w:spacing w:after="0" w:line="261" w:lineRule="auto"/>
        <w:rPr>
          <w:sz w:val="20"/>
          <w:szCs w:val="20"/>
          <w:color w:val="auto"/>
        </w:rPr>
      </w:pPr>
      <w:r>
        <w:rPr>
          <w:rFonts w:ascii="Times New Roman" w:cs="Times New Roman" w:eastAsia="Times New Roman" w:hAnsi="Times New Roman"/>
          <w:sz w:val="18"/>
          <w:szCs w:val="18"/>
          <w:color w:val="auto"/>
        </w:rPr>
        <w:t>At certain Rush Truck Centers, we operate as a dealer of Peterbilt trucks and parts pursuant to dealership agreements with Peterbilt, a division of PACCAR. We have no control over the management or operation of Peterbilt or PACCAR. During 2014, the majority of our revenues resulted from sales of trucks purchased from Peterbilt and parts purchased from PACCAR Parts. Due to our dependence on PACCAR and Peterbilt, we believe that our long-term success depends, in large part, on the following:</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Peterbilt;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competitively-priced, high quality Peterbilt trucks by Peterbilt in quantities sufficient to meet our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PACCAR and Peterbilt;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PACCAR’s continuation of its Peterbilt division;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Peterbilt brand, which can be adversely affected by decisions made by PACCAR, Peterbilt and the owners of other Peterbilt dealerships.</w:t>
      </w:r>
    </w:p>
    <w:p>
      <w:pPr>
        <w:spacing w:after="0" w:line="162" w:lineRule="exact"/>
        <w:rPr>
          <w:sz w:val="20"/>
          <w:szCs w:val="20"/>
          <w:color w:val="auto"/>
        </w:rPr>
      </w:pPr>
    </w:p>
    <w:p>
      <w:pPr>
        <w:jc w:val="both"/>
        <w:ind w:right="180" w:firstLine="648"/>
        <w:spacing w:after="0" w:line="282"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PACCAR, could have a material adverse effect on our operations, revenues and profitability.</w:t>
      </w:r>
    </w:p>
    <w:p>
      <w:pPr>
        <w:spacing w:after="0" w:line="160" w:lineRule="exact"/>
        <w:rPr>
          <w:sz w:val="20"/>
          <w:szCs w:val="20"/>
          <w:color w:val="auto"/>
        </w:rPr>
      </w:pPr>
    </w:p>
    <w:p>
      <w:pPr>
        <w:jc w:val="both"/>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upon Navistar for the supply of International trucks and parts and IC busses and parts, the sale of which generate a significant portion of our revenues.</w:t>
      </w:r>
    </w:p>
    <w:p>
      <w:pPr>
        <w:spacing w:after="0" w:line="160" w:lineRule="exact"/>
        <w:rPr>
          <w:sz w:val="20"/>
          <w:szCs w:val="20"/>
          <w:color w:val="auto"/>
        </w:rPr>
      </w:pPr>
    </w:p>
    <w:p>
      <w:pPr>
        <w:jc w:val="both"/>
        <w:ind w:right="180" w:firstLine="648"/>
        <w:spacing w:after="0" w:line="258" w:lineRule="auto"/>
        <w:rPr>
          <w:sz w:val="20"/>
          <w:szCs w:val="20"/>
          <w:color w:val="auto"/>
        </w:rPr>
      </w:pPr>
      <w:r>
        <w:rPr>
          <w:rFonts w:ascii="Times New Roman" w:cs="Times New Roman" w:eastAsia="Times New Roman" w:hAnsi="Times New Roman"/>
          <w:sz w:val="18"/>
          <w:szCs w:val="18"/>
          <w:color w:val="auto"/>
        </w:rPr>
        <w:t>At certain Rush Truck Centers, we operate as a dealer of International trucks and parts and IC busses and parts pursuant to dealership agreements with International and IC Bus, each of which are divisions of Navistar. We have no control over the management or operation of International, IC Bus or Navistar. During 2014, a significant portion of our revenues resulted from sales of trucks purchased from International, busses purchased from IC Bus and parts purchased from Navistar. Due to our dependence on Navistar, International and IC Bus, we believe that our long-term success depends, in large part, on the following:</w:t>
      </w:r>
    </w:p>
    <w:p>
      <w:pPr>
        <w:spacing w:after="0" w:line="184" w:lineRule="exact"/>
        <w:rPr>
          <w:sz w:val="20"/>
          <w:szCs w:val="20"/>
          <w:color w:val="auto"/>
        </w:rPr>
      </w:pPr>
    </w:p>
    <w:p>
      <w:pPr>
        <w:ind w:left="5620" w:right="4820" w:hanging="5288"/>
        <w:spacing w:after="0" w:line="814" w:lineRule="auto"/>
        <w:tabs>
          <w:tab w:leader="none" w:pos="6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dealership agreements with International and IC Bus;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40"/>
          </w:cols>
          <w:pgMar w:left="240" w:top="112" w:right="41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and delivery of competitively-priced, high quality International trucks and IC busses in quantities sufficient to meet our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success of Navistar;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goodwill associated with the International and IC Bus brands, which can be adversely affected by decisions made by Navistar and the owners of other International and IC Bus dealerships.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negative change in any of the preceding, or a change in control of Navistar, could have a material adverse effect on our operations, revenues and profitability.</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dealership agreements may be terminable upon a change of control and we cannot control whether our controlling shareholder and management maintain their current ownership positions.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 (i) with respect to the election of directors, the aggregate voting power held by W. Marvin Rush, W. M. “Rusty” Rush, Barbara Rush, Robin M. Rush, David C. Orf, James Thor, Martin A. Naegelin, Scott Anderson, Derrek Weaver, Steven Keller, Corey Lowe and Rich Ryan (collectively, the “Dealer Principals”) decreases below 22% (such persons controlled 29.8% of the aggregate voting power with respect to the election of directors as of December 31, 2014); or (ii) any person or entity other than the Dealer Principals and their respective associates or any person or entity who has been approved in writing by PACCAR, owns common stock with a greater percentage of the voting power with respect to the election of our directors than the Dealer Principals and their respective associates, in the aggregate, or any person other than W. Marvin Rush, W. M. “Rusty” Rush, Robin M. Rush or any person who has been approved in writing by PACCAR holds the office of Chairman of the Board, President or Chief Executive Officer of the Company. We have no control over the transfer or disposition by W. Marvin Rush or by his estate of his common stock. If W. Marvin Rush or W.M. “Rusty” Rush were to sell their Class B Common Stock or bequest their Class B Common Stock to a person or entity other than the Dealer Principles or if their estates are required to liquidate their Class B Common Stock to pay estate taxes or otherwise, the change of control provisions of the Peterbilt dealership agreements may be triggered and give Peterbilt the right to terminate our dealership agreements. If our dealership agreements with Peterbilt are terminated, we will lose the right to purchase Peterbilt products and operate as an authorized Peterbilt dealer, which would have a material adverse effect on our operations, revenues and profitability.</w:t>
      </w:r>
    </w:p>
    <w:p>
      <w:pPr>
        <w:spacing w:after="0" w:line="19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state dealer laws are repealed or weakened, our dealerships will be more susceptible to termination, nonrenewal or renegotiation of their dealership agreements.</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depend on our vehicle dealership agreements for a substantial portion of our revenues and profitability.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motor vehicle dealer laws. If motor vehicle dealer laws are repealed or amended in the states in which we operate dealerships, the manufacturers we represent may be able to terminate our vehicle dealership agreements without providing advance notice, an opportunity to cure or a showing of good cause. Without the protection of state dealer laws, or if such laws are weakened, we will be subject to higher risk of termination or non-renewal of our vehicle dealership agreements. Termination or non-renewal of our vehicle dealership agreements would have a material adverse effect on our operations, revenues and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required to obtain additional financing to maintain adequate inventory levels.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requires inventories held for sale to be maintained at dealer locations in order to facilitate immediate sales to customers on demand. We generally purchase inventories with the assistance of floor plan financing agreements. Our primary floor plan financing agreement, the GE Credit Agreement, may be terminated without cause upon 120 days’ notice. In the event that our floor plan financing becomes insufficient to satisfy our future requirements or our floor plan providers are unable to continue to extend credit under our floor plan agreements, we would need to obtain similar financing from other sources. There is no assurance that such additional floor plan financing or alternate financing could be obtained or, if obtained, that it will be on commercially reasonable terms.</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in the carrying value of goodwill and other indefinite-lived intangible assets could negatively affect our operating results.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substantial amount of goodwill on our balance sheet as a result of acquisitions we have completed. Approximately 98% of this goodwill is concentrated in our Truck Segment. The carrying value of goodwill represents the fair value of an acquired business in excess of identifiable assets and liabilities as of the acquisition date. Goodwill is not amortized, but instead is evaluated for impairment at least annually, or more frequently if potential interim indicators exist that could result in impairment. In testing for impairment, if the carrying value of a reporting unit exceeds its current fair value as determined based on the discounted future cash flows of the reporting unit, the goodwill is considered impaired and is reduced to fair value via a non-cash charge to earnings. Events and conditions that could result in impairment include weak economic activity, adverse changes in the regulatory environment, any matters that impact the ability of the manufacturers we represent to provide trucks to us, issues with our franchise rights, or other factors leading to reductions in expected long-term sales or profitability. Determination of the fair value of a reporting unit includes developing estimates that are highly subjective and incorporate calculations that are sensitive to minor changes in underlying assumptions. Management’s assumptions are subject to change as more information becomes available. Changes in these assumptions could result in an impairment charge in the future, which could have a significant adverse impact on our reported earnings. See “Management’s Discussion and Analysis of Financial Condition and Results of Operations — Critical Accounting Policies and Estimates — Goodwill” for more information regarding the potential impact of changes in assumptions.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interest rates could have a material adverse effect on our profitability.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GE Credit Agreement and some of our other debt are subject to variable interest rates. Therefore, our interest expense would rise with any increase in interest rates. A rise in interest rates may also have the effect of depressing demand in the interest rate sensitive aspects of our business, particularly new and used commercial vehicle sales, because many of our customers finance such purchases. As a result, a rise in interest rates may have the effect of simultaneously increasing our costs and reducing our revenues, which could materially affect our business, financial condition and results of operations. See “Quantitative and Qualitative Disclosures about Market Risk” for a discussion regarding our interest rate sensitivity.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is subject to a number of economic risks.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New and used commercial vehicle retail sales tend to experience periods of decline when general economic conditions worsen, characterized by oversupply and weak demand. We may experience sustained periods of decreased commercial vehicle sales in the future. Any decline or change of this type could materially affect our business, financial condition and results of operations. In addition, adverse regional economic and competitive conditions in the geographic markets in which we operate could materially adversely affect our business, financial condition and results of operations. Our new commercial vehicle sales volume therefore may differ from industry sales fluctuations.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Economic conditions and the other factors described above also may materially adversely impact our sales of parts and repair services, and finance and insurance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percentage of our revenues come from customers in the oil and gas exploration and production industry, a historically cyclical industry.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Several of our large customers provide oil and gas production services. The oil and gas exploration and production industry is a historically cyclical industry characterized by significant changes in the levels of exploration and development activities. Oil and gas prices, and market expectations of potential changes in those prices, significantly affect the levels of those activities. Any reduction in the overall level of exploration and development activities, whether resulting from changes in oil and gas prices or otherwise, could materially adversely affect our business, financial condition and results of operations.</w:t>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90" w:lineRule="exact"/>
        <w:rPr>
          <w:sz w:val="20"/>
          <w:szCs w:val="20"/>
          <w:color w:val="auto"/>
        </w:rPr>
      </w:pPr>
    </w:p>
    <w:p>
      <w:pPr>
        <w:jc w:val="both"/>
        <w:ind w:right="12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success depends significantly upon the efforts and abilities of our executive management and key employees. Additionally, our business is dependent upon our ability to continue to attract and retain qualified personnel, such as executive officers, managers and dealership personnel. The loss of the services of one or more members of our senior management team could have a material adverse effect on us and materially impair the efficiency and productivity of our operations. In addition, the loss of any of our key employees or the failure to attract additional qualified executive officers, managers and dealership personnel could have a material adverse effect on our business and may materially impact the ability of our dealerships to conduct their operations in accordance with our business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depend on relationships with suppliers for sales incentives, discounts and similar programs which are material to our operations.</w:t>
      </w:r>
    </w:p>
    <w:p>
      <w:pPr>
        <w:spacing w:after="0" w:line="227"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depend on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have a material adverse effect on our profitability.</w:t>
      </w:r>
    </w:p>
    <w:p>
      <w:pPr>
        <w:spacing w:after="0" w:line="178" w:lineRule="exact"/>
        <w:rPr>
          <w:sz w:val="20"/>
          <w:szCs w:val="20"/>
          <w:color w:val="auto"/>
        </w:rPr>
      </w:pPr>
    </w:p>
    <w:p>
      <w:pPr>
        <w:jc w:val="both"/>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the ongoing success of the manufacturers we represent and adverse conditions affecting the manufacturers we represent may negatively impact our revenues and profitability.</w:t>
      </w:r>
    </w:p>
    <w:p>
      <w:pPr>
        <w:spacing w:after="0" w:line="160" w:lineRule="exact"/>
        <w:rPr>
          <w:sz w:val="20"/>
          <w:szCs w:val="20"/>
          <w:color w:val="auto"/>
        </w:rPr>
      </w:pPr>
    </w:p>
    <w:p>
      <w:pPr>
        <w:jc w:val="both"/>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success of each of our dealerships is dependent on the manufacturers represented at each dealership in several ways. Our ability to sell new vehicles and replacement parts is dependent on the ability of the manufacturers we represent to produce and deliver new vehicles and replacement parts to our dealerships. Additionally, our dealerships perform warranty work for vehicles under manufacturer product warranties, which are billed to the appropriate vehicle manufacturer or component supplier as opposed to invoicing our customer. We generally have significant receivables from manufacturers for warranty and service work performed for our customers. In addition, we rely on manufacturers to varying extents for product training, marketing materials, and other items for our stores. Our business, results of operations, and financial condition could be materially adversely affected as a result of any event that has a material adverse effect on the manufacturers we represent.</w:t>
      </w:r>
    </w:p>
    <w:p>
      <w:pPr>
        <w:spacing w:after="0" w:line="189"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manufacturers we represent may be adversely impacted by economic downturns, significant declines in the sales of their new vehicles, labor strikes or similar disruptions (including within their major suppliers), rising raw materials costs, rising employee benefit costs, adverse publicity that may reduce consumer demand for their products (including due to bankruptcy), product defects, vehicle recall campaigns, litigation, poor product mix or unappealing vehicle design, governmental laws and regulations, or other adverse events. Our results of operations, financial condition or cash flows could be adversely affected if one or more of the manufacturers we represent are impacted by any of the foregoing adverse events.</w:t>
      </w:r>
    </w:p>
    <w:p>
      <w:pPr>
        <w:spacing w:after="0" w:line="184" w:lineRule="exact"/>
        <w:rPr>
          <w:sz w:val="20"/>
          <w:szCs w:val="20"/>
          <w:color w:val="auto"/>
        </w:rPr>
      </w:pPr>
    </w:p>
    <w:p>
      <w:pPr>
        <w:jc w:val="both"/>
        <w:ind w:right="120" w:firstLine="648"/>
        <w:spacing w:after="0" w:line="255" w:lineRule="auto"/>
        <w:rPr>
          <w:sz w:val="20"/>
          <w:szCs w:val="20"/>
          <w:color w:val="auto"/>
        </w:rPr>
      </w:pPr>
      <w:r>
        <w:rPr>
          <w:rFonts w:ascii="Times New Roman" w:cs="Times New Roman" w:eastAsia="Times New Roman" w:hAnsi="Times New Roman"/>
          <w:sz w:val="18"/>
          <w:szCs w:val="18"/>
          <w:color w:val="auto"/>
        </w:rPr>
        <w:t>Actions taken in response to continued operational losses by manufacturers we represent, including bankruptcy or reorganizations, could have a material adverse effect on our sales volumes and profitability. In addition, such actions could lead to the impairment of one or more of our franchise rights, inventories, fixed assets and other related assets, which in turn could have a material adverse effect on our financial condition and results of operations. For example, during the second quarter of 2009, General Motors made the decision to terminate its medium-duty GMC truck production and wind-down our medium-duty GMC truck franchises, which forced us to take a significant pre-tax asset impairment charge in the second quarter of 2009. Actions taken in response to continued operational losses by manufacturers we represent, including bankruptcy or reorganizations, could also eliminate or reduce such manufacturers’ indemnification obligations to our dealerships, which could increase our risk in products liability actions.</w:t>
      </w:r>
    </w:p>
    <w:p>
      <w:pPr>
        <w:spacing w:after="0" w:line="187" w:lineRule="exact"/>
        <w:rPr>
          <w:sz w:val="20"/>
          <w:szCs w:val="20"/>
          <w:color w:val="auto"/>
        </w:rPr>
      </w:pPr>
    </w:p>
    <w:p>
      <w:pPr>
        <w:jc w:val="both"/>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Our dealership agreements are non-exclusive and have relatively short terms which could result in non-renewal or imposition of less favorable terms upon renewal.</w:t>
      </w:r>
    </w:p>
    <w:p>
      <w:pPr>
        <w:spacing w:after="0" w:line="160"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dealership agreements generally do not provide us with exclusive dealerships in any territory. The manufacturers we represent could elect to create additional dealers in our market areas in the future, subject to restrictions imposed by state laws. While dealership agreements typically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dealers engage in similar activities within our territories.</w:t>
      </w:r>
    </w:p>
    <w:p>
      <w:pPr>
        <w:spacing w:after="0" w:line="184"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dealership agreements with the manufacturers we represent have current terms expiring between March 2015 and May 2020. Upon expiration of each agreement, we must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ectPr>
          <w:pgSz w:w="11900" w:h="16838" w:orient="portrait"/>
          <w:cols w:equalWidth="0" w:num="1">
            <w:col w:w="11180"/>
          </w:cols>
          <w:pgMar w:left="240" w:top="111" w:right="4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111" w:right="479" w:bottom="1440" w:gutter="0" w:footer="0" w:header="0"/>
          <w:type w:val="continuous"/>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dollar amount of our backlog, as stated at any given time, is not necessarily indicative of our future earnings.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our backlog of new commercial vehicle orders was approximately $1,502.8 million. Our backlog is determined quarterly by multiplying the number of new commercial vehicles for each particular type of commercial vehicle ordered by a customer at our Rush Truck Centers by the recent average selling price for that type of commercial vehicle. We only include confirmed orders in our backlog. However, such orders are subject to cancellation. In the event of order cancellation, we have no contractual right to the total revenues reflected in our backlog.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Reductions in backlog due to cancellation by a customer or for other reasons will adversely affect, potentially to a material extent, the revenue and profit we actually receive from orders projected in our backlog. If we were to experience significant cancellations of orders in our backlog, our financial condition could be adversely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dealerships are subject to federal, state and local environmental regulations that may result in claims and liabilities, which could be material.</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Any non-compliance with these laws and regulations could result in significant fines, penalties and remediation costs which could adversely affect our results of operations, financial condition or cash flows.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third-party recycling, treatment, or disposal facilities under federal and state statutes. In that case, laws and regulations may make us responsible for liability relating to the investigation and remediation of contamination without regard to fault or the legality of the conduct that contributed to the contamination. In connection with our acquisitions, it is possible that we will assume or become subject to new or unforeseen environmental costs or liabilities, some of which may be material. In connection with dispositions of businesses, or dispositions previously made by companies we acquire, we may retain exposure for environmental costs and liabilities, some of which may be material.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environmental laws and regulations are complex and subject to change.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to our information technology systems and breaches in data security could adversely affect our business.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rely upon our information technology systems to manage all aspects of our business, including processing and recording sales to, and payments from, customers, managing inventory, communicating with manufacturers and vendors and financial reporting. Any inability to manage these systems, including with respect to matters related to system and data security, privacy, reliability, compliance, performance and access, as well as any inability of these systems to fulfill their intended purpose within our business, could have an adverse effect on our business. In addition, in the ordinary course of business, we collect and store sensitive data and information, including our proprietary business information and that of our customers, suppliers and business partners, as well as personally identifiable information about our employees. Despite the security measures we have in place, our facilities and systems, and those of our third-party service providers, could be vulnerable to security breaches, computer viruses, lost or misplaced data, programming errors, human errors, acts of vandalism, or other events. Any security breach or event resulting in the misappropriation, loss, or other unauthorized disclosure of confidential information, whether by us directly or our third-party service providers, could adversely affect our business operations, sales, reputation with current and potential customers, associates or vendors and result in litigation or regulatory actions, all of which could have a material adverse effect on our business and reputation.</w:t>
      </w: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disasters and adverse weather events can disrupt our business.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dealerships are located in regions of the United States where natural disasters and severe weather events (such as hurricanes, earthquakes, fires, floods and hail storms) may disrupt our operations, which may adversely impact our business, results of operations, financial condition and cash flows. In addition to business interruption, our business is subject to substantial risk of property loss due to the significant concentration of property at dealership locations. Although we have substantial insurance to cover this risk, we may be exposed to uninsured or underinsured losses that could have a material adverse effect on our business, financial condition,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controlled by two shareholders and their affiliates.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Collectively, W. Marvin Rush and W. M. “Rusty” Rush and their affiliates own approximately 0.05% of our issued and outstanding shares of Class A Common Stock and 34.1% of our issued and outstanding Class B Common Stock. W. Marvin Rush and W.M. “Rusty” Rush collectively control approximately 29.7% of the aggregate voting power of our outstanding shares and voting power which is superior to that of any other person or group. The interests of W. Marvin Rush and W.M. “Rusty” Rush may not be consistent with the interests of all shareholders. As a result of such ownership, W. Marvin Rush and W.M. “Rusty” Rush have the power to effectively control the Company, including the election of directors, the determination of matters requiring shareholder approval and other matters pertaining to corporate governance.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dealership agreements could discourage another company from acquiring us.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dealership agreements with Peterbilt impose ownership requirements on officers of the Company. All of our dealer agreements include restrictions on the sale or transfer of the underlying franchises. These ownership requirements and restrictions may prevent or deter prospective acquirers from acquiring control of us and, therefore, may adversely impact the value of our common stock.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W. Marvin Rush and W.M. “Rusty” Rush have granted Peterbilt a right of first refusal to purchase their respective shares of common stock in the event that they desire to transfer in excess of 100,000 shares in any 12-month period to any person other than an immediate family member, an associate or another Dealer Principal. However, in the case of W. Marvin Rush, certain shares of his Class B Common Stock of the Company are exempt from his rights of first refusal agreement. These rights of first refusal, the number of shares owned by W. Marvin Rush and W.M. “Rusty” Rush and their affiliates, the requirement in our dealership agreements that the Dealer Principals retain a controlling interest in us, the restrictions on the sale or transfer of our franchises contained in our dealer agreements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These restrictions may also inhibit our ability to raise required capital or to issue our stock as consideration for future acquisitions.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has limited voting power.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any preferred shares. However, holders of Class A Common Stock have 1/20th of one vote per share on all matters requiring a shareholder vote, while holders of Class B Common Stock have one full vote per share.</w:t>
      </w:r>
    </w:p>
    <w:p>
      <w:pPr>
        <w:spacing w:after="0" w:line="200" w:lineRule="exact"/>
        <w:rPr>
          <w:sz w:val="20"/>
          <w:szCs w:val="20"/>
          <w:color w:val="auto"/>
        </w:rPr>
      </w:pPr>
    </w:p>
    <w:p>
      <w:pPr>
        <w:spacing w:after="0" w:line="27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2"/>
          <w:szCs w:val="22"/>
          <w:i w:val="1"/>
          <w:iCs w:val="1"/>
          <w:color w:val="auto"/>
        </w:rPr>
        <w:t>Our Class B Common Stock has a low average daily trading volume. As a result, sales of our Class B Common Stock could cause the market price of our Class B Common Stock to drop, and it may be difficult for a stockholder to liquidate its position in our Class B Common Stock quickly without adversely affecting the market price of such shares.</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market price of our Class B Common Stock has historically been lower than the market price of our Class A Common Stock. The volume of trading in our Class B Common Stock varies greatly and may often be light. As of December 31, 2014, the three-month average daily trading volume of our Class B Common Stock was approximately 9,000 shares, with several days having a trading volume below 1,000 shares. If any large shareholder were to begin selling shares in the market, the added available supply of shares could cause the market price of our Class B Common Stock to drop. In addition, the lack of a robust resale market may require a shareholder to sell a large number of shares of our Class B Common Stock in increments over time to mitigate any adverse impact of the sales on the market price of our Class B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corporate headquarters are located in New Braunfels, Texas. As of December 2014, we also own or lease numerous facilities used in our operations in the following states: Alabama, Arizona, California, Colorado, Florida, Georgia, Idaho, Illinois, Indiana, Kansas, Missouri, New Mexico, North Carolina, Ohio, Oklahoma, Oregon, Tennessee, Texas, Utah and Virginia.</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 hangar in New Braunfels, Texas for the corporate aircraft. We also own and operate a guest ranch of approximately 9,500 acres near Cotulla, Texas, which is used for client development purposes.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our financial condition or results of operations. We believe that there are no claims or litigation pending, the outcome of which could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trades on The NASDAQ Global Select Market</w:t>
      </w:r>
      <w:r>
        <w:rPr>
          <w:rFonts w:ascii="Times New Roman" w:cs="Times New Roman" w:eastAsia="Times New Roman" w:hAnsi="Times New Roman"/>
          <w:sz w:val="30"/>
          <w:szCs w:val="30"/>
          <w:color w:val="auto"/>
          <w:vertAlign w:val="superscript"/>
        </w:rPr>
        <w:t>SM</w:t>
      </w:r>
      <w:r>
        <w:rPr>
          <w:rFonts w:ascii="Times New Roman" w:cs="Times New Roman" w:eastAsia="Times New Roman" w:hAnsi="Times New Roman"/>
          <w:sz w:val="18"/>
          <w:szCs w:val="18"/>
          <w:color w:val="auto"/>
        </w:rPr>
        <w:t xml:space="preserve"> under the symbols RUSHA and RUSHB.</w:t>
      </w:r>
    </w:p>
    <w:p>
      <w:pPr>
        <w:spacing w:after="0" w:line="111" w:lineRule="exact"/>
        <w:rPr>
          <w:sz w:val="20"/>
          <w:szCs w:val="20"/>
          <w:color w:val="auto"/>
        </w:rPr>
      </w:pPr>
    </w:p>
    <w:p>
      <w:pPr>
        <w:jc w:val="both"/>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high and low sales prices for the Class A Common Stock and Class B Common Stock for the fiscal periods indicated and as quoted on The NASDAQ Global Select Market</w:t>
      </w:r>
      <w:r>
        <w:rPr>
          <w:rFonts w:ascii="Times New Roman" w:cs="Times New Roman" w:eastAsia="Times New Roman" w:hAnsi="Times New Roman"/>
          <w:sz w:val="11"/>
          <w:szCs w:val="11"/>
          <w:color w:val="auto"/>
        </w:rPr>
        <w:t>SM</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80" w:type="dxa"/>
            <w:vAlign w:val="bottom"/>
          </w:tcPr>
          <w:p>
            <w:pPr>
              <w:spacing w:after="0"/>
              <w:rPr>
                <w:sz w:val="24"/>
                <w:szCs w:val="24"/>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Low</w:t>
            </w:r>
          </w:p>
        </w:tc>
        <w:tc>
          <w:tcPr>
            <w:tcW w:w="26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80" w:type="dxa"/>
            <w:vAlign w:val="bottom"/>
          </w:tcPr>
          <w:p>
            <w:pPr>
              <w:spacing w:after="0"/>
              <w:rPr>
                <w:sz w:val="24"/>
                <w:szCs w:val="2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10"/>
        </w:trPr>
        <w:tc>
          <w:tcPr>
            <w:tcW w:w="4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6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26.32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20.62</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36.15</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31.19</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28.15</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21.82</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27.86</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38.27</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30.71</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30.38</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r>
      <w:tr>
        <w:trPr>
          <w:trHeight w:val="216"/>
        </w:trPr>
        <w:tc>
          <w:tcPr>
            <w:tcW w:w="46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Common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31.64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24.04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32.88</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28.96</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24.00</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19.58</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25.99</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21.59</w:t>
            </w:r>
          </w:p>
        </w:tc>
      </w:tr>
    </w:tbl>
    <w:p>
      <w:pPr>
        <w:spacing w:after="0" w:line="198" w:lineRule="exact"/>
        <w:rPr>
          <w:sz w:val="20"/>
          <w:szCs w:val="20"/>
          <w:color w:val="auto"/>
        </w:rPr>
      </w:pPr>
    </w:p>
    <w:p>
      <w:pPr>
        <w:jc w:val="both"/>
        <w:ind w:right="380" w:firstLine="648"/>
        <w:spacing w:after="0" w:line="282" w:lineRule="auto"/>
        <w:rPr>
          <w:sz w:val="20"/>
          <w:szCs w:val="20"/>
          <w:color w:val="auto"/>
        </w:rPr>
      </w:pPr>
      <w:r>
        <w:rPr>
          <w:rFonts w:ascii="Times New Roman" w:cs="Times New Roman" w:eastAsia="Times New Roman" w:hAnsi="Times New Roman"/>
          <w:sz w:val="18"/>
          <w:szCs w:val="18"/>
          <w:color w:val="auto"/>
        </w:rPr>
        <w:t>As of February 10, 2015, there were approximately 30 record holders of the Class A Common Stock and approximately 40 record holders of the Class B Common Stock.</w:t>
      </w:r>
    </w:p>
    <w:p>
      <w:pPr>
        <w:spacing w:after="0" w:line="162"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did not pay dividends during the fiscal year ended December 31, 2014, or the fiscal year ended December 31, 2013. The Board of Directors intends to retain any earnings of the Company to support operations and to finance expansion.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2014, we have not sold any securities in the last three years that were not registered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repurchased shares of the Company’s Class B common stock during the fourth quarter of 2014. A summary of the repurchase activity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38"/>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(1)(2)(3)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 (1)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Programs (3)</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October 31, 2014</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20,274</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30,030,014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November 1 – November 30, 2014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22,744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30.68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29,332,240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December 31, 2014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423,702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28,366,725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423,702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28,366,725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B common stock repurchased by the Company.</w:t>
      </w:r>
    </w:p>
    <w:p>
      <w:pPr>
        <w:spacing w:after="0" w:line="9" w:lineRule="exact"/>
        <w:rPr>
          <w:rFonts w:ascii="Times New Roman" w:cs="Times New Roman" w:eastAsia="Times New Roman" w:hAnsi="Times New Roman"/>
          <w:sz w:val="18"/>
          <w:szCs w:val="18"/>
          <w:color w:val="auto"/>
        </w:rPr>
      </w:pPr>
    </w:p>
    <w:p>
      <w:pPr>
        <w:ind w:left="660" w:right="260" w:hanging="652"/>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shares under a program announced on February 4, 2014, which authorized the repurchase of up to $40.0 million of its shares of Class A common stock, $.01 par value per share, and/or Class B common stock, $.01 par value per share. The stock repurchase program was set to expire on February 3, 2015. The Company announced an extension of the $40 million stock program on January 29, 2015, which terminates on February 3, 2016.</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graph shows the value as of December 31, 2014, of a $100 investment in the Company’s common stock made on December 31, 2009 (with dividends reinvested), as compared with similar investments based on (i) the value of the S&amp;P 500 Index (with dividends reinvested) and</w:t>
      </w:r>
    </w:p>
    <w:p>
      <w:pPr>
        <w:jc w:val="both"/>
        <w:ind w:firstLine="8"/>
        <w:spacing w:after="0" w:line="254" w:lineRule="auto"/>
        <w:tabs>
          <w:tab w:leader="none" w:pos="2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 market-weighted Peer Group Index composed of the common stock of Paccar, Inc., Werner Enterprises, Inc., Penske Automotive Group, Inc. and Lithia Motors, Inc., in each case on a “total return” basis assuming reinvestment of dividends. The market-weighted Peer Group Index values were calculated from the beginning of the performance period. The historical stock performance shown below is not necessarily indicative of future expected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300990</wp:posOffset>
            </wp:positionV>
            <wp:extent cx="3319145" cy="2298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1914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Measurement Date</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Rush Enterprises, Inc.</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S&amp;P 500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Peer Group</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CCEEFF"/>
          </w:tcPr>
          <w:p>
            <w:pPr>
              <w:jc w:val="right"/>
              <w:ind w:right="2970"/>
              <w:spacing w:after="0"/>
              <w:rPr>
                <w:sz w:val="20"/>
                <w:szCs w:val="20"/>
                <w:color w:val="auto"/>
              </w:rPr>
            </w:pPr>
            <w:r>
              <w:rPr>
                <w:rFonts w:ascii="Times New Roman" w:cs="Times New Roman" w:eastAsia="Times New Roman" w:hAnsi="Times New Roman"/>
                <w:sz w:val="18"/>
                <w:szCs w:val="18"/>
                <w:color w:val="auto"/>
                <w:w w:val="95"/>
              </w:rPr>
              <w:t>12/31/2009</w:t>
            </w: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w w:val="95"/>
              </w:rPr>
              <w:t>12/31/2010</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2970"/>
              <w:spacing w:after="0"/>
              <w:rPr>
                <w:sz w:val="20"/>
                <w:szCs w:val="20"/>
                <w:color w:val="auto"/>
              </w:rPr>
            </w:pPr>
            <w:r>
              <w:rPr>
                <w:rFonts w:ascii="Times New Roman" w:cs="Times New Roman" w:eastAsia="Times New Roman" w:hAnsi="Times New Roman"/>
                <w:sz w:val="18"/>
                <w:szCs w:val="18"/>
                <w:color w:val="auto"/>
                <w:w w:val="95"/>
              </w:rPr>
              <w:t>12/31/2011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w w:val="95"/>
              </w:rPr>
              <w:t>12/31/2012</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jc w:val="right"/>
              <w:ind w:right="2970"/>
              <w:spacing w:after="0"/>
              <w:rPr>
                <w:sz w:val="20"/>
                <w:szCs w:val="20"/>
                <w:color w:val="auto"/>
              </w:rPr>
            </w:pPr>
            <w:r>
              <w:rPr>
                <w:rFonts w:ascii="Times New Roman" w:cs="Times New Roman" w:eastAsia="Times New Roman" w:hAnsi="Times New Roman"/>
                <w:sz w:val="18"/>
                <w:szCs w:val="18"/>
                <w:color w:val="auto"/>
                <w:w w:val="95"/>
              </w:rPr>
              <w:t>12/31/2013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86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w w:val="95"/>
              </w:rPr>
              <w:t>12/31/2014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performance graph shall not be deemed “soliciting material” or to be “filed” with the SEC for purposes of Section 18 of the Exchange Act, or otherwise subject to the liabilities under that Section, and shall not be deemed to be incorporated by reference into any filing of the Company under the Securities Act or the Exchange Act.</w:t>
      </w: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ind w:right="400" w:firstLine="648"/>
        <w:spacing w:after="0" w:line="255" w:lineRule="auto"/>
        <w:rPr>
          <w:sz w:val="20"/>
          <w:szCs w:val="20"/>
          <w:color w:val="auto"/>
        </w:rPr>
      </w:pPr>
      <w:r>
        <w:rPr>
          <w:rFonts w:ascii="Times New Roman" w:cs="Times New Roman" w:eastAsia="Times New Roman" w:hAnsi="Times New Roman"/>
          <w:sz w:val="18"/>
          <w:szCs w:val="18"/>
          <w:color w:val="auto"/>
        </w:rPr>
        <w:t>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The selected financial data presented below may not be comparable between periods in all material respects or indicative of our future financial position or results of operations due primarily to acquisitions and discontinued operations which occurred during the periods presented. See Note 15 to the Company’s Consolidated Financial Statements for a discussion of such acquisitions. The selected financial data presented below should be read in conjunction with our other financial information included elsewhere 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SUMMARY OF INCOME STATEMENT DATA</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9"/>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3,195,873</w:t>
            </w:r>
          </w:p>
        </w:tc>
        <w:tc>
          <w:tcPr>
            <w:tcW w:w="4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2,239,847</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2,149,335</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1,801,964</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926,584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1,315,694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988,317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817,280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675,277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489,259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177,561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100,247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13,638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10,067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4,727,356</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3,090,567</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1,497,927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3,971,310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2,812,691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2,589,800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2,157,334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1,213,037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756,046</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500,767</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284,890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573,670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450,340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361,727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227,467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25,016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141,741</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114,200</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13,017</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130,543</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101,183</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38,728</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79,957</w:t>
            </w: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62,455</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79,957</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4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w:t>
            </w:r>
          </w:p>
        </w:tc>
        <w:tc>
          <w:tcPr>
            <w:tcW w:w="4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4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46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38,643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39,688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Unit vehicle sales −</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vehicles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27,459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18,427</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Used vehicles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4,744</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unit vehicles sales</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35,352</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Truck lease and rental units (including units under contract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8,073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maintenance and crane units)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5,359</w:t>
            </w: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170,904</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224,261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217,613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189,214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1,024,104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802,220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690,953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649,626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2,694,262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2,167,798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1,881,566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1,717,701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1,167,933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Floor plan notes payable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845,977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593,649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534,520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520,693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578,254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482,781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399,664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328,287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including current portion</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57,250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45,467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49,973</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764,339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665,381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607,946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464,919</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360"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We operate one segment - the Truck Segment. The Truck Segment operates a regional network of commercial vehicle dealerships under the name “Rush Truck Centers.” Rush Truck Centers primarily sell commercial vehicles manufactured by Peterbilt, International, Hino, Ford, Isuzu, Mitsubishi Fuso, IC Bus or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4"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We continue to work to position ourselves as a service solutions provider to the commercial vehicle industry by implementing our growth strategy to expand our portfolio of aftermarket services, broadening the diversity of our commercial vehicle product offerings and extending our network of service points across the United States. Our commitment to provide innovative solutions to service our customers’ business needs continues to drive our strong parts, service and body shop (collectively, “Aftermarket Services”) revenues.</w:t>
      </w:r>
    </w:p>
    <w:p>
      <w:pPr>
        <w:spacing w:after="0" w:line="180"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Our Aftermarket Services include a wide range of capabilities and products such as a fleet of mobile service units, mobile technicians who staff customers’ facilities, a proprietary line of commercial vehicle parts and accessories, diagnostic and analysis capabilities, factory-certified service for alternative fuel vehicles and assembly service for specialized bodies and equipment. As a result of our efforts to expand our Aftermarket Services, Aftermarket Services accounted for 62.6% of our total gross profits in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2014 Highlights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more significant developments in the our business during the year ended December 31, 2014:</w:t>
      </w:r>
    </w:p>
    <w:p>
      <w:pPr>
        <w:spacing w:after="0" w:line="225" w:lineRule="exact"/>
        <w:rPr>
          <w:sz w:val="20"/>
          <w:szCs w:val="20"/>
          <w:color w:val="auto"/>
        </w:rPr>
      </w:pPr>
    </w:p>
    <w:p>
      <w:pPr>
        <w:ind w:left="660" w:hanging="490"/>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revenues totaled $4,727.4 million in 2014, a 39.7% increase from gross revenues of $3,384.7 million in 2013.</w:t>
      </w:r>
    </w:p>
    <w:p>
      <w:pPr>
        <w:spacing w:after="0" w:line="225" w:lineRule="exact"/>
        <w:rPr>
          <w:rFonts w:ascii="Times New Roman" w:cs="Times New Roman" w:eastAsia="Times New Roman" w:hAnsi="Times New Roman"/>
          <w:sz w:val="18"/>
          <w:szCs w:val="18"/>
          <w:color w:val="auto"/>
        </w:rPr>
      </w:pPr>
    </w:p>
    <w:p>
      <w:pPr>
        <w:ind w:left="660" w:hanging="490"/>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$184.0 million, or 32.2%, in 2014, compared to 2013. Gross profit as a percentage of sales decreased to 16.0% in 2014 from 16.9% in 2013.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40" w:hanging="47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8 heavy-duty sales, which accounted for 7.1% of the total U.S. market, increased 65.9% over 2013.</w:t>
      </w:r>
    </w:p>
    <w:p>
      <w:pPr>
        <w:spacing w:after="0" w:line="225" w:lineRule="exact"/>
        <w:rPr>
          <w:rFonts w:ascii="Times New Roman" w:cs="Times New Roman" w:eastAsia="Times New Roman" w:hAnsi="Times New Roman"/>
          <w:sz w:val="18"/>
          <w:szCs w:val="18"/>
          <w:color w:val="auto"/>
        </w:rPr>
      </w:pPr>
    </w:p>
    <w:p>
      <w:pPr>
        <w:ind w:left="640" w:hanging="470"/>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4-7 medium-duty sales, which accounted for 4.9% of the total U.S. market, increased 17.5% over 2013. Light-duty truck sales decreased 12% compared to 2013.</w:t>
      </w:r>
    </w:p>
    <w:p>
      <w:pPr>
        <w:spacing w:after="0" w:line="161" w:lineRule="exact"/>
        <w:rPr>
          <w:rFonts w:ascii="Times New Roman" w:cs="Times New Roman" w:eastAsia="Times New Roman" w:hAnsi="Times New Roman"/>
          <w:sz w:val="18"/>
          <w:szCs w:val="18"/>
          <w:color w:val="auto"/>
        </w:rPr>
      </w:pPr>
    </w:p>
    <w:p>
      <w:pPr>
        <w:ind w:left="640" w:hanging="470"/>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Aftermarket Service revenues were $1,315.7 million in 2014, compared to $988.3 million in 2013.</w:t>
      </w:r>
    </w:p>
    <w:p>
      <w:pPr>
        <w:spacing w:after="0" w:line="225" w:lineRule="exact"/>
        <w:rPr>
          <w:rFonts w:ascii="Times New Roman" w:cs="Times New Roman" w:eastAsia="Times New Roman" w:hAnsi="Times New Roman"/>
          <w:sz w:val="18"/>
          <w:szCs w:val="18"/>
          <w:color w:val="auto"/>
        </w:rPr>
      </w:pPr>
    </w:p>
    <w:p>
      <w:pPr>
        <w:ind w:left="640" w:hanging="470"/>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increased $123.3 million, or 27.4%, in 2014, compared to 2013. The increase is due primarily to the full year effect of acquisitions that occurred in the first quarter of 2014 and the third and fourth quarters of 2013.</w:t>
      </w:r>
    </w:p>
    <w:p>
      <w:pPr>
        <w:spacing w:after="0" w:line="161" w:lineRule="exact"/>
        <w:rPr>
          <w:rFonts w:ascii="Times New Roman" w:cs="Times New Roman" w:eastAsia="Times New Roman" w:hAnsi="Times New Roman"/>
          <w:sz w:val="18"/>
          <w:szCs w:val="18"/>
          <w:color w:val="auto"/>
        </w:rPr>
      </w:pPr>
    </w:p>
    <w:p>
      <w:pPr>
        <w:ind w:left="640" w:hanging="470"/>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continued the implementation of our new business system in our dealerships and expect to complete the implementation during the second quarter of 2015, nearly 15 months ahead of our previously estimated completion date.</w:t>
      </w:r>
    </w:p>
    <w:p>
      <w:pPr>
        <w:spacing w:after="0" w:line="16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completed the following growth initiatives:</w:t>
      </w:r>
    </w:p>
    <w:p>
      <w:pPr>
        <w:spacing w:after="0" w:line="279" w:lineRule="exact"/>
        <w:rPr>
          <w:rFonts w:ascii="Times New Roman" w:cs="Times New Roman" w:eastAsia="Times New Roman" w:hAnsi="Times New Roman"/>
          <w:sz w:val="18"/>
          <w:szCs w:val="18"/>
          <w:color w:val="auto"/>
        </w:rPr>
      </w:pPr>
    </w:p>
    <w:p>
      <w:pPr>
        <w:jc w:val="both"/>
        <w:ind w:left="640" w:hanging="470"/>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8, 2014, we acquired certain assets of North Florida Truck Parts, Inc. which included a commercial parts and service facility in Lake City, Florida. The Lake City location is operating as a full-service Rush Truck Center and offers commercial vehicles manufactured by Peterbilt.</w:t>
      </w:r>
    </w:p>
    <w:p>
      <w:pPr>
        <w:spacing w:after="0" w:line="176" w:lineRule="exact"/>
        <w:rPr>
          <w:rFonts w:ascii="Times New Roman" w:cs="Times New Roman" w:eastAsia="Times New Roman" w:hAnsi="Times New Roman"/>
          <w:sz w:val="18"/>
          <w:szCs w:val="18"/>
          <w:color w:val="auto"/>
        </w:rPr>
      </w:pPr>
    </w:p>
    <w:p>
      <w:pPr>
        <w:ind w:left="640" w:hanging="470"/>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2014, we acquired certain assets of House of Trucks, Inc., which included used commercial vehicle facilities in Willowbrook and Wilmington, Illinois.</w:t>
      </w:r>
    </w:p>
    <w:p>
      <w:pPr>
        <w:spacing w:after="0" w:line="161" w:lineRule="exact"/>
        <w:rPr>
          <w:rFonts w:ascii="Times New Roman" w:cs="Times New Roman" w:eastAsia="Times New Roman" w:hAnsi="Times New Roman"/>
          <w:sz w:val="18"/>
          <w:szCs w:val="18"/>
          <w:color w:val="auto"/>
        </w:rPr>
      </w:pPr>
    </w:p>
    <w:p>
      <w:pPr>
        <w:ind w:left="640" w:hanging="470"/>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2014, we relocated our light- and medium-duty dealership in Orlando, Florida to a newly constructed facility. The new location features an expanded showroom and state-of-the-art service bays.</w:t>
      </w:r>
    </w:p>
    <w:p>
      <w:pPr>
        <w:spacing w:after="0" w:line="161" w:lineRule="exact"/>
        <w:rPr>
          <w:rFonts w:ascii="Times New Roman" w:cs="Times New Roman" w:eastAsia="Times New Roman" w:hAnsi="Times New Roman"/>
          <w:sz w:val="18"/>
          <w:szCs w:val="18"/>
          <w:color w:val="auto"/>
        </w:rPr>
      </w:pPr>
    </w:p>
    <w:p>
      <w:pPr>
        <w:jc w:val="both"/>
        <w:ind w:left="640" w:hanging="470"/>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 2014, we acquired certain assets of Truck Parts Depot, Inc. which included a commercial parts and service facility in Gainesville, Georgia. The Gainesville location is operating as a full-service Rush Truck Center and offers commercial vehicles manufactured by International.</w:t>
      </w:r>
    </w:p>
    <w:p>
      <w:pPr>
        <w:spacing w:after="0" w:line="176" w:lineRule="exact"/>
        <w:rPr>
          <w:rFonts w:ascii="Times New Roman" w:cs="Times New Roman" w:eastAsia="Times New Roman" w:hAnsi="Times New Roman"/>
          <w:sz w:val="18"/>
          <w:szCs w:val="18"/>
          <w:color w:val="auto"/>
        </w:rPr>
      </w:pPr>
    </w:p>
    <w:p>
      <w:pPr>
        <w:ind w:left="640" w:hanging="470"/>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25, 2014, a joint venture was established to further expand our used commercial vehicle sales network. As a result, we own 50% of CCTTS, which has multiple locations in California that sell used trucks.</w:t>
      </w:r>
    </w:p>
    <w:p>
      <w:pPr>
        <w:spacing w:after="0" w:line="161" w:lineRule="exact"/>
        <w:rPr>
          <w:rFonts w:ascii="Times New Roman" w:cs="Times New Roman" w:eastAsia="Times New Roman" w:hAnsi="Times New Roman"/>
          <w:sz w:val="18"/>
          <w:szCs w:val="18"/>
          <w:color w:val="auto"/>
        </w:rPr>
      </w:pPr>
    </w:p>
    <w:p>
      <w:pPr>
        <w:ind w:left="640" w:hanging="470"/>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2014, we announced an agreement with 3M to pursue the design, manufacture and installation of a portfolio of CNG fuel systems for use in Class 6 through 8 vehicles. In 2015, we plan to begin manufacturing CNG fuel systems utilizing 3M’s CNG tanks.</w:t>
      </w:r>
    </w:p>
    <w:p>
      <w:pPr>
        <w:spacing w:after="0" w:line="161" w:lineRule="exact"/>
        <w:rPr>
          <w:rFonts w:ascii="Times New Roman" w:cs="Times New Roman" w:eastAsia="Times New Roman" w:hAnsi="Times New Roman"/>
          <w:sz w:val="18"/>
          <w:szCs w:val="18"/>
          <w:color w:val="auto"/>
        </w:rPr>
      </w:pPr>
    </w:p>
    <w:p>
      <w:pPr>
        <w:jc w:val="both"/>
        <w:ind w:left="640" w:hanging="470"/>
        <w:spacing w:after="0" w:line="255"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4, 2014, the Company announced its Board of Directors had approved a stock repurchase program authorizing the Company to repurchase, from time to time, up to an aggregate of $40.0 million of its shares of Class A Common Stock and/or Class B Common Stock. Repurchases were made at times and in amounts as the Company deemed appropriate and were made through open market transactions, privately negotiated transactions and other lawful means. The manner, timing and amount of any repurchases were determined by the Company based on an evaluation of market conditions, stock price and other factors. While the stock repurchase program did not obligate the Company to acquire any particular amount or class of common stock, the Company repurchased shares of its Class B Common Stock. The Company repurchased approximately $11.7 million of Class B Common Stock during 2014 under the stock repurchase program.</w:t>
      </w:r>
    </w:p>
    <w:p>
      <w:pPr>
        <w:spacing w:after="0" w:line="189" w:lineRule="exact"/>
        <w:rPr>
          <w:rFonts w:ascii="Times New Roman" w:cs="Times New Roman" w:eastAsia="Times New Roman" w:hAnsi="Times New Roman"/>
          <w:sz w:val="18"/>
          <w:szCs w:val="18"/>
          <w:color w:val="auto"/>
        </w:rPr>
      </w:pPr>
    </w:p>
    <w:p>
      <w:pPr>
        <w:jc w:val="both"/>
        <w:ind w:left="640" w:hanging="470"/>
        <w:spacing w:after="0" w:line="261"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2014, we acquired certain assets of CIT, Inc., which did business as Chicago International Trucks, Mcgrenho L.L.C., which did business as Indy Truck Sales, and Indiana Mack Leasing, LLC; and the membership interests of Idealease of Chicago, LLC. The acquisition included International commercial vehicle dealerships and Idealease commercial vehicle rental and leasing businesses in Carol Stream, Chicago, Grayslake, Huntley, Joliet, Kankakee and Ottawa, Illinois, and Brazil, Gary and Indianapolis, Indiana.</w:t>
      </w: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29" w:lineRule="exact"/>
        <w:rPr>
          <w:sz w:val="20"/>
          <w:szCs w:val="20"/>
          <w:color w:val="auto"/>
        </w:rPr>
      </w:pPr>
    </w:p>
    <w:p>
      <w:pPr>
        <w:ind w:left="640" w:hanging="470"/>
        <w:spacing w:after="0" w:line="282"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2015, we completed the acquisition of certain assets of Effingham Truck Sales, Inc., which included International commercial vehicle dealerships and Idealease commercial vehicle rental and leasing business in Effingham and Mount Vernon, Illinois.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Outlook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demand for Class 8 trucks will remain strong during 2015 as freight activity is expected to remain strong in most sectors. We also expect our Aftermarket Services revenue to remain strong during 2015 with continued demand for maintenance and repair of aging vehicles. However, the recent drop in oil prices will significantly decrease demand for commercial vehicles and Aftermarket Services from our customers in the oil and gas exploration and production industry, which have represented a significant portion of our revenue in recent years. We expect Class 4-7 new truck sales will remain strong in 2015 as medium-duty fleets upgrade to new equipment, and longer lead times from Class 4 through 7 OEMs drive the need for ready-to-roll inventory.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A.C.T. Research Co., LLC (“A.C.T. Research”), a truck industry data and forecasting service provider, U. S. Class 8 retail sales are estimated to reach 263,500 units in 2015, a 17.6% increase over 2014. U. S. Class 4-7 retail sales are estimated to reach 206,500 units, up 3.4% over 2014.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remain focused on positioning our Company for long-term success, while continuing to deliver strong and consistent financial results. Industry experts believe that the primary drivers for growth in the U.S. commercial vehicle industry during 2015 will be low interest rates, rising consumer confidence and good credit availability.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Absorption Ratio. </w:t>
      </w:r>
      <w:r>
        <w:rPr>
          <w:rFonts w:ascii="Times New Roman" w:cs="Times New Roman" w:eastAsia="Times New Roman" w:hAnsi="Times New Roman"/>
          <w:sz w:val="18"/>
          <w:szCs w:val="18"/>
          <w:color w:val="auto"/>
        </w:rPr>
        <w:t>Management uses several performance metrics to evaluate the performance of its commercial vehicle dealerships,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In 1999, our commercial vehicle dealerships’ absorption ratio was approximately 80%. We have made a concerted effort to increase our absorption ratio since 1999. Our commercial vehicle dealerships achieved a 117.8% absorption ratio for the year in 2014 and 114.0% absorption ratio for the year in 2013.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We believe the following accounting policies, which are also described in Note 2 of the Notes to the Consolidated Financial Statements, affect our more significant judgments and estimates used in the preparation of our consolidated financial statements.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Cost is determined by specific identification of new and used commercial vehicles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less a reasonable profit margin.</w:t>
      </w: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by reporting unit utilizing a two-step process at least annually, or more frequently when events or changes in circumstances indicate that the asset might be impaired. The first step requires us to compare the fair value of the reporting unit, which is the same as the segment, to the respective carrying value. We consider our Truck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determine the fair value of our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us to make assumptions and to apply judgment regarding our knowledge of our industry, information provided by industry analysts, and our current business strategy in light of present industry and economic conditions. If any of these assumptions change, or fail to materialize, the resulting decline in our estimated fair value could result in a material impairment charge to the goodwill associated with the reporting unit.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believe there is a reasonable likelihood that there will be a material change in the future estimates or assumptions we used to test for impairment losses on goodwill. However, if actual results are not consistent with our estimates or assumptions, or certain events occur that might adversely affect the reported value of goodwill in the future, we may be exposed to an impairment charge that could be material. Such events may include, but are not limited to, strategic decisions made in response to economic and competitive conditions or the impact of the current economic environment.</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was tested for impairment during the fourth quarter of 2014 and no impairment was required. The fair value of our reporting unit exceeded the carrying value of its net assets. As a result, we were not required to conduct the second step of the impairment test. We do not believe our reporting unit is at risk of failing step one of the impairment test.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Insurance Accruals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partially self-insured for a portion of the claims related to our property and casualty insurance programs, requiring it to make estimates regarding expected losses to be incurred. We engage a third-party administrator to assess any open claims and we adjust our accrual accordingly on a periodic basis. We are also partially self-insured for a portion of the claims related to our workers’ compensation and medical insurance programs. We use actuarial information provided from third-party administrators to calculate an accrual for claims incurred, but not reported, and for the remaining portion of claims that have been reported.</w:t>
      </w:r>
    </w:p>
    <w:p>
      <w:pPr>
        <w:spacing w:after="0" w:line="18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Changes in the frequency, severity, and development of existing claims could influence our reserve for claims and financial position, results of operations and cash flows. We do not believe there is a reasonable likelihood that there will be a material change in the estimates or assumptions we used to calculate our self-insured liabilities. However, if actual results are not consistent with our estimates or assumptions, we may be exposed to losses or gains that could be material. A 10% change in our estimate would have changed our reserve for these losses at December 31, 2014 by $1.1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income tax returns are periodically audited by tax authorities. These audits include questions regarding our tax filing positions, including the timing and amount of deductions. In evaluating the exposures associated with our various tax filing positions,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liability for unrecognized tax benefits contains uncertainties because management is required to make assumptions and to apply judgment to estimate the exposures associated with our various filing positions. Our effective income tax rate is also affected by changes in tax law, the level of earnings and the results of tax audits. Although we believe that the judgments and estimates are reasonable, actual results could differ, and we may be exposed to losses or gains that could be material. An unfavorable tax settlement generally would require use of our cash and result in an increase in our effective income tax rate in the period of resolution. A favorable tax settlement would be recognized as a reduction in our effective income tax rate in the period of resolution. Our income tax expense includes the impact of reserve provisions and changes to reserves that it considers appropriate, as well as related interest.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instruments to manage our interest rate risk. The types of risks hedged are those relating to the variability of cash flows and changes in the fair value of our financial instruments caused by movements in interest rates. We assess hedge effectiveness at the inception and during the term of each hedge. Derivatives are reported at fair value on the accompanying Consolidated Balance Sheets.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effective portion of the gain or loss on our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the interest rate swaps become ineffective, portions of these interest rate swaps would be reported as a component of interest expense in the accompanying Consolidated Statements of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an accounting standard update that amends the accounting guidance on revenue recognition. The amendments in this accounting standard update are intended to provide a more robust framework for addressing revenue issues, improve comparability of revenue recognition practices, and improve disclosure requirements. The amendments in this accounting standard update are effective for interim and annual reporting periods beginning after December 15, 2016, and should be applied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the standard recognized at the date of adoption (which requires additional footnote disclosures). Early adoption is not permitted. We are currently evaluating the method of adoption and the impact of the provisions of the accounting standard update.</w:t>
      </w: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includes our historical results of operations for 2014, 2013 and 2012. The following table sets forth for the years indicated certain financial data as a percentage of total revenues:</w:t>
      </w:r>
    </w:p>
    <w:p>
      <w:pPr>
        <w:spacing w:after="0" w:line="15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2013</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67.6%</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83.1</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280" w:type="dxa"/>
            <w:vAlign w:val="bottom"/>
            <w:tcBorders>
              <w:left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280" w:type="dxa"/>
            <w:vAlign w:val="bottom"/>
            <w:tcBorders>
              <w:left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04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 for new heavy-duty, new medium-duty, new light-duty and used commercial vehicles and the absorption ratio for the years indicated (revenue in millions):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60" w:type="dxa"/>
            <w:vAlign w:val="bottom"/>
          </w:tcPr>
          <w:p>
            <w:pPr>
              <w:spacing w:after="0"/>
              <w:rPr>
                <w:sz w:val="20"/>
                <w:szCs w:val="20"/>
                <w:color w:val="auto"/>
              </w:rPr>
            </w:pPr>
          </w:p>
        </w:tc>
        <w:tc>
          <w:tcPr>
            <w:tcW w:w="280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2014 vs 2013</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2013 vs 2012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15,833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9,922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27,459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vehicles sales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Vehicle revenue: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New heavy-duty vehicles</w:t>
            </w:r>
          </w:p>
        </w:tc>
        <w:tc>
          <w:tcPr>
            <w:tcW w:w="68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2,087.4</w:t>
            </w:r>
          </w:p>
        </w:tc>
        <w:tc>
          <w:tcPr>
            <w:tcW w:w="22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w:t>
            </w:r>
          </w:p>
        </w:tc>
        <w:tc>
          <w:tcPr>
            <w:tcW w:w="20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medium-duty vehicles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New light-duty vehicles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1,935.2</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Used vehicle revenue</w:t>
            </w:r>
          </w:p>
        </w:tc>
        <w:tc>
          <w:tcPr>
            <w:tcW w:w="6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vehicle revenue:(1)</w:t>
            </w:r>
          </w:p>
        </w:tc>
        <w:tc>
          <w:tcPr>
            <w:tcW w:w="6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Dealership absorption ratio:</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5620" w:right="5100" w:hanging="4147"/>
        <w:spacing w:after="0" w:line="814" w:lineRule="auto"/>
        <w:tabs>
          <w:tab w:leader="none" w:pos="17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of truck bodies, trailers and other new equipment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0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4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60" w:type="dxa"/>
            <w:vAlign w:val="bottom"/>
          </w:tcPr>
          <w:p>
            <w:pPr>
              <w:spacing w:after="0"/>
              <w:rPr>
                <w:sz w:val="19"/>
                <w:szCs w:val="19"/>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service sales</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62.6</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64.4</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and rental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insurance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0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0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operate in the commercial vehicle market. There has historically been a high correlation between new product sales in the commercial vehicle market and the rate of change in U.S. industrial production and the U.S. gross domestic product.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Heavy-Duty Truck Market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U.S. retail heavy-duty truck market is affected by a number of factors relating to general economic conditions, including fuel prices, government regulation, interest rate fluctuations, economic recessions, other methods of transportation and customer business cycles. Accordingly, unit sales of new commercial vehicles have historically been subject to substantial cyclical variation based on general economic conditions. According to data published by A.C.T. Research, in recent years total U.S. retail sales of new Class 8 trucks have ranged from a low of approximately 97,000 in 2009 to a high of approximately 291,000 in 2006. Class 8 trucks are defined by the American Automobile Association as trucks with a minimum gross vehicle weight rating above 33,000 pounds.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Typically, Class 8 trucks are assembled by manufacturers utilizing certain components that may be manufactured by other companies, including engines, transmissions, axles, wheels and other components. As commercial vehicles and certain commercial vehicle components have become increasingly complex, the ability to provide state-of-the-art service for commercial vehicles has become a competitive factor in the industry. The ability to provide such service requires a significant capital investment in diagnostic and other equipment, parts inventory and highly trained service personnel. EPA and DOT regulatory guidelines for service processes, including body shop, paint work and waste disposal, require sophisticated operating and testing equipment to ensure compliance with environmental and safety standards. Differentiation between commercial vehicle dealers has become less dependent on price competition and is increasingly based on a dealer’s ability to offer a wide variety of services to their clients in a timely manner to minimize vehicle downtime. Such services include the following: efficient, conveniently located and easily accessible commercial vehicle service centers with an adequate supply of replacement parts; financing for commercial vehicle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A.C.T. Research currently estimates approximately 263,500 new Class 8 trucks will be sold in the United States in 2015, compared to approximately 224,000 new Class 8 trucks sold in 2014. A.C.T. Research currently forecasts sales of new Class 8 trucks in the U.S. to be approximately 242,000 in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Medium-Duty Truck Market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of our Rush Truck Centers sell medium-duty commercial vehicles manufactured by Peterbilt, International, Hino, Ford, Mitsubishi Fuso or Isuzu, and all of our Rush Truck Centers provide parts and service for medium-duty commercial vehicles. Medium-duty commercial vehicles are principally used in short-haul, local markets as delivery vehicles. Medium-duty commercial vehicles typically operate locally and generally do not leave their service areas overnight. We also sell light-duty vehicles (Class 3 and under) at five of our Ford dealerships.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A.C.T. Research currently forecasts sales of new Class 4 through 7 commercial vehicles in the U.S. to be approximately 206,500 in 2015, compared to 200,000 in 2014. A.C.T. Research currently forecasts sales of new Class 4 through 7 commercial vehicles in the U.S. to be approximately 214,000 in 2016.</w:t>
      </w: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4" w:name="page35"/>
    <w:bookmarkEnd w:id="3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2014 Compared to Year Ended December 31, 2013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increased $1,342.7 million, or 39.7%, in 2014, compared to 2013.</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Aftermarket Services revenues increased $327.4 million, or 33.1%, in 2014, compared to 2013. This increase was primarily the result of acquisitions that occurred since the second half of 2013. We expect parts, service and body shop sales to continue to remain strong through 2015 and remain focused on expanding aftermarket product and service offerings.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sales of new and used commercial vehicles increased $956.0 million, or 42.7%, in 2014, compared to 2013.</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sold 15,833 heavy-duty trucks in 2014, a 65.9% increase compared to 9,545 heavy-duty trucks in 2013. This increase was primarily the result of acquisitions that occurred since the second half of 2013 and continued replacement of aging commercial vehicles. According to A.C.T. Research, the U.S. Class 8 truck market increased 19.4% in 2014, compared to 2013. Our share of the U.S. Class 8 truck sales market increased to approximately 7.1% in 2014, from 5.1% in 2013. We expect our market share to range between 6.0% and 7.0% of the U.S. Class 8 truck sales in 2015. This market share percentage would result in the sale of approximately 15,800 to 18,400 of Class 8 trucks in 2015 based on A.C.T. Research’s current U.S. retail sales estimate of 263,500 units.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sold 9,922 medium-duty commercial vehicles, including 1,504 buses, in 2014, a 17.5% increase compared to 8,441 medium-duty commercial vehicles, including 1,413 buses, in 2013. A.C.T. Research estimates that unit sales of Class 4 through 7 commercial vehicles in the U.S. increased approximately 12.2% in 2014, compared to 2013. In 2014, we achieved a 4.9% share of the Class 4 through 7 commercial vehicle sales market in the U.S. We expect our market share to range between 5.0% and 5.5% of the U.S. Class 4 through 7 commercial vehicle sales in 2015. This market share percentage would result in the sale of approximately 10,300 to 11,300 of Class 4 through 7 commercial vehicles in 2015 based on A.C.T. Research’s current U.S. retail sales estimates of 206,500 units.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1,704 light-duty vehicles in 2014, a 12.4% decrease compared to 1,945 light-duty vehicles in 2013. We expect to sell approximately 2,000 light-duty vehicles in 2015.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7,893 used commercial vehicles in 2014, a 23.2% increase compared to 6,405 used commercial vehicles in 2013. The increase in sales of used commercial vehicles is primarily due to acquisitions since the second half of 2013, and strong demand for used trucks. We expect to sell approximately 8,500 to 9,500 used commercial vehicles in 2015. The volume of used commercial vehicle sales will be largely dependent upon our ability to acquire quality used commercial vehicles and maintain an adequate used commercial vehicle inventory throughout 2015.</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Truck lease and rental revenues increased $47.9 million, or 37.0%, in 2014, compared to 2013. The increase in lease and rental revenue is primarily due to acquisitions since the second half of 2013. We expect lease and rental revenue to increase 15% to 20% during 2015, compared to 2014.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Finance and insurance revenues increased $4.7 million, or 30.5%, in 2014, compared to 2013. The increase in finance and insurance revenue is primarily a result of the increase in finance penetration rates and increased activity in our insurance business. We expect finance and insurance revenue to fluctuate proportionately with our new and used commercial vehicle sales in 2015. Finance and insurance revenues have limited direct costs and, therefore, contribute a disproportionate share of our operating profits.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increased $6.7 million, or 57.5% in 2014, compared to 2013. Other income consists primarily of the gain on sale realized on trucks from the lease and rental fleet, document fees related to commercial vehicle sales and income from CCTTS, our joint venture.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Gross profit increased $184.0 million, or 32.2%, in 2014, compared to 2013. Gross profit as a percentage of sales decreased to 16.0% in 2014, from 16.9% in 2013. This decrease in gross profit as a percentage of sales is a result of a change in our product sales mix. Commercial vehicle sales, a lower margin revenue item, increased as a percentage of total revenues to 67.6% in 2014, from 66.2% in 2013. Aftermarket Services revenues, a higher margin revenue item, decreased as a percentage of total revenues to 27.8% in 2014, from 29.2% in 2013.</w:t>
      </w: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35" w:name="page36"/>
    <w:bookmarkEnd w:id="3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our Aftermarket Services operations decreased to 36.0% in 2014, from 37.3% in 2013. Gross profit for the parts, service and body shop departments increased to $473.3 million in 2014, from $368.3 million in 2013. Historically, parts operations gross margins range from 27% to 28% and service and body shop operations range from 67% to 68%. Gross profits from parts sales represented 55% of total gross profit for Aftermarket Services operations in 2014 and 2013. Service and body shop operations represented 45% of total gross profit for Aftermarket Services operations in 2014 and 2013. We expect blended gross margins on Aftermarket Services operations to range from 35.0% to 36.0% in 2015.</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Class 8 truck sales increased to 7.1% in 2014, from 6.8% in 2013. In 2015, we expect overall gross margins from Class 8 truck sales of approximately 6.5% to 7.0%. We recorded a charge to cost of sales of $3.5 million to increase our new heavy-duty truck valuation allowance in 2014, compared to $3.9 million in 2013.</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on medium-duty commercial vehicle sales increased to 5.6% in 2014, from 5.2% in 2013. It is difficult to accurately forecast gross margins on medium-duty commercial vehicles because gross margins vary significantly depending upon the mix of fleet and non-fleet purchasers and types of medium-duty commercial vehicles sold. For 2015, we expect overall gross margins from medium-duty commercial vehicle sales of approximately 5.0% to 5.5%, but this will largely depend upon the mix of purchasers and types of vehicles sold. We recorded a charge to cost of sales of $3.9 million to increase our new medium-duty commercial vehicle valuation allowance in 2014, compared to $3.7 million in 2013.</w:t>
      </w:r>
    </w:p>
    <w:p>
      <w:pPr>
        <w:spacing w:after="0" w:line="184"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9.0% in 2014, from 9.2% in 2013. We expect margins on used commercial vehicles to range between 8.0% and 10.0% during 2015 depending upon general economic conditions and the availability of quality used vehicles. We recorded a charge to cost of sales of $9.7 million to increase our used commercial vehicle valuation allowance in 2014, compared to $5.3 million in 2013.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truck lease and rental sales decreased to 13.9% in 2014, from 15.7% in 2013. We expect gross margins from lease and rental sales of approximately 14.5% to 16.5% during 2015, as we expect to continue to grow our lease and rental fleet. Our policy is to depreciate our lease and rental fleet using a straight 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$123.3 million, or 27.4%, in 2014, compared to 2013. This increase is primarily due to acquisitions that have occurred since the second half of 2013. SG&amp;A expenses as a percentage of total revenues decreased to 12.1% in 2014, from 13.3% in 2013. SG&amp;A expenses as a percentage of total revenues have historically ranged from 10.0% to 15.0%. In general, when new and used commercial vehicle revenues decrease as a percentage of total revenues, SG&amp;A expenses as a percentage of total revenues will be at, or exceed, the higher end of this range. For 2015, we expect SG&amp;A expenses as a percentage of total revenues to range from 12.0% to 14.0% and the selling portion of SG&amp;A expenses to be approximately 25% to 30% of new and used commercial vehicle gross profit. In 2015, we expect the general and administrative portion of SG&amp;A expenses to increase by approximately 5.0% to 10.0%.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increased $10.9 million, or 36.3%, in 2014 compared to 2013. This increase is primarily due to acquisitions that occurred in 2013 and the construction of new dealerships and dealership expansions. In addition, in 2014 we initiated a plan to sell our corporate aircraft and determined that the carrying value of the corporate aircraft was no longer recoverable. We recognized a $3.4 million in pre-tax non-cash asset impairment charge during the year ended December 31, 2014. The impairment loss is included in depreciation and amortization expense on the Consolidated Statements of Income.</w:t>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6" w:name="page37"/>
    <w:bookmarkEnd w:id="3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interest expense increased $500,000, or 4.7%, in 2014, compared to 2013. Net interest expense in 2015 will depend on inventory levels and the amount of cash available to make prepayments on the GE Capital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increased $49.5 million in 2014, compared to 2013, as a result of the factors described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taxes increased $18.7 million in 2014, compared to 2013. We provided for taxes at a 38.75% effective rate in 2014 compared to an effective rate of 39.3% in 2013. We expect our effective tax rate to be approximately 38% to 39% of pretax income in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2013 Compared to Year Ended December 31, 2012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increased $294.1 million, or 9.5%, in 2013, compared to 2012.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Aftermarket Services revenues increased $171.0 million, or 20.9%, in 2013, compared to 2012. This increase was primarily the result of acquisitions that occurred on December 31, 2012, and throughout 2013.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from sales of new and used commercial vehicles increased $90.5 million, or 4.2%, in 2013, compared to 2012.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9,545 heavy-duty trucks in 2013, a 3.8% decrease compared to 9,925 heavy-duty trucks in 2012. According to A.C.T. Research, the U.S. Class 8 truck market decreased 5.6% in 2013, compared to 2012. Our share of the U.S. Class 8 truck sales market increased to approximately 5.1% in 2013, from 5.0% in 2012.</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8,441 medium-duty commercial vehicles, including 1,413 buses, in 2013, an 18.5% increase compared to 7,126 medium-duty commercial vehicles, including 597 buses, in 2012. A.C.T. Research estimated that unit sales of Class 4 through 7 commercial vehicles in the U.S. increased approximately 9.0% in 2013, compared to 2012. In 2013, we achieved a 4.7% share of the Class 4 through 7 commercial vehicle sales market in the 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1,945 light-duty vehicles in 2013, a 41.4% increase compared to 1,376 light-duty vehicles in 2012.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6,405 used commercial vehicles in 2013, a 35.0% increase compared to 4,744 used commercial vehicles in 2012. The increase in used commercial vehicle revenue was primarily due to acquisitions that occurred on December 31, 2012, and throughout 2013, and strong demand for used trucks.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Truck lease and rental revenues increased $29.4 million, or 29.3%, in 2013, compared to 2012. The increase in lease and rental revenue was primarily due to acquisitions that occurred on December 31, 2012 and throughout 2013.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increased $1.7 million, or 12.3%, in 2013, compared to 2012. The increase in finance and insurance revenues was primarily a result of the increase in finance penetration rates and increased activity in our insurance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increased $1.5 million, or 15.1% in 2013, compared to 2012.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Gross profit increased $71.2 million, or 14.2%, in 2013, compared to 2012. Gross profit as a percentage of sales increased to 16.9% in 2013, from 16.2% in 2012. This increase in gross profit as a percentage of sales was a result of a change in our product sales mix. Commercial vehicle sales, a lower margin revenue item, decreased as a percentage of total revenues to 66.2% in 2013, from 69.5% in 2012. Aftermarket Services revenues, a higher margin revenue item, increased as a percentage of total revenues to 29.2% in 2013, from 26.4% in 2012.</w:t>
      </w: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37" w:name="page38"/>
    <w:bookmarkEnd w:id="3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Gross margins from our Aftermarket Services operations decreased to 37.3% in 2013, from 38.8% in 2012. Gross profit for the Aftermarket Services departments increased to $368.3 million in 2013, from $317.4 million in 2012. Gross profits from parts sales represented 55% of total gross profit for Aftermarket Services operations in 2013, compared to 53% in 2012. Service and body shop operations represented 45% of total gross profit for Aftermarket Services operations in 2013, compared to 47% in 2012.</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Class 8 truck sales decreased to 6.8% in 2013, from 6.9% in 2012. We recorded a charge to cost of sales of $3.9 million to increase our new heavy-duty truck valuation allowance in 2013, compared to $3.3 million in 2012.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margins on medium-duty commercial vehicle sales increased to 5.2% in 2013, from 4.6% in 2012. We recorded a charge to cost of sales of $3.7 million to increase our new medium-duty commercial vehicle valuation allowance in 2013, compared to $3.9 million in 2012.</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Gross margins on used commercial vehicle sales increased to 9.2% in 2013, from 8.3% in 2012. We recorded a charge to cost of sales of $5.3 million to increase our used commercial vehicle valuation allowance in 2013, compared to $5.7 million in 2012.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from truck lease and rental sales decreased to 15.7% in 2013, from approximately 16.0% in 2012.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SG&amp;A expenses increased $88.6 million, or 24.5%, in 2013, compared to 2012. This increase was partially due to the execution of the Retirement and Transition Agreement with the Company’s former Chairman, W. Marvin Rush, which resulted in the recognition of $10.8 million in retirement pay and benefits during the second quarter of 2013. SG&amp;A expenses as a percentage of total revenues increased to 13.3% in 2013, from 11.7% in 2012. SG&amp;A expenses as a percentage of total revenues have historically ranged from 10.0% to 15.0%. In general, when new and used commercial vehicle revenues decrease as a percentage of total revenues, SG&amp;A expenses as a percentage of total revenues will be at, or exceed, the higher end of this range.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$4.9 million, or 19.6%, in 2013 compared to 2012. This increase was primarily due to acquisitions that occurred in 2012 and 2013, the construction of new dealerships and dealership expansions.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interest expense decreased $2.3 million, or 17.9%, in 2013, compared to 2012. The decrease in net interest expense compared to 2012 is primarily due to the decrease of the GE Credit Agreement interest rate.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decreased $20.1 million in 2013, compared to 2012, as a result of the factors described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Income taxes decreased $6.9 million in 2013, compared to 2012. We provided for taxes at a 39.3% effective rate in 2013 compared to an effective rate of 38.3% in 2012.</w:t>
      </w:r>
    </w:p>
    <w:p>
      <w:pPr>
        <w:spacing w:after="0" w:line="200" w:lineRule="exact"/>
        <w:rPr>
          <w:sz w:val="20"/>
          <w:szCs w:val="20"/>
          <w:color w:val="auto"/>
        </w:rPr>
      </w:pP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38" w:name="page39"/>
    <w:bookmarkEnd w:id="3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improvement and expansion of existing facilities and the construction or purchase of new facilities. Historically, these cash requirements have been met through the retention of profits, borrowings under our floor plan financing arrangements and bank financings. As of December 31, 2014, we had working capital of approximately $170.9 million, including $191.5 million in cash available to fund our operations. We believe that these funds are sufficient to meet our operating requirements for at least the next twelve months. From time to time, we utilize our excess cash on hand to pay down our outstanding borrowings under the GE Credit Agreement, and the resulting interest earned is recognized as an offset to our gross interest expense under the GE Credit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$17.5 million. There were no advances outstanding under this secured line of credit at December 31, 2014, however, $15.3 million was pledged to secure various letters of credit related to self-insurance products, leaving $2.2 million available for future borrowings as of December 31, 2014.</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Our long-term debt agreements and floor plan financing arrangements require us to satisfy various financial ratios such as the debt-to-worth ratio, leverage ratio and the fixed charge coverage ratio and certain requirements for tangible net worth and GAAP net worth. On December 31, 2014, we were in compliance with all of our debt covenants except with respect to the leverage ratio requirement in the GE Credit Agreement and the Wells Fargo Equipment Finance, Inc. loan agreement and we received waivers of noncompliance from each of these lenders. As of December 31, 2014, we had obligations under the GE Credit Agreement in the amount of $677.8 million and the Wells Fargo Equipment Finance, Inc. loan agreement in the amount of $82.7 million. Pursuant to the terms of such agreements, we are required to have a leverage ratio of 2.50:1 as of the end of each fiscal quarter. As of December 31, 2014, our leverage ratio was 2.52:1. The noncompliance was primarily the result of inventories being at a higher level due to industry forecasted demand and not due to any existing financial problems that were materially affecting our business. As a condition of the waivers, we are required to be back in compliance with the leverage ratio as of March 31, 2015, and for each quarter thereafter. We do not anticipate the breach of any of our debt covenants, including the leverage ratio covenant, in the foreseeable future.</w:t>
      </w:r>
    </w:p>
    <w:p>
      <w:pPr>
        <w:spacing w:after="0" w:line="24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trucks worth approximately $200.0 million for our leasing operations during 2015, depending on customer demand, all of which will be financed. We also expect to make capital expenditures for recurring items such as computers, shop tools and equipment and vehicles of approximately $18.0 million to $20.0 million during 2015.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currently under contracts to construct dealership facilities or remodel existing dealership facilities in San Antonio, Texas, at an estimated cost of $12.0 million, Odessa, Texas at an estimated cost of $10.9 million, Denver, Colorado at an estimated cost of $17.3 million, Cleveland, Ohio at an estimated cost of $8.4 million, and Cincinnati, Ohio at an estimated cost of $12.7 million and various other dealership facilities. These construction projects are estimated to continue through 2015.</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funding our capital expenditures relating to the improvement and expansion of existing facilities and recurring expenses through our operating cash flow. We expect to fund the construction or purchase of new facilities through either our operating cash flow or by financing 70% to 80% of the appraised value of such facility.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29, 2015, the Company announced that its Board of Directors approved a new stock repurchase program authorizing the Company to repurchase, from time to time, up to an aggregate of $40.0 million shares of Class A Common Stock and/or Class B Common Stock. The stock repurchase program extends the previous $40 million stock repurchase program that was announced on February 4, 2014, and was set to expire on February 3, 2015. During 2014, the Company purchased approximately $11.7 million of its Class B Common Stock under the repurchase program.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current stock repurchase program expires on February 3, 2016, and may be suspended or discontinued at any time. While the stock repurchase program does not obligate the Company to acquire any particular amount or class of common stock, the Company anticipates that it will be repurchasing primarily shares of its Class B Common Stock.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other material commitments for capital expenditures as of December 31, 2014, except that we will continue to purchase vehicles for our lease and rental division and authorize capital expenditures for improvement and expansion of our existing dealership facilities and construction or purchase of new facilities based on market opportunities.</w:t>
      </w: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39" w:name="page40"/>
    <w:bookmarkEnd w:id="3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decreased by $25.8 million during the year ended December 31, 2014, and increased by $18.5 million during the year ended December 31, 2013. The major components of these changes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2014, operating activities resulted in net cash provided by operations of $88.9 million. Net cash provided by operating activities primarily consisted of $80.0 million in net income, as well as non-cash adjustments related to depreciation and amortization of $126.5 million, deferred income taxes of $25.2 million, stock-based compensation of $11.3 million. Cash used in operating activities included an aggregate of $150.7 million net change in operating assets and liabilities. Included in the net change in operating assets and liabilities were cash inflows of $44.9 million from the net increase in floor plan, trade borrowings and $51.0 million provided by increases in accounts payable and accrued liabilities, which were offset by cash outflows of $151.9 million from increases in inventory, net of acquisitions, $67.7 million from an increase in accounts receivable, $13.8 million from a decrease in customer deposits and $13.2 million from an increase in other current assets. The majority of commercial vehicle inventory is financed through our floor plan credit agreements.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2013, operating activities resulted in net cash provided by operations of $173.5 million. Cash provided by operating activities primarily consisted of $49.2 million in net income, as well as non-cash adjustments related to depreciation and amortization of $93.5 million, deferred income taxes of $22.1 million, stock-based compensation of $8.6 million and a $2.6 million net change in operating assets and liabilities. Included in the net change in operating assets and liabilities were cash inflows of $13.0 million from the net increase in floor plan borrowings and $39.8 million provided by increases in accounts payable and accrued liabilities and $29.1 million provided by increases in customer deposits, which were offset by cash outflows of $67.2 million from increases in inventory, net of acquisitions, $10.4 million from an increase in accounts receivable, and $1.8 million from a decrease in other current assets.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2012, we entered into a wholesale financing agreement with Ford Motor Credit Company that provides for the financing of, and is collateralized by, our Ford new vehicle inventory. This wholesale financing agreement bears interest at a rate of Prime plus 150 basis points minus certain incentives and rebates; however, the prime rate is defined to be a minimum of 3.75%. As of December 31, 2014, the interest rate on the wholesale financing agreement was 5.25% before considering the applicable incentives. As of December 31, 2014, we had an outstanding balance of $79.4 million under the Ford Motor Credit Company wholesale financing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2014, cash used in investing activities was $416.4 million. Cash flows used in investing activities consist primarily of cash used for capital expenditures and business acquisitions. Capital expenditures of $260.8 million consisted primarily of purchases of property and equipment and improvements to our existing dealership facilities. Property and equipment purchases during 2014 consisted of $167.6 million for additional units for the rental and leasing operations, which was directly offset by borrowings of long-term debt. Cash used for business acquisitions was $157.6 million during the year ended December 31, 2014. See Note 15 of the Notes to Consolidated Financial Statements for a detailed discussion of the business acquisitions. We expect to purchase or lease trucks worth approximately $200.0 million for our leasing operations in 2015, depending on customer demand, all of which will be financed. During 2015, we expect to make capital expenditures for recurring items such as computers, shop equipment and vehicles of $18.0 million to $20.0 million.</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2013, cash used in investing activities was $269.7 million. Cash flows used in investing activities consist primarily of cash used for capital expenditures and business acquisitions. Capital expenditures of $191.6 million consisted of purchases of property and equipment and improvements to our existing dealership facilities. Property and equipment purchases during 2013 consisted of $140.1 million for additional units for the rental and leasing operations, which was directly offset by borrowings of long-term debt. Cash used in the business acquisition was $72.7 million during the year ended December 31, 2013. See Note 15 of the Notes to Consolidated Financial Statements for a detailed discussion of the business acquisition.</w:t>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40" w:name="page41"/>
    <w:bookmarkEnd w:id="4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provided by financing activities include borrowings and repayments of long-term debt and net payments of floor plan notes payable. During 2014, we generated $301.6 million in net cash flow from financing activities, primarily related to borrowings of $214.6 million of long-term debt, $207.5 million from net draws on floor plan notes payable, non-trade and $12.0 million from the issuance of shares related to equity compensation plans. These cash inflows were partially offset by cash outflows of $125.4 million used for principal repayments of long-term debt and capital lease obligations and $12.3 million used to purchase 449,152 shares of Rush Class B common stock during 2014. The borrowings of long-term debt were primarily related to purchasing units for the rental and leasing operations.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2013, we generated $114.7 million in net cash flow from financing activities, primarily related to borrowings of $171.2 million of long-term debt, $46.1 million from net draws on floor plan notes payable, non-trade and $9.3 million from the issuance of shares related to equity compensation plans. These cash inflows were partially offset by cash outflows of $101.6 million used for principal repayments of long-term debt and capital lease obligations and $12.9 million used to purchase 554,676 shares of Rush Class B common stock during 2013. The borrowings of long-term debt were primarily related to purchasing units for the rental and leasing operations.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days or less from the date the commercial vehicles are invoiced from the factory. During 2014, we financed the majority of all new commercial vehicle inventory and the loan value of our used commercial vehicle inventory under the GE Credit Agreement. On July 11, 2013, we entered into the third amendment to the GE Credit Agreement. The amendment increased the aggregate loan commitment to $750.0 million. Borrowings under the GE Credit Agreement bear interest at an annual rate equal to the three month LIBOR rate, determined on the last day of the prior month, plus 2.03% and are payable monthly. In addition, we are required to pay a monthly working capital fee equal to 0.35% per annum multiplied by the amount of voluntary prepayments of new and used inventory loans. Loans under the GE Credit Agreement for the purchase of used inventory are limited to $150.0 million. Pursuant to the third amendment, the GE Credit Agreement expires July 11, 2016, although GE Capital has the right to terminate the GE Credit Agreement at any time upon 120 days’ written notice. We may terminate the GE Credit Agreement at any time, although if we do so we must pay a prepayment processing fee of (i) $7,500,000 if it terminates on or prior to July 11, 2015 or (ii) $300,000 if it terminates thereafter, subject in each case to specified limited exceptions. On December 31, 2014, we had approximately $677.8 million outstanding under the GE Credit Agreement. The average daily outstanding borrowings under the GE Credit Agreement were $561.8 million during the year ended December 31, 2014. From time to time, we utilizes our excess cash on hand to pay down our outstanding borrowings under the GE Credit Agreement, and the resulting interest earned is recognized as an offset to our gross interest expense under the GE Credit Agreement.</w:t>
      </w:r>
    </w:p>
    <w:p>
      <w:pPr>
        <w:spacing w:after="0" w:line="1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Navistar Financial Corporation and Peterbilt offer trade terms that provide an interest-free inventory stocking period for certain new commercial vehicles. If the commercial vehicle is not sold within the interest-free period, we then finances the commercial vehicle under the GE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Cyclicality</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Our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our customer base, we have taken steps to reduce the negative impact of adverse general economic conditions or cyclical trends affecting the heavy-duty truck industry on our earnings.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operating leases, we do not have any obligation under any transaction, agreement or other contractual arrangement to which an entity unconsolidated with the Company is a party, that has or is reasonably likely to have a material effect on our financial condition, changes in financial condition, revenues or expenses, results of operations, liquidity, capital expenditures or capital resources that is material to investors. A summary of our operating lease obligations by fiscal year is included in the “Contractual Obligations” section below.</w:t>
      </w: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41" w:name="page42"/>
    <w:bookmarkEnd w:id="4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certain contractual obligations that will impact our short and long-term liquidity. At December 31, 2014, such obligations were as follows (in thousands):</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More than 5</w:t>
            </w:r>
          </w:p>
        </w:tc>
        <w:tc>
          <w:tcPr>
            <w:tcW w:w="100" w:type="dxa"/>
            <w:vAlign w:val="bottom"/>
          </w:tcPr>
          <w:p>
            <w:pPr>
              <w:spacing w:after="0"/>
              <w:rPr>
                <w:sz w:val="16"/>
                <w:szCs w:val="16"/>
                <w:color w:val="auto"/>
              </w:rPr>
            </w:pPr>
          </w:p>
        </w:tc>
      </w:t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6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2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3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 (1)</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578,254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149,065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237,442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144,572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47,175</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obligations(2)</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62,610</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12,904</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23,725</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15,931</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10,050</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obligations(3)</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46,590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15,393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9,426</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Floor plan debt obligation</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845,977</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845,977</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obligations (4)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71,106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38,071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23,315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obligations(5)</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71,434</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52,162</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5,834</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5,309</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8,129</w:t>
            </w:r>
          </w:p>
        </w:tc>
      </w:tr>
      <w:tr>
        <w:trPr>
          <w:trHeight w:val="250"/>
        </w:trPr>
        <w:tc>
          <w:tcPr>
            <w:tcW w:w="3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1,112,073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305,709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182,489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8 of Notes to Consolidated Financial Statements.</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10 of Notes to Consolidated Financial Statements. Amounts include interest.</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10 of Notes to Consolidated Financial Statements.</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5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computing interest expense, we used our weighted average interest rate outstanding on fixed rate debt to estimate our interest expense on fixed rate debt. We used our weighted average variable interest rate on outstanding variable rate debt at December 31, 2014, and added 0.25 percent per year to estimate our interest expense on variable rate debt.</w:t>
      </w:r>
    </w:p>
    <w:p>
      <w:pPr>
        <w:spacing w:after="0" w:line="176" w:lineRule="exact"/>
        <w:rPr>
          <w:rFonts w:ascii="Times New Roman" w:cs="Times New Roman" w:eastAsia="Times New Roman" w:hAnsi="Times New Roman"/>
          <w:sz w:val="18"/>
          <w:szCs w:val="18"/>
          <w:color w:val="auto"/>
        </w:rPr>
      </w:pPr>
    </w:p>
    <w:p>
      <w:pPr>
        <w:jc w:val="both"/>
        <w:ind w:firstLine="8"/>
        <w:spacing w:after="0" w:line="261" w:lineRule="auto"/>
        <w:tabs>
          <w:tab w:leader="none" w:pos="5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represent non-cancelable contractual obligations at December 31, 2014 related to our construction contracts for facilities in San Antonio and Odessa, Texas, Cincinnati and Cleveland, Ohio, Denver, Colorado and various other dealership facilities and our contract with IBM for management services related to the SAP enterprise software and dealership management system implementation and SAP America, Inc. with respect to the software license agreement for the SAP enterprise software and dealership management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exposed to some market risk through interest rates related to our floor plan financing agreements, variable rate real estate debt and discount rates related to finance sales. The majority of floor plan debt and variable rate real estate debt is based on LIBOR. As of December 31, 2014, we had floor plan borrowings and variable interest rate real estate debt of approximately $920.8 million. Assuming an increase or decrease in LIBOR of 100 basis points, annual interest expense could correspondingly increase or decrease by approximately $9.3 million.</w:t>
      </w:r>
    </w:p>
    <w:p>
      <w:pPr>
        <w:spacing w:after="0" w:line="180"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We offer all customer financing opportunities to various finance providers. We receive all finance charges in excess of a negotiated discount rate from the finance providers in the month following the date of the financing. The negotiated discount rate is variable, thus subject to interest rate fluctuations. This interest rate risk is mitigated by our ability to pass discount rate increases to customers through higher financing rates.</w:t>
      </w:r>
    </w:p>
    <w:p>
      <w:pPr>
        <w:spacing w:after="0" w:line="176"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exposed to some market risk through interest rate swaps on some of our variable interest rate real estate debt. As of December 31, 2014, we had interest rate swaps with a total notional amount of $20.9 million. The swaps were designed to provide a hedge against changes in interest rates on some of our variable interest rate real estate debt. The swaps are collateralized by the underlying real estate. These interest rate swaps qualify for cash flow hedge accounting treatment and are considered effective. For additional information about the effect of our derivative instruments on the accompanying consolidated financial statements, see Note 9 – Financial Instruments and Fair Value of the 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2" w:right="599" w:bottom="1440" w:gutter="0" w:footer="0" w:header="0"/>
        </w:sectPr>
      </w:pPr>
    </w:p>
    <w:bookmarkStart w:id="42" w:name="page43"/>
    <w:bookmarkEnd w:id="4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also exposed to some market risk through interest rates related to the investment of our current cash and cash equivalents which totaled $191.5 million on December 31, 2014. These funds are generally invested in variable interest rate instruments in accordance with our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our annual interest income could correspondingly increase or decrease by approximately $1.9 million.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we invested in interest-bearing short-term investments consisting of investment-grade auction rate securities classified as available-for-sale. Auctions for investment grade securities held by us have failed. The auction rate securities continue to pay interest in accordance with the terms of the underlying security; however, liquidity will be limited until there is a successful auction or until such time as other markets for these investments develop. As of December 31, 2014, we hold auction rate securities, with underlying tax-exempt municipal bonds that mature in 2030, that have a fair value of $6.9 million. Given the current market conditions in the auction rate securities market, if we determine that the fair value of these securities temporarily decreases by an additional 10%, our equity could correspondingly decrease by approximately $700,000. If it is determined that the fair value of these securities is other-than-temporarily impaired by 10%, we could record a loss on our Consolidated Statements of Income of approximately $700,000. For further discussion of the risks related to our auction rate securities, see Note 9 – Financial Instruments and Fair Value of the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112" w:right="619" w:bottom="1440" w:gutter="0" w:footer="0" w:header="0"/>
        </w:sectPr>
      </w:pPr>
    </w:p>
    <w:bookmarkStart w:id="43" w:name="page44"/>
    <w:bookmarkEnd w:id="4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6"/>
        </w:trPr>
        <w:tc>
          <w:tcPr>
            <w:tcW w:w="9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r>
      <w:tr>
        <w:trPr>
          <w:trHeight w:val="216"/>
        </w:trPr>
        <w:tc>
          <w:tcPr>
            <w:tcW w:w="9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8"/>
                <w:szCs w:val="18"/>
                <w:color w:val="auto"/>
              </w:rPr>
            </w:pPr>
          </w:p>
        </w:tc>
      </w:tr>
      <w:tr>
        <w:trPr>
          <w:trHeight w:val="216"/>
        </w:trPr>
        <w:tc>
          <w:tcPr>
            <w:tcW w:w="9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Balance Sheets as of December 31, 2014 and 2013</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r>
      <w:tr>
        <w:trPr>
          <w:trHeight w:val="216"/>
        </w:trPr>
        <w:tc>
          <w:tcPr>
            <w:tcW w:w="9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2014, 2013 and 2012</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18"/>
                <w:szCs w:val="18"/>
                <w:color w:val="auto"/>
              </w:rPr>
            </w:pPr>
          </w:p>
        </w:tc>
      </w:tr>
      <w:tr>
        <w:trPr>
          <w:trHeight w:val="216"/>
        </w:trPr>
        <w:tc>
          <w:tcPr>
            <w:tcW w:w="9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2014, 2013 and 2012</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r>
      <w:tr>
        <w:trPr>
          <w:trHeight w:val="216"/>
        </w:trPr>
        <w:tc>
          <w:tcPr>
            <w:tcW w:w="9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2014, 2013 and 2012</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r>
      <w:tr>
        <w:trPr>
          <w:trHeight w:val="216"/>
        </w:trPr>
        <w:tc>
          <w:tcPr>
            <w:tcW w:w="9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2014, 2013 and 2012</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r>
      <w:tr>
        <w:trPr>
          <w:trHeight w:val="216"/>
        </w:trPr>
        <w:tc>
          <w:tcPr>
            <w:tcW w:w="91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3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r>
      <w:tr>
        <w:trPr>
          <w:trHeight w:val="729"/>
        </w:trPr>
        <w:tc>
          <w:tcPr>
            <w:tcW w:w="910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41</w:t>
            </w: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5"/>
        </w:trPr>
        <w:tc>
          <w:tcPr>
            <w:tcW w:w="91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910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44" w:name="page45"/>
    <w:bookmarkEnd w:id="4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Rush Enterprises, Inc. and subsidiaries (“the Company”) as of December 31, 2014 and 2013, and the related consolidated statements of income, comprehensive income, shareholders’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Rush Enterprises, Inc. and subsidiaries at December 31, 2014 and 2013, and the consolidated results of their operations and their cash flows for each of the three years in the period ended December 31, 2014, in conformity with U.S. generally accepted accounting principles.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Rush Enterprises, Inc.’s internal control over financial reporting as of December 31, 2014, based on criteria established in Internal Control-Integrated Framework issued by the Committee of Sponsoring Organizations of the Treadway Commission (1992 Framework) and our report dated March 2, 2015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111" w:right="599" w:bottom="1440" w:gutter="0" w:footer="0" w:header="0"/>
        </w:sectPr>
      </w:pPr>
    </w:p>
    <w:bookmarkStart w:id="45" w:name="page46"/>
    <w:bookmarkEnd w:id="4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80" w:type="dxa"/>
            <w:vAlign w:val="bottom"/>
            <w:gridSpan w:val="4"/>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Note receivable from affiliate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28,312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Asset held for sale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1,153,436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53,618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0" w:type="dxa"/>
            <w:vAlign w:val="bottom"/>
            <w:gridSpan w:val="2"/>
          </w:tcPr>
          <w:p>
            <w:pPr>
              <w:spacing w:after="0"/>
              <w:rPr>
                <w:sz w:val="17"/>
                <w:szCs w:val="17"/>
                <w:color w:val="auto"/>
              </w:rPr>
            </w:pPr>
          </w:p>
        </w:tc>
        <w:tc>
          <w:tcPr>
            <w:tcW w:w="22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Floor plan notes payable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845,977</w:t>
            </w:r>
          </w:p>
        </w:tc>
        <w:tc>
          <w:tcPr>
            <w:tcW w:w="140" w:type="dxa"/>
            <w:vAlign w:val="bottom"/>
          </w:tcPr>
          <w:p>
            <w:pPr>
              <w:spacing w:after="0"/>
              <w:rPr>
                <w:sz w:val="18"/>
                <w:szCs w:val="18"/>
                <w:color w:val="auto"/>
              </w:rPr>
            </w:pPr>
          </w:p>
        </w:tc>
        <w:tc>
          <w:tcPr>
            <w:tcW w:w="600" w:type="dxa"/>
            <w:vAlign w:val="bottom"/>
            <w:gridSpan w:val="2"/>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Current maturities of capital lease obligations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directly associated with asset held for sale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Trade accounts payable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Customer deposits</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44,879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92,743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lease obligations, net of current maturities</w:t>
            </w:r>
          </w:p>
        </w:tc>
        <w:tc>
          <w:tcPr>
            <w:tcW w:w="4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46,019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2014</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and 2013</w:t>
            </w:r>
          </w:p>
        </w:tc>
        <w:tc>
          <w:tcPr>
            <w:tcW w:w="4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gridSpan w:val="3"/>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60,000,000 Class A shares and 20,000,000 Class B shares</w:t>
            </w: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authorized; 29,889,332 Class A shares and 9,999,122 Class B shares outstanding in 2014; and</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28,910,505 Class A shares and 10,304,518 Class B shares outstanding in 2013</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stock, at cost: 2,560,580 Class B shares</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(41,904)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764,339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665,381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2,167,798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46" w:name="page47"/>
    <w:bookmarkEnd w:id="4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3,195,873</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2,239,847</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2,149,335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988,317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129,638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and insurance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3,384,705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2,083,439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Parts and service sales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620,030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and rental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109,222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3,971,310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2,812,691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572,014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450,340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81,061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79,957</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49,217</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62,455</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 Basic:</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 - Diluted: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7" w:name="page48"/>
    <w:bookmarkEnd w:id="4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79,957</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49,217</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tax and net of reclassification adjustments: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available-for-sale securities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related to components of other comprehensive income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80,699</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49,771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8" w:name="page49"/>
    <w:bookmarkEnd w:id="4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Common Stock</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Additional</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50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9"/>
              </w:rPr>
              <w:t>Outstanding</w:t>
            </w:r>
          </w:p>
        </w:tc>
        <w:tc>
          <w:tcPr>
            <w:tcW w:w="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Paid-In</w:t>
            </w: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Treasury</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Retained</w:t>
            </w:r>
          </w:p>
        </w:tc>
        <w:tc>
          <w:tcPr>
            <w:tcW w:w="13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Comprehensive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Class A</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Class B</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Capital</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Stock</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27,406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10,777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208,569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(17,948)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342,164</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531,234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 and</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awards (including tax</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benefit of $1,668)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stock options,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shares and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purchase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share</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employee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2012</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27,999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10,792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222,627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(17,948)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404,619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(1,756)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607,946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 and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awards (including tax</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of $2,566)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11,325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stock options,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shares and</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purchase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8,645</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share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employee 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(12,873)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28,911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10,305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243,154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(30,821)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453,836</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(1,202)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665,381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options exercised and</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awards (including tax</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of $5,207)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16,216</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related to stock options,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shares and</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purchase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11,343</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 share</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awards</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employee 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to business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repurchases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(12,253)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2014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29,889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272,486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(41,904)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533,793</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(460)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764,339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2" w:right="239" w:bottom="198"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50" w:name="page51"/>
    <w:bookmarkEnd w:id="5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8"/>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79,957</w:t>
            </w:r>
          </w:p>
        </w:tc>
        <w:tc>
          <w:tcPr>
            <w:tcW w:w="140" w:type="dxa"/>
            <w:vAlign w:val="bottom"/>
          </w:tcPr>
          <w:p>
            <w:pPr>
              <w:spacing w:after="0"/>
              <w:rPr>
                <w:sz w:val="18"/>
                <w:szCs w:val="18"/>
                <w:color w:val="auto"/>
              </w:rPr>
            </w:pP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49,217</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 of property and equipment,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related to employee stock options and</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employee stock purchases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8,645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Acquired research and development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inventories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(151,911)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(67,217)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Draws on floor plan notes payable – trade,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173,488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219,336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(260,820)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(191,584)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(72,725)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(416,416)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(269,668)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(274,297)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Draws (payments) on floor plan notes payable – non-trade, net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46,085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171,166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(11,584)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Proceeds from issuance of shares relating to employee stock options and employee</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purchases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198,773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191,463</w:t>
            </w:r>
          </w:p>
        </w:tc>
        <w:tc>
          <w:tcPr>
            <w:tcW w:w="140" w:type="dxa"/>
            <w:vAlign w:val="bottom"/>
          </w:tcPr>
          <w:p>
            <w:pPr>
              <w:spacing w:after="0"/>
              <w:rPr>
                <w:sz w:val="18"/>
                <w:szCs w:val="18"/>
                <w:color w:val="auto"/>
              </w:rPr>
            </w:pP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217,305</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198,773</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29,539</w:t>
            </w:r>
          </w:p>
        </w:tc>
        <w:tc>
          <w:tcPr>
            <w:tcW w:w="140" w:type="dxa"/>
            <w:vAlign w:val="bottom"/>
          </w:tcPr>
          <w:p>
            <w:pPr>
              <w:spacing w:after="0"/>
              <w:rPr>
                <w:sz w:val="18"/>
                <w:szCs w:val="18"/>
                <w:color w:val="auto"/>
              </w:rPr>
            </w:pPr>
          </w:p>
        </w:tc>
        <w:tc>
          <w:tcPr>
            <w:tcW w:w="42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24,195</w:t>
            </w:r>
          </w:p>
        </w:tc>
        <w:tc>
          <w:tcPr>
            <w:tcW w:w="40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ind w:left="320"/>
              <w:spacing w:after="0" w:line="196" w:lineRule="exact"/>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29,795</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9,314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7,122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issued related to business acquisition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Assets acquired under capital leases</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24,314</w:t>
            </w:r>
          </w:p>
        </w:tc>
        <w:tc>
          <w:tcPr>
            <w:tcW w:w="140" w:type="dxa"/>
            <w:vAlign w:val="bottom"/>
          </w:tcPr>
          <w:p>
            <w:pPr>
              <w:spacing w:after="0"/>
              <w:rPr>
                <w:sz w:val="17"/>
                <w:szCs w:val="17"/>
                <w:color w:val="auto"/>
              </w:rPr>
            </w:pPr>
          </w:p>
        </w:tc>
        <w:tc>
          <w:tcPr>
            <w:tcW w:w="420" w:type="dxa"/>
            <w:vAlign w:val="bottom"/>
            <w:gridSpan w:val="2"/>
          </w:tcPr>
          <w:p>
            <w:pPr>
              <w:jc w:val="right"/>
              <w:ind w:right="1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9,005</w:t>
            </w:r>
          </w:p>
        </w:tc>
        <w:tc>
          <w:tcPr>
            <w:tcW w:w="400" w:type="dxa"/>
            <w:vAlign w:val="bottom"/>
            <w:gridSpan w:val="2"/>
          </w:tcPr>
          <w:p>
            <w:pPr>
              <w:jc w:val="right"/>
              <w:ind w:right="155"/>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112" w:right="239" w:bottom="576"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576" w:gutter="0" w:footer="0" w:header="0"/>
          <w:type w:val="continuous"/>
        </w:sectPr>
      </w:pPr>
    </w:p>
    <w:bookmarkStart w:id="51" w:name="page52"/>
    <w:bookmarkEnd w:id="5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OPERATIONS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Rush Enterprises, Inc. (the “Company”) was incorporated in 1965 under the laws of the State of Texas. The Company operates a network of commercial vehicle dealerships that primarily sell commercial vehicles manufactured by Peterbilt, International, Hino, Ford, Isuzu, Mitsubishi Fuso, IC Bus or Blue Bird. Through its dealership network, the Company provides one-stop service for the needs of its customers, including retail sales of new and used commercial vehicles, aftermarket parts sales, service and repair facilities, financing, leasing and rental, and insurance products. The Company’s Rush Truck Centers are located throughout the United States.</w:t>
      </w:r>
    </w:p>
    <w:p>
      <w:pPr>
        <w:spacing w:after="0" w:line="184" w:lineRule="exact"/>
        <w:rPr>
          <w:sz w:val="20"/>
          <w:szCs w:val="20"/>
          <w:color w:val="auto"/>
        </w:rPr>
      </w:pPr>
    </w:p>
    <w:p>
      <w:pPr>
        <w:ind w:right="7800" w:firstLine="8"/>
        <w:spacing w:after="0" w:line="501"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Principles of Consolidation</w:t>
      </w: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presented herein include the accounts of Rush Enterprises, Inc. together with our consolidated subsidiaries. All significant inter-company balances and transactions have been eliminated in consolidation.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Estimates in Financial Statements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Doubtful Receivables and Repossession Losses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market value. Cost is determined by specific identification of new and used commercial vehicle inventory and by the first-in, first-out method for parts and accessories. An allowance is provided when it is anticipated that cost will exceed net realizable value less a reasonable profit margin.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2" w:name="page53"/>
    <w:bookmarkEnd w:id="5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capitalized interest of approximately $244,000 related to major capital projects during 2014. The cost, accumulated depreciation and amortization and estimated useful lives are summarized as follows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0"/>
                <w:szCs w:val="20"/>
                <w:color w:val="auto"/>
              </w:rPr>
            </w:pPr>
          </w:p>
        </w:tc>
        <w:tc>
          <w:tcPr>
            <w:tcW w:w="1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Estimated Life (Years)</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233,742</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205,778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39</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27,100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25,681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shop equipment</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48,988</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42,274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20</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computers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57,730</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45,723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15</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47,758</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45,005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15</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and rental vehicles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697,147</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547,557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39,775</w:t>
            </w: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(327,193)</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(259,551)</w:t>
            </w: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49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23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923,080</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739,663</w:t>
            </w:r>
          </w:p>
        </w:tc>
        <w:tc>
          <w:tcPr>
            <w:tcW w:w="8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 had $54.8 million in lease and rental vehicles under various capital leases included in property and equipment, net of accumulated amortization of $21.5 million. The Company recorded depreciation expense of $115.3 million and amortization expense of $11.2 million for the year ended December 31, 2014, and depreciation expense of $82.3 million and amortization expense of $11.2 million for the year ended December 31, 2013. Depreciation and amortization of vehicles related to lease and rental operations is included in lease and rental cost of products sold.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is the excess of the purchase price over the fair value of identifiable net assets acquired in business combinations accounted for under the purchase method. The Company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the Truck Segment, which is the level at which management regularly reviews operating results and makes resource allocation decisions.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and comparing the hypothetical implied fair value of the reporting unit’s goodwill to the carrying amount of that goodwill. If the carrying amount of the reporting unit’s goodwill exceeds the hypothetical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its reporting unit discounted at rates consistent with the cost of capital specific to the reporting unit.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impairment write down was required in the fourth quarter of 2014. However, the Company cannot predict the occurrence of certain events that might adversely affect the reported value of goodwill in the future.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the carrying amount of goodwill for the Company for the years ended December 31, 2014 and 2013 (in thousands):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198,257</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17,182</w:t>
            </w:r>
          </w:p>
        </w:tc>
      </w:tr>
      <w:tr>
        <w:trPr>
          <w:trHeight w:val="216"/>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5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215,464</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49,609</w:t>
            </w: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Adjustment</w:t>
            </w: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50"/>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265,145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12"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53" w:name="page54"/>
    <w:bookmarkEnd w:id="5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Assets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total capitalized costs of the SAP enterprise software and SAP dealership management system of $38.5 million, including capitalized interest, are recorded on the Consolidated Balance Sheet in Other Assets, net of accumulated amortization of $10.3 million. The SAP software is being amortized over a period of 15 years. The Company is currently operating 101 Rush Truck Centers and all of its leasing operations on the SAP enterprise software and SAP dealership management system, which represent approximately 90% of the Company’s total revenues for the year ended December 31, 2014. The Company plans to convert all of its existing Rush Truck Centers to the SAP enterprise software and SAP dealership management system by the end of the second quarter of 2015.</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expense relating to the SAP software, which is recognized in depreciation and amortization expense in the Consolidated Statements of Income, was $3.2 million for the year ended December 31, 2014, $3.0 million for the year ended December 31, 2013, and $3.0 million for the year ended December 31, 2012. The Company estimates that amortization expense relating to the SAP software will be approximately $3.2 million for each of the next five succeeding years.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only significant identifiable intangible assets, other than goodwill, are rights under franchise agreements with manufacturers. The fair value of the franchise right is determined at the acquisition date by discounting the projected cash flows specific to each acquisition. The carrying value of the Company’s manufacturer franchise rights was $6.9 million at December 31, 2014, and $4.5 million at December 31, 2013, and is included in Other Assets on the accompanying consolidated balance sheets.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have expiration dates, the Company expects that it will be able to renew those agreements in the ordinary course of business. Accordingly, the Company does not amortize manufacturer franchise rights.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fact that manufacturer franchise rights are specific to geographic region, the Company has determined that the geographic region is the appropriate level for purposes of testing franchise rights for impairment. Management reviews indefinite-lived manufacturer franchise rights for impairment annually during the fourth quarter, or more often if events or circumstances indicate that an impairment may have occurred. The Company is subject to financial statement risk to the extent that manufacturer franchise rights become impaired due to decreases in the fair market value of its individual franchises.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significant estimates and assumptions used by management in assessing the recoverability of manufacturer franchise rights include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impairment write down was required in the fourth quarter of 2014. The Company cannot predict the occurrence of certain events that might adversely affect the reported value of manufacturer franchise rights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4" w:name="page55"/>
    <w:bookmarkEnd w:id="5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our provision for income taxes, the Company uses an annual effective income tax rate based on annual income, permanent differences between book and tax income, and statutory income tax rates. The effective income tax rate also reflects our assessment of the ultimate outcome of tax audits. The Company adjusts its annual effective income tax rate as additional information on outcomes or events becomes available. Discrete events such as audit settlements or changes in tax laws are recognized in the period in which they occur.</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Company’s income tax returns are periodically audited by U.S. federal, state and local tax authorities. These audits include questions regarding the Company’s tax filing positions, including the timing and amount of deductions. At any time, multiple tax years are subject to audit by the various tax authorities. In evaluating the tax benefits associated with the Company’s various tax filing positions, the Company records a tax benefit for uncertain tax positions. A number of years may elapse before a particular matter for which the Company has established a liability is audited and effectively settled. The Company adjusts its liability for unrecognized tax benefits in the period in which it determines the issue is effectively settled with the tax authorities, the statute of limitations expires for the relevant taxing authority to examine the tax position, or when more information becomes available. The Company includes its liability for unrecognized tax benefits, including accrued interest, in accrued liabilities on the Company’s Consolidated Balance Sheet and in income tax expense in the Company’s Consolidated Statements of Income. Unfavorable settlement of any particular issue would require use of the Company’s cash and a charge to income tax expense. Favorable resolution would be recognized as a reduction to income tax expense at the time of resolution.</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despite the Company’s belief that its tax return positions are consistent with applicable tax law, management expects that certain positions may be challenged by taxing authorities. Settlement of any challenge can result in no change, a complete disallowance, or some partial adjustment reached through negotiations.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Policies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on the sale of a vehicle is recognized when the Company and a customer execute a purchase contract, delivery has occurred and there are no significant uncertainties related to financing or the purchase price is paid by the customer. The Company generally sells finance contracts it enters into with customers to finance the purchase of commercial vehicles to third parties. These finance contracts are sold both with and without recourse. A majority of the Company’s finance contracts are sold without recourse. Finance income is recognized by the Company upon the sale of such finance contracts to the finance companies, net of a provision for estimated repossession losses and early repayment penalties.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 and rental income is recognized over the period of the related lease or rental agreement. Contingent rental income is recognized when it is earned. Parts and services revenue is earned at the time the Company sells the parts to its customers or at the time the Company completes the service work order related to service provided to the customer’s vehicle. Payments received on prepaid maintenance plans are deferred as a component of accrued expenses and recognized as income when the maintenance is performed.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Sales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Company’s new and used commercial vehicle operations and its parts operations, cost of sales consists primarily of the Company’s actual purchase price, less manufacturer’s incentives, for new and used commercial vehicles and parts. The Company is subject to a chargeback of manufacturer incentives for commercial vehicles that are not sold to the customer for which they were ordered. The Company records a liability for a potential chargeback of manufacturer incentives in its financial statements. For the Company’s service and body shop operations, technician labor cost is the primary component of cost of sales. For the Company’s rental and leasing operations, cost of sales consists primarily of depreciation and amortization,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 Assessed by a Governmental Authority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sales taxes assessed by a governmental authority, that are directly imposed on a revenue-producing transaction, on a net (excluded from revenues)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5" w:name="page56"/>
    <w:bookmarkEnd w:id="5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incentive based compensation for sales, finance and general management personnel, salaries for administrative personnel and expenses for rent, marketing, insurance, utilities, research and development and other general operating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2013, the Company entered into a Retirement and Transition Agreement with the Company’s former Chairman, W. Marvin Rush, which resulted in the recognition of $10.8 million in retirement pay and benefits recorded in selling, general and administrative expense on the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the provisions of ASC topic 718-10, “Compensation – Stock Compensation,” which requires the measurement and recognition of compensation expense for all share-based payment awards made to employees and directors including grants of employee stock options, restricted stock units, restricted stock awards and employee stock purchases under the Employee Stock Purchase Plan based on estimated fair values.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all share-based payment awards is recognized using the straight-line single-option method. Stock-based compensation expense is recognized based on awards expected to vest. Accordingly, stock based compensation expense has been reduced for estimated forfeitures. Forfeitures are estimated at the time of grant and revised, if necessary, in subsequent periods if actual forfeitures differ from those estimates.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determination of fair value of share-based payment awards on the date of grant using an option-pricing model is affected by the Company’s stock price as well as assumptions regarding a number of highly complex and subjective variables. These variables include the Company’s expected stock price volatility over the term of the awards and actual and projected stock option exercise behaviors. Option-pricing models were developed for use in estimating the value of traded options that have no vesting or hedging restrictions and are fully transferable. Because the Company’s stock options have characteristics that are significantly different from traded options and because changes in the subjective assumptions can materially affect the estimated value, in management’s opinion, the existing valuation models may not provide an accurate measure of the fair value that value may not be indicative of the fair value observed in a market transaction between a willing buyer and a willing seller.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weighted-average fair value of stock options granted during each period using the Black-Scholes option valuation model with the following weighted-average assumptions used:</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volatility</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51.51%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49.59%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53.64%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stock volatility</w:t>
            </w: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51.51%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49.59%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53.64%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5"/>
              </w:rPr>
              <w:t>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1.22%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2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6.5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5.0</w:t>
            </w:r>
          </w:p>
        </w:tc>
        <w:tc>
          <w:tcPr>
            <w:tcW w:w="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fair value of stock options granted  $</w:t>
            </w: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15.86</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12.69</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computes its historical stock price volatility in accordance with ASC topic 718-10. The risk-free interest rate for periods within the contractual life of the option is based on the U.S. Treasury yield curve in effect at the time of grant. The dividend yield assumption is based on the Company’s history and expectation of dividend payouts. The expected life of stock options represents the weighted-average period the stock options are expected to remain outstanding.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6" w:name="page57"/>
    <w:bookmarkEnd w:id="5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 Advertising and marketing expense was $8.7 million for 2014, $6.8 million for 2013 and $4.4 million for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expense is included in selling, general and administrative expense.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for Internal Use Software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accounting policy with respect to accounting for computer software developed or obtained for internal use is consistent with ASC topic 350-40, which provides guidance on accounting for the costs of computer software developed or obtained for internal use and identifies characteristics of internal-use software. The Company has capitalized software costs, including capitalized interest, of approximately $38.5 million at December 31, 2014, net of accumulated amortization of $10.3 million, and $40.8 million, net of accumulated amortization of $7.1 million at December 31,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Insurance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partially self-insured for a portion of the claims related to its property and casualty insurance programs. Accordingly, the Company is required to estimate expected losses to be incurred. The Company engages a third-party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third-party administrators to calculate an accrual for claims incurred, but not reported, and for the remaining portion of claims that have been reported.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 and Hedging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fluctuations in interest rates. The Company assesses hedge effectiveness at the inception and during the term of each hedge. Derivatives are reported at fair value on the accompanying Consolidated Balance Sheets.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2014, the Company had an aggregate $20.9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various financial instruments that it must measure at fair value on a recurring basis, including certain available for sale securities and derivatives. See Note 9 – Financial Instruments and Fair Value of the Notes to Consolidated Financial Statements, for further information. The Company also applies the provisions of fair value measurement to various nonrecurring measurements for its financial and nonfinancial assets and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Applicable accounting standards define fair value as the price that would be received to sell an asset or paid to transfer a liability in an orderly transaction between market participants at the measurement date (an exit price). The Company measures its assets and liabilities using inputs from the following three levels of the fair value hierarchy: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the Company has the ability to access at the measurement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7" w:name="page58"/>
    <w:bookmarkEnd w:id="5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includes unobservable inputs that reflect the Company’s assumptions about what factors market participants would use in pricing the asset or 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acquisition method of accounting for the recognition of assets acquired and liabilities assumed with acquisitions at their estimated fair values as of the date of acquisition. Any excess consideration transferred over the estimated fair values of the identifiable net assets acquired is recorded as goodwill. While the Company uses its best estimates and assumptions to measure the fair value of the identifiable assets acquired and liabilities assumed at the acquisition date, the estimates are inherently uncertain and subject to refinement. As a result, during the measurement period, which is not to exceed one year from the date of acquisition, any changes in the estimated fair values of the net assets recorded for the acquisitions will result in an adjustment to goodwill. Upon the conclusion of the measurement period or final determination of the values of assets acquired or liabilities assumed, whichever comes first, any subsequent adjustments are recorded to our Consolidated Statements of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an accounting standard update that amends the accounting guidance on revenue recognition. The amendments in this accounting standard update are intended to provide a more robust framework for addressing revenue issues, improve comparability of revenue recognition practices, and improve disclosure requirements. The amendments in this accounting standard update are effective for interim and annual reporting periods beginning after December 15, 2016, and should be applied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the standard recognized at the date of adoption (which requires additional footnote disclosures). Early adoption is not permitted. The Company is currently evaluating the method of adoption and the impact of the provisions of the accounting standard update.</w:t>
      </w:r>
    </w:p>
    <w:p>
      <w:pPr>
        <w:spacing w:after="0" w:line="185" w:lineRule="exact"/>
        <w:rPr>
          <w:sz w:val="20"/>
          <w:szCs w:val="20"/>
          <w:color w:val="auto"/>
        </w:rPr>
      </w:pPr>
    </w:p>
    <w:p>
      <w:pPr>
        <w:ind w:right="7160" w:firstLine="8"/>
        <w:spacing w:after="0" w:line="530" w:lineRule="auto"/>
        <w:tabs>
          <w:tab w:leader="none" w:pos="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SUPPLIER AND CUSTOMER CONCENTRATION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Major Suppliers and Dealership Agreements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dealership agreements with various manufacturers of commercial vehicles and buses (“Manufacturers”). These agreements are nonexclusive agreements that allow the Company to stock, sell at retail and service commercial vehicles and products of the Manufacturers in the Company’s defined market. The agreements allow the Company to use the Manufacturers’ names, trade symbols and intellectual property and expire as follows:</w:t>
      </w:r>
    </w:p>
    <w:p>
      <w:pPr>
        <w:spacing w:after="0" w:line="176" w:lineRule="exact"/>
        <w:rPr>
          <w:sz w:val="20"/>
          <w:szCs w:val="20"/>
          <w:color w:val="auto"/>
        </w:rPr>
      </w:pPr>
    </w:p>
    <w:tbl>
      <w:tblPr>
        <w:tblLayout w:type="fixed"/>
        <w:tblInd w:w="1900" w:type="dxa"/>
        <w:tblCellMar>
          <w:top w:w="0" w:type="dxa"/>
          <w:left w:w="0" w:type="dxa"/>
          <w:bottom w:w="0" w:type="dxa"/>
          <w:right w:w="0" w:type="dxa"/>
        </w:tblCellMar>
      </w:tblPr>
      <w:tr>
        <w:trPr>
          <w:trHeight w:val="234"/>
        </w:trPr>
        <w:tc>
          <w:tcPr>
            <w:tcW w:w="3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Manufacturer</w:t>
            </w:r>
          </w:p>
        </w:tc>
        <w:tc>
          <w:tcPr>
            <w:tcW w:w="160" w:type="dxa"/>
            <w:vAlign w:val="bottom"/>
          </w:tcPr>
          <w:p>
            <w:pPr>
              <w:spacing w:after="0"/>
              <w:rPr>
                <w:sz w:val="20"/>
                <w:szCs w:val="20"/>
                <w:color w:val="auto"/>
              </w:rPr>
            </w:pP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Expiration Dates</w:t>
            </w:r>
          </w:p>
        </w:tc>
      </w:tr>
      <w:tr>
        <w:trPr>
          <w:trHeight w:val="210"/>
        </w:trPr>
        <w:tc>
          <w:tcPr>
            <w:tcW w:w="3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Peterbilt</w:t>
            </w:r>
          </w:p>
        </w:tc>
        <w:tc>
          <w:tcPr>
            <w:tcW w:w="160" w:type="dxa"/>
            <w:vAlign w:val="bottom"/>
            <w:shd w:val="clear" w:color="auto" w:fill="CCEEFF"/>
          </w:tcPr>
          <w:p>
            <w:pPr>
              <w:spacing w:after="0"/>
              <w:rPr>
                <w:sz w:val="18"/>
                <w:szCs w:val="18"/>
                <w:color w:val="auto"/>
              </w:rPr>
            </w:pPr>
          </w:p>
        </w:tc>
        <w:tc>
          <w:tcPr>
            <w:tcW w:w="4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2015 through May 2017</w:t>
            </w:r>
          </w:p>
        </w:tc>
      </w:tr>
      <w:tr>
        <w:trPr>
          <w:trHeight w:val="216"/>
        </w:trPr>
        <w:tc>
          <w:tcPr>
            <w:tcW w:w="3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International</w:t>
            </w:r>
          </w:p>
        </w:tc>
        <w:tc>
          <w:tcPr>
            <w:tcW w:w="1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2016 through May 2020</w:t>
            </w:r>
          </w:p>
        </w:tc>
      </w:tr>
      <w:tr>
        <w:trPr>
          <w:trHeight w:val="216"/>
        </w:trPr>
        <w:tc>
          <w:tcPr>
            <w:tcW w:w="3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Isuzu</w:t>
            </w:r>
          </w:p>
        </w:tc>
        <w:tc>
          <w:tcPr>
            <w:tcW w:w="160" w:type="dxa"/>
            <w:vAlign w:val="bottom"/>
            <w:shd w:val="clear" w:color="auto" w:fill="CCEEFF"/>
          </w:tcPr>
          <w:p>
            <w:pPr>
              <w:spacing w:after="0"/>
              <w:rPr>
                <w:sz w:val="18"/>
                <w:szCs w:val="18"/>
                <w:color w:val="auto"/>
              </w:rPr>
            </w:pPr>
          </w:p>
        </w:tc>
        <w:tc>
          <w:tcPr>
            <w:tcW w:w="4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3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Hino</w:t>
            </w:r>
          </w:p>
        </w:tc>
        <w:tc>
          <w:tcPr>
            <w:tcW w:w="1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34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Ford</w:t>
            </w:r>
          </w:p>
        </w:tc>
        <w:tc>
          <w:tcPr>
            <w:tcW w:w="160" w:type="dxa"/>
            <w:vAlign w:val="bottom"/>
            <w:shd w:val="clear" w:color="auto" w:fill="CCEEFF"/>
          </w:tcPr>
          <w:p>
            <w:pPr>
              <w:spacing w:after="0"/>
              <w:rPr>
                <w:sz w:val="18"/>
                <w:szCs w:val="18"/>
                <w:color w:val="auto"/>
              </w:rPr>
            </w:pPr>
          </w:p>
        </w:tc>
        <w:tc>
          <w:tcPr>
            <w:tcW w:w="4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34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Blue Bird</w:t>
            </w:r>
          </w:p>
        </w:tc>
        <w:tc>
          <w:tcPr>
            <w:tcW w:w="16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2016</w:t>
            </w:r>
          </w:p>
        </w:tc>
      </w:tr>
      <w:tr>
        <w:trPr>
          <w:trHeight w:val="216"/>
        </w:trPr>
        <w:tc>
          <w:tcPr>
            <w:tcW w:w="34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IC Bus</w:t>
            </w:r>
          </w:p>
        </w:tc>
        <w:tc>
          <w:tcPr>
            <w:tcW w:w="160" w:type="dxa"/>
            <w:vAlign w:val="bottom"/>
            <w:shd w:val="clear" w:color="auto" w:fill="CCEEFF"/>
          </w:tcPr>
          <w:p>
            <w:pPr>
              <w:spacing w:after="0"/>
              <w:rPr>
                <w:sz w:val="18"/>
                <w:szCs w:val="18"/>
                <w:color w:val="auto"/>
              </w:rPr>
            </w:pPr>
          </w:p>
        </w:tc>
        <w:tc>
          <w:tcPr>
            <w:tcW w:w="4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2015 through December 2017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purchases its new Peterbilt vehicles from Peterbilt and most of its parts from PACCAR, Inc., the parent company of Peterbilt, at prevailing prices charged to all franchised dealers. Sales of new Peterbilt trucks accounted for approximately 63.5% of the Company’s new vehicle sales for the year ended December 31, 2014, 65.5% of the Company’s new vehicle sales for the year ended December 31, 2013, and 75.1% of the Company’s new vehicle sales for the year ended December 31,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8" w:name="page59"/>
    <w:bookmarkEnd w:id="5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Primary Lenders</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purchases its new and used commercial vehicle inventories with the assistance of floor plan financing programs. The Company’s floor plan financing agreements provide that the occurrence of certain events will be considered events of default. In the event that the Company’s floor plan financing becomes insufficient, or its relationship with any of its current primary lenders terminates, the Company would need to obtain similar financing from other sources. Management believes it can obtain additional floor plan financing or alternative financing if necessary.</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also acquires lease and rental vehicles with the assistance of financing agreements with PACCAR Leasing Company, Bank of America, GE Capital and Wells Fargo. The financing agreements are secured by a lien on the acquired vehicle. The terms of the financing agreements are similar to the corresponding lease agreements with the Company’s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Risks</w:t>
      </w:r>
    </w:p>
    <w:p>
      <w:pPr>
        <w:spacing w:after="0" w:line="22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based on periodic assessments of such institutions. Our cash and cash equivalents may be uninsured or in deposit accounts that exceed the Federal Deposit Insurance Corporation insurance limit.</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controls credit risk through credit approvals and by selling a majority of its trade receivables, other than vehicle accounts receivable, without recourse. Concentrations of credit risk with respect to trade receivables are reduced because a large number of geographically diverse customers make up the Company’s customer base; however, substantially all of the Company’s business is concentrated in the United States commercial vehicle markets and related aftermarkets.</w:t>
      </w:r>
    </w:p>
    <w:p>
      <w:pPr>
        <w:spacing w:after="0" w:line="18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Company generally sells finance contracts it enters into with customers to finance the purchase of commercial vehicles to third parties. These finance contracts are sold both with and without recourse. A majority of the Company’s finance contracts are sold without recourse. The Company provides an allowance for doubtful receivables and a reserve for repossession losses related to finance contracts sold with recourse. Historically, the Company’s allowance and reserve have covered losses inherent in these receivables.</w:t>
      </w:r>
    </w:p>
    <w:p>
      <w:pPr>
        <w:spacing w:after="0" w:line="180"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ACCOUNTS RECEIVABLE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accounts receivable, net,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from sale of vehicles</w:t>
            </w:r>
          </w:p>
        </w:tc>
        <w:tc>
          <w:tcPr>
            <w:tcW w:w="34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96,850</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42,830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other than vehicles</w:t>
            </w: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34,404</w:t>
            </w: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27,387</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claims</w:t>
            </w:r>
          </w:p>
        </w:tc>
        <w:tc>
          <w:tcPr>
            <w:tcW w:w="2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8,624</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30,928</w:t>
            </w: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23,700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bad debt and warranty receivable</w:t>
            </w:r>
          </w:p>
        </w:tc>
        <w:tc>
          <w:tcPr>
            <w:tcW w:w="2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(779)</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(1,240)</w:t>
            </w: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20" w:type="dxa"/>
            <w:vAlign w:val="bottom"/>
          </w:tcPr>
          <w:p>
            <w:pPr>
              <w:spacing w:after="0"/>
              <w:rPr>
                <w:sz w:val="18"/>
                <w:szCs w:val="18"/>
                <w:color w:val="auto"/>
              </w:rPr>
            </w:pPr>
          </w:p>
        </w:tc>
      </w:tr>
      <w:tr>
        <w:trPr>
          <w:trHeight w:val="256"/>
        </w:trPr>
        <w:tc>
          <w:tcPr>
            <w:tcW w:w="580" w:type="dxa"/>
            <w:vAlign w:val="bottom"/>
          </w:tcPr>
          <w:p>
            <w:pPr>
              <w:spacing w:after="0"/>
              <w:rPr>
                <w:sz w:val="22"/>
                <w:szCs w:val="22"/>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170,027</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103,293</w:t>
            </w:r>
          </w:p>
        </w:tc>
        <w:tc>
          <w:tcPr>
            <w:tcW w:w="620" w:type="dxa"/>
            <w:vAlign w:val="bottom"/>
          </w:tcPr>
          <w:p>
            <w:pPr>
              <w:spacing w:after="0"/>
              <w:rPr>
                <w:sz w:val="22"/>
                <w:szCs w:val="22"/>
                <w:color w:val="auto"/>
              </w:rPr>
            </w:pPr>
          </w:p>
        </w:tc>
      </w:tr>
      <w:tr>
        <w:trPr>
          <w:trHeight w:val="656"/>
        </w:trPr>
        <w:tc>
          <w:tcPr>
            <w:tcW w:w="580" w:type="dxa"/>
            <w:vAlign w:val="bottom"/>
          </w:tcPr>
          <w:p>
            <w:pPr>
              <w:spacing w:after="0"/>
              <w:rPr>
                <w:sz w:val="24"/>
                <w:szCs w:val="24"/>
                <w:color w:val="auto"/>
              </w:rPr>
            </w:pPr>
          </w:p>
        </w:tc>
        <w:tc>
          <w:tcPr>
            <w:tcW w:w="442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jc w:val="right"/>
              <w:ind w:right="1570"/>
              <w:spacing w:after="0"/>
              <w:rPr>
                <w:sz w:val="20"/>
                <w:szCs w:val="20"/>
                <w:color w:val="auto"/>
              </w:rPr>
            </w:pPr>
            <w:r>
              <w:rPr>
                <w:rFonts w:ascii="Times New Roman" w:cs="Times New Roman" w:eastAsia="Times New Roman" w:hAnsi="Times New Roman"/>
                <w:sz w:val="18"/>
                <w:szCs w:val="18"/>
                <w:color w:val="auto"/>
              </w:rPr>
              <w:t>55</w:t>
            </w: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42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59" w:name="page60"/>
    <w:bookmarkEnd w:id="5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20" w:type="dxa"/>
            <w:vAlign w:val="bottom"/>
            <w:tcBorders>
              <w:right w:val="single" w:sz="8" w:color="auto"/>
            </w:tcBorders>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inventories, net, consisted of the following (in thousands):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r>
      <w:tr>
        <w:trPr>
          <w:trHeight w:val="210"/>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commercial vehicles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749,615</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566,396</w:t>
            </w: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Used commercial vehicles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84,972</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75,731</w:t>
            </w: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Parts and accessories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186,208</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157,873</w:t>
            </w: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19,020</w:t>
            </w: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14,031</w:t>
            </w:r>
          </w:p>
        </w:tc>
      </w:tr>
      <w:tr>
        <w:trPr>
          <w:trHeight w:val="216"/>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(15,711)</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(11,811)</w:t>
            </w:r>
          </w:p>
        </w:tc>
      </w:tr>
      <w:tr>
        <w:trPr>
          <w:trHeight w:val="210"/>
        </w:trPr>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1,024,104</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802,220</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9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7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20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6"/>
              </w:rPr>
              <w:t>VALUATION ACCOUNTS:</w:t>
            </w:r>
          </w:p>
        </w:tc>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Valuation and allowance accounts include the following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Balance</w:t>
            </w: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Net Charged to</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Balance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Beginning</w:t>
            </w: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Costs and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End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of Year</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Expenses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Net Write-Offs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5"/>
              </w:rPr>
              <w:t>of Year</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accounts receivable</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warranty receivable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4,416</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7,395</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accounts receivable</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warranty receivable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3,593</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6,839</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accounts receivable</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warranty receivable</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parts inventory</w:t>
            </w:r>
          </w:p>
        </w:tc>
        <w:tc>
          <w:tcPr>
            <w:tcW w:w="3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3,406</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commercial vehicle inventory</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Receivables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a majority of its customer accounts receivable on a non-recourse basis to a third-party that is responsible for qualifying the customer for credit at the point of sale. If the third-party approves the customer for credit, then the third-party assumes all credit risk related to the transaction. The Company provides an allowance for doubtful receivables after considering historical loss experience and other factors that might affect the collection of accounts receivable.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an allowance for uncollectible warranty receivables. The Company evaluates the collectability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after it is determined that the receivable will not be fully collected.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0" w:name="page61"/>
    <w:bookmarkEnd w:id="6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reverse any reserve balance until the inventory is sold.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valuation for new and used commercial vehicle inventory is based on specific identification. A detail of new and used commercial vehicle inventory is reviewed and, if necessary, adjustments to the value of specific vehicles are made on a quarterly basis.</w:t>
      </w:r>
    </w:p>
    <w:p>
      <w:pPr>
        <w:spacing w:after="0" w:line="162" w:lineRule="exact"/>
        <w:rPr>
          <w:sz w:val="20"/>
          <w:szCs w:val="20"/>
          <w:color w:val="auto"/>
        </w:rPr>
      </w:pPr>
    </w:p>
    <w:p>
      <w:pPr>
        <w:ind w:right="6480" w:firstLine="8"/>
        <w:spacing w:after="0" w:line="501"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FLOOR PLAN NOTES PAYABLE AND LINES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 Plan Notes Payable</w:t>
      </w:r>
    </w:p>
    <w:p>
      <w:pPr>
        <w:jc w:val="both"/>
        <w:spacing w:after="0" w:line="266" w:lineRule="auto"/>
        <w:rPr>
          <w:sz w:val="20"/>
          <w:szCs w:val="20"/>
          <w:color w:val="auto"/>
        </w:rPr>
      </w:pPr>
      <w:r>
        <w:rPr>
          <w:rFonts w:ascii="Times New Roman" w:cs="Times New Roman" w:eastAsia="Times New Roman" w:hAnsi="Times New Roman"/>
          <w:sz w:val="18"/>
          <w:szCs w:val="18"/>
          <w:color w:val="auto"/>
        </w:rPr>
        <w:t>Floor plan notes are financing agreements to facilitate the Company’s purchase of new and used commercial vehicles. These notes are collateralized by the inventory purchased and accounts receivable arising from the sale thereof. The GE Credit Agreement provides for a loan commitment of up to $750.0 million and has the interest rate benchmarked to LIBOR, as defined in the agreement.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under the GE Credit Agreement is the three month LIBOR rate plus 2.03%. The interest rate applicable to the GE Credit Agreement was approximately 2.28% at December 31, 2014. The Company utilizes its excess cash on hand to pay down its outstanding borrowings under the GE Credit Agreement, and the resulting interest earned is recognized as an offset to the Company’s gross interest expense under the agreement. The Company is required to pay a monthly working capital fee equal to 0.35% per annum multiplied by the amount of voluntary prepayments of new and used inventory loans. GE Capital may terminate the agreement without cause upon 120 days written notice.</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finances substantially all of the purchase price of its new commercial vehicle inventory, and the loan value of its used commercial vehicle inventory under the GE Credit Agreement, under which GE Capital pays the manufacturer directly with respect to new commercial vehicles. Amounts borrowed under the GE Credit Agreement are due when the related commercial vehicle inventory (collateral) is sold and the sales proceeds are collected by the Company. Pursuant to the third amendment, the GE Credit Agreement expires July 11, 2016, although GE Capital has the right to terminate the GE Credit Agreement at any time upon 120 days’ written notice. We may terminate the agreement at any time, although, if we do so, we must pay the lenders a prepayment processing fee of (i) $7,500,000 if it terminates on or prior to July 11, 2015; and (ii) $300,000 if it terminates thereafter, subject in each case to specified limited exceptions. On December 31, 2014, the Company had approximately $677.8 million outstanding under the GE Credit Agreement.</w:t>
      </w: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2012, the Company entered into a wholesale financing agreement with Ford Motor Credit Company that provides for the financing of, and is collateralized by, the Company’s new Ford vehicle inventory. This wholesale financing agreement bears interest at a rate of Prime plus 150 basis points minus certain incentives and rebates; however, the prime rate is defined to be a minimum of 3.75%. As of December 31, 2014, the interest rate on the wholesale financing agreement was 5.25% before considering the applicable incentives. On December 31, 2014, the Company had an outstanding balance of $79.4 million under the Ford Motor Credit Company wholesale financing agreement.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weighted average interest rate for floor plan notes payable was 1.16% for the year ended December 31, 2014, and 1.26% for the year ended December 31, 2013, which is net of interest related to prepayments of new and used inventory loans.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1" w:name="page62"/>
    <w:bookmarkEnd w:id="6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 pledged as collateral were as follows (in thousands):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6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new and used vehicles at cost based on specific identification, net of allowance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823,944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634,732</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Vehicle sale related accounts receivable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96,853</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42,830</w:t>
            </w:r>
          </w:p>
        </w:tc>
      </w:tr>
      <w:tr>
        <w:trPr>
          <w:trHeight w:val="210"/>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920,797</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677,562</w:t>
            </w:r>
          </w:p>
        </w:tc>
      </w:tr>
      <w:tr>
        <w:trPr>
          <w:trHeight w:val="20"/>
        </w:trPr>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Floor plan notes payable related to vehicles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845,977</w:t>
            </w:r>
          </w:p>
        </w:tc>
        <w:tc>
          <w:tcPr>
            <w:tcW w:w="2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593,649</w:t>
            </w:r>
          </w:p>
        </w:tc>
      </w:tr>
      <w:tr>
        <w:trPr>
          <w:trHeight w:val="20"/>
        </w:trPr>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Lines of Credit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secured line of credit that provides for a maximum borrowing of $17.5 million. There were no advances outstanding under this secured line of credit at December 31, 2014; however, $15.3 million was pledged to secure various letters of credit related to self-insurance products, leaving $2.2 million available for future borrowings as of December 31,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was comprised of the following (in thousands):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interest rate term notes</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interest rate term notes</w:t>
            </w:r>
          </w:p>
        </w:tc>
        <w:tc>
          <w:tcPr>
            <w:tcW w:w="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503,420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(149,065)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(97,243)</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debt, net of current maturities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429,189</w:t>
            </w:r>
          </w:p>
        </w:tc>
        <w:tc>
          <w:tcPr>
            <w:tcW w:w="160" w:type="dxa"/>
            <w:vAlign w:val="bottom"/>
          </w:tcPr>
          <w:p>
            <w:pPr>
              <w:spacing w:after="0"/>
              <w:rPr>
                <w:sz w:val="18"/>
                <w:szCs w:val="18"/>
                <w:color w:val="auto"/>
              </w:rPr>
            </w:pPr>
          </w:p>
        </w:tc>
        <w:tc>
          <w:tcPr>
            <w:tcW w:w="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December 31, 2014, debt maturities were as follows (in thousands):</w:t>
            </w:r>
          </w:p>
        </w:tc>
        <w:tc>
          <w:tcPr>
            <w:tcW w:w="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20" w:type="dxa"/>
            <w:vAlign w:val="bottom"/>
            <w:gridSpan w:val="4"/>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740" w:type="dxa"/>
            <w:vAlign w:val="bottom"/>
            <w:vMerge w:val="restart"/>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rates on the Company’s variable interest rate notes are based on LIBOR. The interest rates on the notes range from approximately 1.6% to 3.0% on December 31, 2014. Payments on the notes range from approximately $1,910 to $80,000 per month, plus interest. Maturities of these notes range from June 2015 to December 2018.</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fixed interest rate notes are with financial institutions and had interest rates that ranged from approximately 2.42% to 8.02% on December 31, 2014. Payments on the notes range from $98 to $59,437 per month, plus interest. Maturities of these notes range from January 2015, to December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proceeds from the issuance of the notes were used primarily to acquire land, buildings and improvements, transportation equipment and leasing vehicles.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are secured by the assets acquired with the proceeds of such notes.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2" w:name="page63"/>
    <w:bookmarkEnd w:id="6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Company's long-term debt agreements and floor plan financing arrangements require it to satisfy various financial ratios such as the debt-to-worth ratio, leverage ratio and the fixed charge coverage ratio and certain requirements for tangible net worth and GAAP net worth. On December 31, 2014, the Company was in compliance with all of its debt covenants except with respect to the leverage ratio requirement in the GE Credit Agreement and the Wells Fargo Equipment Finance, Inc. loan agreement and the Company received waivers of noncompliance from each of these lenders. As of December 31, 2014, the Company had obligations under the GE Credit Agreement in the amount of $677.8 million and the Wells Fargo Equipment Finance, Inc. loan agreement in the amount of $82.7 million. Pursuant to the terms of such agreements, the Company is required to have a leverage ratio of 2.50:1 as of the end of each fiscal quarter. As of December 31, 2014, the Company's leverage ratio was 2.52:1. The noncompliance was primarily the result of inventories being at a higher level due to industry forecasted demand and not due to any existing financial problems that were materially affecting the Company's business. As a condition of the waivers, the Company is required to be back in compliance with the leverage ratio as of March 31, 2015, and for each quarter thereafter. The Company does not anticipate the breach of any of its debt covenants, including the leverage ratio covenant, in the foreseeable future.</w:t>
      </w:r>
    </w:p>
    <w:p>
      <w:pPr>
        <w:spacing w:after="0" w:line="211"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INSTRUMENTS AND FAIR VALUE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at December 31, 2014, and 2013. The carrying value of current assets and current liabilities approximates the fair value due to the short maturity of these items.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Statements of Income.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2014, the Company held auction rate securities with underlying tax-exempt municipal bonds that mature in 2030 and have a fair value of $6.9 million and a cost basis of $7.4 million. As of December 31, 2013, the auction rate securities had a fair value of $6.6 million and a cost basis of $7.6 million. The Company redeemed $150,000 of the auction rate securities during the second quarter of 2014. These bonds have credit wrap insurance and a credit rating of A by a major credit rating agency.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valued the auction rate securities at December 31, 2014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3" w:name="page64"/>
    <w:bookmarkEnd w:id="6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 pre-tax impairment charge of $1.0 million on these auction rate securities in 2011 and a subsequent pre-tax increase in fair value of $427,000 during 2014. The Company believes that the impairment is temporary and has included the impairment in accumulated other comprehensive loss.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disclosures about the auction rate securities measured at fair value on a recurring basis in the Company’s financial statements as follows (in thousands):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2014</w:t>
            </w:r>
          </w:p>
        </w:tc>
        <w:tc>
          <w:tcPr>
            <w:tcW w:w="5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At December 31, 2013</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980" w:type="dxa"/>
            <w:vAlign w:val="bottom"/>
          </w:tcPr>
          <w:p>
            <w:pPr>
              <w:jc w:val="center"/>
              <w:ind w:left="172"/>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tcPr>
          <w:p>
            <w:pPr>
              <w:jc w:val="center"/>
              <w:ind w:right="620"/>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1040" w:type="dxa"/>
            <w:vAlign w:val="bottom"/>
            <w:gridSpan w:val="2"/>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6"/>
                <w:szCs w:val="16"/>
                <w:color w:val="auto"/>
              </w:rPr>
            </w:pPr>
          </w:p>
        </w:tc>
        <w:tc>
          <w:tcPr>
            <w:tcW w:w="980" w:type="dxa"/>
            <w:vAlign w:val="bottom"/>
            <w:gridSpan w:val="2"/>
          </w:tcPr>
          <w:p>
            <w:pPr>
              <w:jc w:val="center"/>
              <w:ind w:left="170"/>
              <w:spacing w:after="0" w:line="18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6"/>
                <w:szCs w:val="16"/>
                <w:color w:val="auto"/>
              </w:rPr>
            </w:pPr>
          </w:p>
        </w:tc>
        <w:tc>
          <w:tcPr>
            <w:tcW w:w="100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Pr>
          <w:p>
            <w:pPr>
              <w:jc w:val="center"/>
              <w:ind w:left="152"/>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9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20" w:type="dxa"/>
            <w:vAlign w:val="bottom"/>
          </w:tcPr>
          <w:p>
            <w:pPr>
              <w:spacing w:after="0"/>
              <w:rPr>
                <w:sz w:val="20"/>
                <w:szCs w:val="20"/>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Inputs</w:t>
            </w:r>
          </w:p>
        </w:tc>
      </w:tr>
      <w:tr>
        <w:trPr>
          <w:trHeight w:val="191"/>
        </w:trPr>
        <w:tc>
          <w:tcPr>
            <w:tcW w:w="280" w:type="dxa"/>
            <w:vAlign w:val="bottom"/>
          </w:tcPr>
          <w:p>
            <w:pPr>
              <w:spacing w:after="0"/>
              <w:rPr>
                <w:sz w:val="16"/>
                <w:szCs w:val="16"/>
                <w:color w:val="auto"/>
              </w:rPr>
            </w:pPr>
          </w:p>
        </w:tc>
        <w:tc>
          <w:tcPr>
            <w:tcW w:w="17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Investment in auction</w:t>
            </w:r>
          </w:p>
        </w:tc>
        <w:tc>
          <w:tcPr>
            <w:tcW w:w="9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80" w:type="dxa"/>
            <w:vAlign w:val="bottom"/>
          </w:tcPr>
          <w:p>
            <w:pPr>
              <w:spacing w:after="0"/>
              <w:rPr>
                <w:sz w:val="20"/>
                <w:szCs w:val="20"/>
                <w:color w:val="auto"/>
              </w:rPr>
            </w:pPr>
          </w:p>
        </w:tc>
        <w:tc>
          <w:tcPr>
            <w:tcW w:w="1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rate securities</w:t>
            </w: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6,905</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right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Loss In</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OCI</w:t>
            </w:r>
          </w:p>
        </w:tc>
        <w:tc>
          <w:tcPr>
            <w:tcW w:w="220" w:type="dxa"/>
            <w:vAlign w:val="bottom"/>
          </w:tcPr>
          <w:p>
            <w:pPr>
              <w:spacing w:after="0"/>
              <w:rPr>
                <w:sz w:val="20"/>
                <w:szCs w:val="20"/>
                <w:color w:val="auto"/>
              </w:rPr>
            </w:pPr>
          </w:p>
        </w:tc>
        <w:tc>
          <w:tcPr>
            <w:tcW w:w="13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7,425</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6,905</w:t>
            </w:r>
          </w:p>
        </w:tc>
      </w:tr>
      <w:tr>
        <w:trPr>
          <w:trHeight w:val="210"/>
        </w:trPr>
        <w:tc>
          <w:tcPr>
            <w:tcW w:w="20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in auction rate securities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6,628</w:t>
            </w:r>
          </w:p>
        </w:tc>
      </w:tr>
      <w:tr>
        <w:trPr>
          <w:trHeight w:val="20"/>
        </w:trPr>
        <w:tc>
          <w:tcPr>
            <w:tcW w:w="2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200" w:lineRule="exact"/>
        <w:rPr>
          <w:sz w:val="20"/>
          <w:szCs w:val="20"/>
          <w:color w:val="auto"/>
        </w:rPr>
      </w:pP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2014, the Company had an aggregate $20.9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years ended December 31, 2014 and December 31, 2013.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cash flow hedges is calculated as the present value of expected future cash flows, determined on the basis of forward interest rates and present value factors. As such, the carrying amounts for these swaps are designated to be Level 2 fair values and totaled $235,000 as of December 31, 2014. The carrying value of these swaps is included in Other Long-Term Liabilities on the accompanying Consolidated Balance Sheet as of December 31, 2014.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4" w:name="page65"/>
    <w:bookmarkEnd w:id="6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2014 the Company was party to derivative financial instruments, as described in the following table (in thousands):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Current Notional</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7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Fixed Interest Rate</w:t>
            </w:r>
          </w:p>
        </w:tc>
        <w:tc>
          <w:tcPr>
            <w:tcW w:w="100" w:type="dxa"/>
            <w:vAlign w:val="bottom"/>
          </w:tcPr>
          <w:p>
            <w:pPr>
              <w:spacing w:after="0"/>
              <w:rPr>
                <w:sz w:val="20"/>
                <w:szCs w:val="20"/>
                <w:color w:val="auto"/>
              </w:rPr>
            </w:pPr>
          </w:p>
        </w:tc>
        <w:tc>
          <w:tcPr>
            <w:tcW w:w="18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1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2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3 month LIBOR</w:t>
            </w:r>
          </w:p>
        </w:tc>
        <w:tc>
          <w:tcPr>
            <w:tcW w:w="22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 2015</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3,528</w:t>
            </w:r>
          </w:p>
        </w:tc>
        <w:tc>
          <w:tcPr>
            <w:tcW w:w="1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18"/>
                <w:szCs w:val="18"/>
                <w:color w:val="auto"/>
              </w:rPr>
            </w:pPr>
          </w:p>
        </w:tc>
        <w:tc>
          <w:tcPr>
            <w:tcW w:w="1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 month LIBOR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4,368</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5.38%</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 month LIBOR</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29,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5.29%</w:t>
            </w:r>
          </w:p>
        </w:tc>
        <w:tc>
          <w:tcPr>
            <w:tcW w:w="100" w:type="dxa"/>
            <w:vAlign w:val="bottom"/>
          </w:tcPr>
          <w:p>
            <w:pPr>
              <w:spacing w:after="0"/>
              <w:rPr>
                <w:sz w:val="18"/>
                <w:szCs w:val="18"/>
                <w:color w:val="auto"/>
              </w:rPr>
            </w:pPr>
          </w:p>
        </w:tc>
        <w:tc>
          <w:tcPr>
            <w:tcW w:w="1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 month LIBOR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1,288</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5.29%</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 month LIBOR</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6,496</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5.29%</w:t>
            </w:r>
          </w:p>
        </w:tc>
        <w:tc>
          <w:tcPr>
            <w:tcW w:w="100" w:type="dxa"/>
            <w:vAlign w:val="bottom"/>
          </w:tcPr>
          <w:p>
            <w:pPr>
              <w:spacing w:after="0"/>
              <w:rPr>
                <w:sz w:val="18"/>
                <w:szCs w:val="18"/>
                <w:color w:val="auto"/>
              </w:rPr>
            </w:pPr>
          </w:p>
        </w:tc>
        <w:tc>
          <w:tcPr>
            <w:tcW w:w="1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 month LIBOR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1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5.29%</w:t>
            </w:r>
          </w:p>
        </w:tc>
        <w:tc>
          <w:tcPr>
            <w:tcW w:w="1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 month LIBOR</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30,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2,251</w:t>
            </w:r>
          </w:p>
        </w:tc>
        <w:tc>
          <w:tcPr>
            <w:tcW w:w="1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5.29%</w:t>
            </w:r>
          </w:p>
        </w:tc>
        <w:tc>
          <w:tcPr>
            <w:tcW w:w="100" w:type="dxa"/>
            <w:vAlign w:val="bottom"/>
          </w:tcPr>
          <w:p>
            <w:pPr>
              <w:spacing w:after="0"/>
              <w:rPr>
                <w:sz w:val="20"/>
                <w:szCs w:val="20"/>
                <w:color w:val="auto"/>
              </w:rPr>
            </w:pPr>
          </w:p>
        </w:tc>
        <w:tc>
          <w:tcPr>
            <w:tcW w:w="1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 month LIBOR</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of derivative instruments are on the accompanying Consolidated Balance Sheet as follows (in thousands):</w:t>
      </w:r>
    </w:p>
    <w:p>
      <w:pPr>
        <w:spacing w:after="0" w:line="2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7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 Designated as Hedging Instruments</w:t>
            </w:r>
          </w:p>
        </w:tc>
        <w:tc>
          <w:tcPr>
            <w:tcW w:w="120" w:type="dxa"/>
            <w:vAlign w:val="bottom"/>
            <w:vMerge w:val="restart"/>
          </w:tcPr>
          <w:p>
            <w:pPr>
              <w:spacing w:after="0"/>
              <w:rPr>
                <w:sz w:val="18"/>
                <w:szCs w:val="18"/>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vMerge w:val="restart"/>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auto"/>
            </w:tcBorders>
            <w:gridSpan w:val="6"/>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480" w:type="dxa"/>
            <w:vAlign w:val="bottom"/>
            <w:tcBorders>
              <w:bottom w:val="single" w:sz="8" w:color="auto"/>
            </w:tcBorders>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2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3"/>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410"/>
        </w:trPr>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Loss Reclassified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from Accumulated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OCI on Derivatives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8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(Effective Portion)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(Effective Portion)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during the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during the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6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2080" w:type="dxa"/>
            <w:vAlign w:val="bottom"/>
            <w:gridSpan w:val="2"/>
          </w:tcPr>
          <w:p>
            <w:pPr>
              <w:jc w:val="center"/>
              <w:ind w:left="170"/>
              <w:spacing w:after="0" w:line="188" w:lineRule="exact"/>
              <w:rPr>
                <w:sz w:val="20"/>
                <w:szCs w:val="20"/>
                <w:color w:val="auto"/>
              </w:rPr>
            </w:pPr>
            <w:r>
              <w:rPr>
                <w:rFonts w:ascii="Times New Roman" w:cs="Times New Roman" w:eastAsia="Times New Roman" w:hAnsi="Times New Roman"/>
                <w:sz w:val="18"/>
                <w:szCs w:val="18"/>
                <w:b w:val="1"/>
                <w:bCs w:val="1"/>
                <w:color w:val="auto"/>
              </w:rPr>
              <w:t>Reclassified into</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5"/>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2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8"/>
                <w:szCs w:val="18"/>
                <w:color w:val="auto"/>
              </w:rPr>
            </w:pPr>
          </w:p>
        </w:tc>
        <w:tc>
          <w:tcPr>
            <w:tcW w:w="2080" w:type="dxa"/>
            <w:vAlign w:val="bottom"/>
            <w:tcBorders>
              <w:top w:val="single" w:sz="8" w:color="auto"/>
            </w:tcBorders>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Interest Expense</w:t>
            </w: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76"/>
              </w:rPr>
              <w:t>(196)</w:t>
            </w:r>
          </w:p>
        </w:tc>
        <w:tc>
          <w:tcPr>
            <w:tcW w:w="1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(290)</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9100" w:firstLine="8"/>
        <w:spacing w:after="0" w:line="501" w:lineRule="auto"/>
        <w:tabs>
          <w:tab w:leader="none" w:pos="4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Vehicle Leases as Lessee</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vehicles, as lessee, primarily over periods ranging from one to ten years under operating lease and capital lease arrangements. Generally, the Company is required to incur all operating costs and pay a minimum rental. The Company guarantees the residual value of vehicles under operating lease and capital lease arrangements. At December 31, 2014, the Company guaranteed vehicle residual values of $1.3 million under operating lease arrangements and $22.8 million under capital lease arrangements. Historically, the Company purchases these vehicles at the end of the lease term and recognizes a gain on the subsequent sale of the vehicle. The residual values are not reflected in the future minimum lease payments for operating leases. Vehicle lease expenses were approximately $4.1 million for the year ended December 31, 2014, $2.3 million for the year ended December 31, 2013, and $2.8 million for the year ended December 31, 2012.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below, these vehicles are then subleased by the Company to customers under various agreements. Future minimum sublease rentals to be received by the Company under non-cancelable subleases, as described below, are $54.0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5" w:name="page66"/>
    <w:bookmarkEnd w:id="6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capital and non-cancelable vehicle leases as of December 31, 2014, are as follows (in thousands):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Capital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Operating</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Leases</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Leases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2015</w:t>
            </w:r>
          </w:p>
        </w:tc>
        <w:tc>
          <w:tcPr>
            <w:tcW w:w="106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11,176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12,549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60" w:type="dxa"/>
            <w:vAlign w:val="bottom"/>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62,610</w:t>
            </w:r>
          </w:p>
        </w:tc>
        <w:tc>
          <w:tcPr>
            <w:tcW w:w="120" w:type="dxa"/>
            <w:vAlign w:val="bottom"/>
          </w:tcPr>
          <w:p>
            <w:pPr>
              <w:spacing w:after="0"/>
              <w:rPr>
                <w:sz w:val="18"/>
                <w:szCs w:val="18"/>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80" w:type="dxa"/>
            <w:vAlign w:val="bottom"/>
          </w:tcPr>
          <w:p>
            <w:pPr>
              <w:spacing w:after="0"/>
              <w:rPr>
                <w:sz w:val="18"/>
                <w:szCs w:val="18"/>
                <w:color w:val="auto"/>
              </w:rPr>
            </w:pPr>
          </w:p>
        </w:tc>
      </w:tr>
      <w:tr>
        <w:trPr>
          <w:trHeight w:val="20"/>
        </w:trPr>
        <w:tc>
          <w:tcPr>
            <w:tcW w:w="57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amount representing interest</w:t>
            </w:r>
          </w:p>
        </w:tc>
        <w:tc>
          <w:tcPr>
            <w:tcW w:w="10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(5,360)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57,250</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(11,231)</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under capital leases less current portion</w:t>
            </w:r>
          </w:p>
        </w:tc>
        <w:tc>
          <w:tcPr>
            <w:tcW w:w="106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46,019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Vehicle Leases as Lessor</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leases both owned and leased vehicles to customers, through PacLease and Idealease, primarily over periods of one to ten years under operating lease arrangements, which require a minimum rental payment and a contingent rental payment based on mileage. Rental income during the year ended December 31, 2014, consisted of minimum rental payments of approximately $154.8 million and contingent rental payments of $24.5 million. Rental income during the year ended December 31, 2013, consisted of minimum rental payments of approximately $112.0 million and contingent rental payments of $18.1 million. Rental income during the year ended December 31, 2012, consisted of minimum rental payments of approximately $86.3 million and contingent rental payments of $13.8 million. Minimum rental payments to be received for non-cancelable leases and subleases in effect at December 31, 2014, are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2014, the Company had $512.1 million of lease vehicles included in property and equipment, net of accumulated depreciation of $185.0 million. As of December 31, 2013, the Company had $405.2 million of lease vehicles included in property and equipment, net of accumulated depreciation of $142.4 million.</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6" w:name="page67"/>
    <w:bookmarkEnd w:id="6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Other Leases - Land and Buildings</w:t>
      </w: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various assets under operating leases with expiration dates ranging from January 2015 through April 2027. Monthly rental payments range from approximately $275 per month to $64,609 per month. Rental expense was $12.8 million for the year ended December 31, 2014, $9.1 million for the year ended December 31, 2013, and $6.8 million for the year ended December 31, 2012. Future minimum lease payments under non-cancelable leases at December 31, 2014, are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80" w:hanging="672"/>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BASED COMPENSATION AND EMPLOYEE BENEFIT PLANS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an Employee Stock Purchase Plan that allows eligible employees to contribute up to $10,625 of their base earnings every six months toward the semi-annual purchase of the Company’s Class A Common Stock. The employee’s purchase price is 85% of the lesser of the closing price of the Class A Common Stock on the first business day or the last business day of the semi-annual offering period, as reported by The NASDAQ Global Select Market. Employees may purchase shares having a fair market value of up to $25,000 (measured as of the first day of each semi-annual offering period) for each calendar year. Under the Employee Stock Purchase Plan, there are approximately 250,500 shares remaining of the 900,000 shares of the Company’s Class A Common Stock that have been reserved for issuance. The Company issued 64,090 shares under the Employee Stock Purchase Plan during the year ended December 31, 2014 and 79,681 shares during the year ended December 31, 2013. Of the 6,297 employees eligible to participate, 837 elected to participate in the plan as of December 31, 2014.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Stock Option Plan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16, 2006, the Board of Directors and shareholders adopted the Rush Enterprises, Inc. 2006 Non-Employee Director Stock Option Plan (the “Director Plan”), reserving 1,500,000 shares of Class A Common Stock for issuance upon exercise of any awards granted under the plan. This Director Plan was Amended and Restated on May 20, 2008 to expand the type of award that may be granted under the plan to include Class A Common Stock awards. The Director Plan was also amended on May 18, 2010 to reduce the number of shares reserved for issuance under the plan by 1,000,000 shares of Class A Common Stock.</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Director Plan is designed to attract and retain highly qualified non-employee directors. Prior to 2008, each non-employee director received options to purchase 20,000 shares of the Company’s Class A Common Stock upon their respective date of appointment and each year on the date that they are elected or reelected by the shareholders to serve on the Board of Directors. Each option has a ten year term from the grant date and vested immediately. Currently, each non-employee director receives a grant of the Company’s Class A Common Stock equivalent to a compensation value of $125,000. In 2013, three non-employee directors received a grant of 4,512 shares of the Company’s Class A Common Stock and one non-employee director received a grant of 2,707 shares of the Company’s Class A Common Stock and $50,000 cash, for total compensation equivalent to $125,000. In 2014, four non-employee directors received a grant of 3,877 shares of the Company’s Class A Common Stock, one non-employee director received a grant of 3,101 shares of the Company’s Class A Common Stock and $25,000 cash, for total compensation equivalent to $125,000, and one non-employee director received a grant of 2,326 shares of the Company’s Class A Common Stock and $50,000 cash, for total compensation equivalent to $125,000. Under the Director Plan, there are approximately 218,000 shares remaining for issuance of the 500,000 shares of the Company’s Class A Common Stock that have been reserved for issuance. The Company granted 20,935 shares of Class A Common Stock under the Director Plan during the year ended December 31, 2014 and 16,243 shares of Class A Common Stock under the Director Plan during the year ended December 31, 2013.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Incentive Plans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2007, the Board of Directors and shareholders adopted the Rush Enterprises, Inc. 2007 Long-Term Incentive Plan (the “2007 Incentive Plan”). The 2007 Incentive Plan provides for the grant of stock options (which may be nonqualified stock options or incentive stock options for tax purposes), stock appreciation rights issued independent of or in tandem with such options (“SARs”), restricted stock awards and performance awards. The 2007 Incentive Plan replaced the Rush Enterprises, Inc. Long-Term Incentive Plan (“Incentive Plan”) effective May 22, 2007. The 2007 Incentive Plan was Amended and Restated on May 20, 2014 to increase the number of shares available for issuance under the plan to 6,050,000 shares of Class A Common Stock and 1,450,000 shares of Class B Common Stock.</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67" w:name="page68"/>
    <w:bookmarkEnd w:id="6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aggregate number of shares of common stock subject to stock options or SARs that may be granted to any one participant in any year under the 2007 Incentive Plan is 100,000 shares of Class A Common Stock or 100,000 shares of Class B Common Stock. Each option, granted pursuant to the 2007 Incentive Plan, has a ten year term from the grant date and vests in three equal annual installments beginning on the third anniversary of the grant date. The Company has 6,050,000 shares of Class A Common Stock and 1,450,000 shares of Class B Common Stock reserved for issuance upon exercise of any awards granted under the Company’s 2007 Incentive Plan. As of December 31, 2014, approximately 1,805,000 shares of Class A Common Stock and 1,013,000 shares of Class B Common Stock are available for issuance upon exercise of any awards granted under the Company’s 2007 Incentive Plan. The Company issues new shares of its Class A or Class B Common Stock upon the exercise of stock options or vesting of restricted stock units. During the year ended December 31, 2014, the Company granted 459,058 options to purchase Class A Common Stock, 25,550 restricted Class A Common Stock units and 207,370 restricted Class B Common Stock units under the 2007 Incentive Plan. During the year ended December 31, 2013, the Company granted 400,633 options to purchase Class A Common Stock and 241,930 restricted Class A Common Stock units under the 2007 Incentive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restricted stock awards, restricted stock units and employee stock purchases was $11.3 million for the year ended December 31, 2014, $8.6 million for the year ended December 31, 2013, and $7.3 million for the year ended December 31, 2012.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received from options exercised and shares purchased under all share-based payment arrangements was $12.5 million for the year ended December 31, 2014, $10.0 million for the year ended December 31, 2013, and $5.1 million for the year ended December 31, 2012.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for the year ended December 31, 2014,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7"/>
              </w:rPr>
              <w:t>Weighted</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Remaining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Exercise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Intrinsic</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Price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Life (in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Outstanding Options at January 1, 2014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3,642,156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459,058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(902,238)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12.21</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of Outstanding Options at December 31, 2014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3,182,976</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39,792,666</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to vest after December 31, 2014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1,950,078</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16,465,041</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at December 31, 2014</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1,114,912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12.47</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22,420,955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preceding table represents the total pretax intrinsic value, based on the weighted-average of the closing price as of December 31, 2014, of the Company’s Class A common of $32.05. The total intrinsic value of options exercised was $18.7 million during the year ended December 31, 2014, $10.5 million during the year ended December 31, 2013, and $5.6 million during the year ended December 31, 2012.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8" w:name="page69"/>
    <w:bookmarkEnd w:id="6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number of shares underlying Company’s non-vested stock options as of December 31, 2014, and changes during the year ended December 31, 2014, follows:</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Average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Number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Grant Date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Non-vested Shares</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2014</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2,152,940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459,058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(557,934)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at December 31, 2014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2,038,064</w:t>
            </w:r>
          </w:p>
        </w:tc>
        <w:tc>
          <w:tcPr>
            <w:tcW w:w="12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vested options was $3.3 million during the year ended December 31, 2014, $3.4 million during the year ended December 31, 2013, and $2.4 million during the year ended December 31, 2012. The weighted-average grant date fair value of options granted was $15.86 per share during the year ended December 31, 2014, $12.69 per share during the year ended December 31, 2013, and $10.95 per share during the year ended December 31, 2012.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Awards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granted restricted stock units to its employees under the 2007 Incentive Plan and unrestricted stock awards to its non-employee directors under the Director Plan during the year ended December 31, 2014. The shares granted to employees vest in three equal installments on the first, second and third anniversary of the grant date and are forfeited in the event the recipient’s employment or relationship with the Company is terminated prior to vesting. The fair value of the restricted stock awards and units to the Company’s employees is amortized to expense on a straight-line basis over the restricted stock’s vesting period. The shares granted to non-employee directors are expensed on the grant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Company’s non-vested restricted stock awards and non-vested restricted stock units outstanding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Remaining</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Aggregate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Intrinsic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Stock Awards and Units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Life (in Years)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Non-vested shares at January 1, 2014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302,015</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253,855</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(152,520)</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Non-vested at December 31, 2014</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11,553,831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24.53</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to vest after December 31, 2014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398,268</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11,459,524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fair value of the shares issued upon the vesting of stock awards during the year ended December 31, 2013 was $3.5 million. The weighted-average grant date fair value of stock awards and units granted was $26.81 per share during the year ended December 31, 2014, $22.12 per share during the year ended December 31, 2013, and $21.98 per share during the year ended December 31, 2012.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2014, there was $15.8 million of total unrecognized compensation cost related to unvested share-based compensation arrangements granted under the Incentive Plan and the 2007 Incentive Plan. That cost is expected to be recognized over a weighted-average period of 2.7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9" w:name="page70"/>
    <w:bookmarkEnd w:id="6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227"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The Company has a defined contribution plan (the “Rush 401k Plan”), which is available to all Company employees and the employees of certain affiliates. Each employee who has completed 90 days of continuous service is entitled to enter the Rush 401k Plan on the first day of the following month. Participating employees may contribute from 1% to 50% of total gross compensation. However, certain highly compensated employees are limited to a maximum contribution of 15% of total gross compensation. Effective January 1, 2011, for the first 10% of an employee’s contribution, the Company contributed an amount equal to 15% of the employees’ contributions for those employees with less than five years of service and an amount equal to 30% of the employees’ contributions for those employees with more than five years of service. Effective February 1, 2012, for the first 10% of an employee’s contribution, the Company contributed an amount equal to 20% of the employees’ contributions for those employees with less than five years of service and an amount equal to 40% of the employees’ contributions for those employees with more than five years of service. The Company incurred expenses related to the Rush 401k Plan of approximately $5.2 million during the year ended December 31, 2014, $4.4 million during the year ended December 31, 2013, and $3.7 million during the year ended December 31, 2012.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2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On November 6, 2010 the Board of Directors of the Company adopted the Rush Enterprises, Inc. Deferred Compensation Plan (the “Deferred Compensation Plan”) pursuant to which selected employees and directors may elect to defer a portion of their annual compensation. The Deferred Compensation Plan also provides the Company with the discretion to make matching contributions to participants’ accounts. The Company established a rabbi trust to finance obligations under the Deferred Compensation Plan with corporate-owned variable life insurance contracts. Participants are 100% vested in their respective deferrals and the earnings thereon. The first deferral election period began on January 1, 2011. The Company’s liability related to the Deferred Compensation Plan was $3.0 million on December 31, 2014 and $1.7 million on December 31, 2013. The related cash surrender value of the life insurance contracts was $2.9 million on December 31, 2014 and $1.6 million on December 31, 2013.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does not provide any post-retirement benefits nor does it provide any post-employment benefits.</w:t>
      </w:r>
    </w:p>
    <w:p>
      <w:pPr>
        <w:spacing w:after="0" w:line="225" w:lineRule="exact"/>
        <w:rPr>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Basic earnings per share (“EPS”) were computed by dividing income from continuing operations by the weighted average number of shares of common stock outstanding during the period. Diluted EPS differs from basic EPS due to the assumed conversions of potentially dilutive options and restricted shares that were outstanding during the period. The Company’s Class A Common Stock and Class B Common Stock have equal claims on earnings of the Company. The following is a reconciliation of the numerators and the denominators of the basic and diluted per share computations for income from continuing operations (in thousands, except per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Numerator for basic and diluted earnings per share -</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00" w:type="dxa"/>
            <w:vAlign w:val="bottom"/>
          </w:tcPr>
          <w:p>
            <w:pPr>
              <w:spacing w:after="0"/>
              <w:rPr>
                <w:sz w:val="22"/>
                <w:szCs w:val="22"/>
                <w:color w:val="auto"/>
              </w:rPr>
            </w:pPr>
          </w:p>
        </w:tc>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4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79,957</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49,217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62,455</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53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39,783</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39,405</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38,643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Employee and director stock options and restricted share awards</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 w:type="dxa"/>
            <w:vAlign w:val="bottom"/>
          </w:tcPr>
          <w:p>
            <w:pPr>
              <w:spacing w:after="0"/>
              <w:rPr>
                <w:sz w:val="16"/>
                <w:szCs w:val="16"/>
                <w:color w:val="auto"/>
              </w:rPr>
            </w:pPr>
          </w:p>
        </w:tc>
        <w:tc>
          <w:tcPr>
            <w:tcW w:w="532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w w:val="99"/>
              </w:rPr>
              <w:t>Denominator for diluted earnings per share - adjusted weighted average</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40,894</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40,506</w:t>
            </w:r>
          </w:p>
        </w:tc>
        <w:tc>
          <w:tcPr>
            <w:tcW w:w="340" w:type="dxa"/>
            <w:vAlign w:val="bottom"/>
          </w:tcPr>
          <w:p>
            <w:pPr>
              <w:spacing w:after="0"/>
              <w:rPr>
                <w:sz w:val="16"/>
                <w:szCs w:val="16"/>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39,688</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532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color w:val="auto"/>
              </w:rPr>
              <w:t>shares and assumed conversions</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00" w:type="dxa"/>
            <w:vAlign w:val="bottom"/>
          </w:tcPr>
          <w:p>
            <w:pPr>
              <w:spacing w:after="0"/>
              <w:rPr>
                <w:sz w:val="17"/>
                <w:szCs w:val="17"/>
                <w:color w:val="auto"/>
              </w:rPr>
            </w:pPr>
          </w:p>
        </w:tc>
        <w:tc>
          <w:tcPr>
            <w:tcW w:w="5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1400" w:type="dxa"/>
            <w:vAlign w:val="bottom"/>
            <w:gridSpan w:val="2"/>
          </w:tcPr>
          <w:p>
            <w:pPr>
              <w:jc w:val="right"/>
              <w:ind w:right="7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spacing w:after="0"/>
              <w:rPr>
                <w:sz w:val="17"/>
                <w:szCs w:val="17"/>
                <w:color w:val="auto"/>
              </w:rPr>
            </w:pPr>
          </w:p>
        </w:tc>
        <w:tc>
          <w:tcPr>
            <w:tcW w:w="98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66</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5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2" w:right="199" w:bottom="1440" w:gutter="0" w:footer="0" w:header="0"/>
        </w:sectPr>
      </w:pPr>
    </w:p>
    <w:bookmarkStart w:id="70" w:name="page71"/>
    <w:bookmarkEnd w:id="7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years ended December 31, 2014, 2013 and 2012 that were not included in the computation of diluted earnings per share because the effect would have been anti-dilutive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4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13.   INCOME TAXES:</w:t>
            </w: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800" w:type="dxa"/>
            <w:vAlign w:val="bottom"/>
            <w:gridSpan w:val="5"/>
            <w:vMerge w:val="continue"/>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Provision for Income Taxes</w:t>
            </w:r>
          </w:p>
        </w:tc>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tax provisions are summarized as follows (in thousands):</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12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vMerge w:val="restart"/>
          </w:tcPr>
          <w:p>
            <w:pPr>
              <w:spacing w:after="0"/>
              <w:rPr>
                <w:sz w:val="18"/>
                <w:szCs w:val="18"/>
                <w:color w:val="auto"/>
              </w:rPr>
            </w:pPr>
          </w:p>
        </w:tc>
        <w:tc>
          <w:tcPr>
            <w:tcW w:w="70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6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25,357</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9,763</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vMerge w:val="restart"/>
          </w:tcPr>
          <w:p>
            <w:pPr>
              <w:spacing w:after="0"/>
              <w:rPr>
                <w:sz w:val="18"/>
                <w:szCs w:val="18"/>
                <w:color w:val="auto"/>
              </w:rPr>
            </w:pPr>
          </w:p>
        </w:tc>
        <w:tc>
          <w:tcPr>
            <w:tcW w:w="70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provision-</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22,081</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vMerge w:val="restart"/>
          </w:tcPr>
          <w:p>
            <w:pPr>
              <w:spacing w:after="0"/>
              <w:rPr>
                <w:sz w:val="18"/>
                <w:szCs w:val="18"/>
                <w:color w:val="auto"/>
              </w:rPr>
            </w:pPr>
          </w:p>
        </w:tc>
        <w:tc>
          <w:tcPr>
            <w:tcW w:w="70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3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50,586</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16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taxes based on the federal statutory rates and the provisions (benefits) for income taxes are summarized as follows (in thousands):</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the federal statutory rate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45,691</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28,371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35,414</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2,259</w:t>
            </w: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2,753</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permanent differences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r>
      <w:tr>
        <w:trPr>
          <w:trHeight w:val="210"/>
        </w:trPr>
        <w:tc>
          <w:tcPr>
            <w:tcW w:w="45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50,586</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31,844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38,728</w:t>
            </w:r>
          </w:p>
        </w:tc>
      </w:tr>
      <w:tr>
        <w:trPr>
          <w:trHeight w:val="20"/>
        </w:trPr>
        <w:tc>
          <w:tcPr>
            <w:tcW w:w="4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taxes for other than continuing operations consisted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191"/>
        </w:trPr>
        <w:tc>
          <w:tcPr>
            <w:tcW w:w="300" w:type="dxa"/>
            <w:vAlign w:val="bottom"/>
          </w:tcPr>
          <w:p>
            <w:pPr>
              <w:spacing w:after="0"/>
              <w:rPr>
                <w:sz w:val="16"/>
                <w:szCs w:val="16"/>
                <w:color w:val="auto"/>
              </w:rPr>
            </w:pPr>
          </w:p>
        </w:tc>
        <w:tc>
          <w:tcPr>
            <w:tcW w:w="57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Income tax expense (benefit) related to components of other comprehensive</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cash flow swaps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available-for-sale securities</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20" w:type="dxa"/>
            <w:vAlign w:val="bottom"/>
          </w:tcPr>
          <w:p>
            <w:pPr>
              <w:spacing w:after="0"/>
              <w:rPr>
                <w:sz w:val="18"/>
                <w:szCs w:val="18"/>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Paid in capital – stock based compensation</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(5,207)</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(1,668)</w:t>
            </w:r>
          </w:p>
        </w:tc>
        <w:tc>
          <w:tcPr>
            <w:tcW w:w="340" w:type="dxa"/>
            <w:vAlign w:val="bottom"/>
          </w:tcPr>
          <w:p>
            <w:pPr>
              <w:spacing w:after="0"/>
              <w:rPr>
                <w:sz w:val="18"/>
                <w:szCs w:val="18"/>
                <w:color w:val="auto"/>
              </w:rPr>
            </w:pPr>
          </w:p>
        </w:tc>
      </w:tr>
      <w:tr>
        <w:trPr>
          <w:trHeight w:val="669"/>
        </w:trPr>
        <w:tc>
          <w:tcPr>
            <w:tcW w:w="300" w:type="dxa"/>
            <w:vAlign w:val="bottom"/>
          </w:tcPr>
          <w:p>
            <w:pPr>
              <w:spacing w:after="0"/>
              <w:rPr>
                <w:sz w:val="24"/>
                <w:szCs w:val="24"/>
                <w:color w:val="auto"/>
              </w:rPr>
            </w:pPr>
          </w:p>
        </w:tc>
        <w:tc>
          <w:tcPr>
            <w:tcW w:w="5740" w:type="dxa"/>
            <w:vAlign w:val="bottom"/>
          </w:tcPr>
          <w:p>
            <w:pPr>
              <w:ind w:left="532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0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00" w:type="dxa"/>
            <w:vAlign w:val="bottom"/>
            <w:shd w:val="clear" w:color="auto" w:fill="808080"/>
          </w:tcPr>
          <w:p>
            <w:pPr>
              <w:spacing w:after="0"/>
              <w:rPr>
                <w:sz w:val="5"/>
                <w:szCs w:val="5"/>
                <w:color w:val="auto"/>
              </w:rPr>
            </w:pPr>
          </w:p>
        </w:tc>
        <w:tc>
          <w:tcPr>
            <w:tcW w:w="57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71" w:name="page72"/>
    <w:bookmarkEnd w:id="7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components of deferred tax assets and liabilities included in the balance sheet (in thousands):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2014</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4,673</w:t>
            </w: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3,821</w:t>
            </w: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4,531</w:t>
            </w: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 net operating loss carry forward</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 tax credit</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w:t>
            </w:r>
          </w:p>
        </w:tc>
      </w:tr>
      <w:tr>
        <w:trPr>
          <w:trHeight w:val="20"/>
        </w:trPr>
        <w:tc>
          <w:tcPr>
            <w:tcW w:w="68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16,277</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(409)</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8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deferred tax asset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18,387</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16,277</w:t>
            </w:r>
          </w:p>
        </w:tc>
      </w:tr>
      <w:tr>
        <w:trPr>
          <w:trHeight w:val="20"/>
        </w:trPr>
        <w:tc>
          <w:tcPr>
            <w:tcW w:w="6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Non-Current:</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16,965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13,002</w:t>
            </w:r>
          </w:p>
        </w:tc>
      </w:tr>
      <w:tr>
        <w:trPr>
          <w:trHeight w:val="216"/>
        </w:trPr>
        <w:tc>
          <w:tcPr>
            <w:tcW w:w="6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5,894</w:t>
            </w: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w:t>
            </w:r>
          </w:p>
        </w:tc>
      </w:tr>
      <w:tr>
        <w:trPr>
          <w:trHeight w:val="210"/>
        </w:trPr>
        <w:tc>
          <w:tcPr>
            <w:tcW w:w="68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25,860</w:t>
            </w:r>
          </w:p>
        </w:tc>
        <w:tc>
          <w:tcPr>
            <w:tcW w:w="1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Difference between book and tax basis-</w:t>
            </w:r>
          </w:p>
        </w:tc>
        <w:tc>
          <w:tcPr>
            <w:tcW w:w="36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(201,495)</w:t>
            </w: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(168,539)</w:t>
            </w:r>
          </w:p>
        </w:tc>
      </w:tr>
      <w:tr>
        <w:trPr>
          <w:trHeight w:val="210"/>
        </w:trPr>
        <w:tc>
          <w:tcPr>
            <w:tcW w:w="68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non-current tax liability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(175,635)</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(147,822)</w:t>
            </w:r>
          </w:p>
        </w:tc>
      </w:tr>
      <w:tr>
        <w:trPr>
          <w:trHeight w:val="20"/>
        </w:trPr>
        <w:tc>
          <w:tcPr>
            <w:tcW w:w="6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At December 31, 2014, the Company had approximately $35.28 million in state net operating loss carry forwards that expire from 2014 through 2034. The Company has a valuation allowance of $409,000 associated with U.S. state net operating losses. The valuation allowance increased by $409,000 due to uncertainty regarding the ability to utilize the losses.</w:t>
      </w:r>
    </w:p>
    <w:p>
      <w:pPr>
        <w:spacing w:after="0" w:line="176"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The Company had unrecognized income tax benefits totaling $1.5 million as a component of accrued liabilities at December 31, 2014, and $1.0 million at December 31, 2013,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During the years ended December 31, 2014, 2013 and 2012, the Company recognized approximately $17,500, $32,000, and $2,300 in interest. No amounts were accrued for penalties. The Company had approximately $98,500, $81,000 and $49,000 for the payment of interest accrued at December 31, 2014, 2013 and 2012, respectively.</w:t>
      </w:r>
    </w:p>
    <w:p>
      <w:pPr>
        <w:spacing w:after="0" w:line="18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December 31, 2014, the tax years ended December 31, 2011 through 2014 remained subject to audit by federal tax authorities and the tax years ended December 31, 2010 through 2014, remained subject to audit by state tax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change in the unrecognized tax benefits is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9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2013</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beginning of period</w:t>
            </w:r>
          </w:p>
        </w:tc>
        <w:tc>
          <w:tcPr>
            <w:tcW w:w="8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current year</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815</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 – tax positions in a prior year</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at end of period</w:t>
            </w:r>
          </w:p>
        </w:tc>
        <w:tc>
          <w:tcPr>
            <w:tcW w:w="8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669"/>
        </w:trPr>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9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68</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2" w:right="199" w:bottom="1440" w:gutter="0" w:footer="0" w:header="0"/>
        </w:sectPr>
      </w:pPr>
    </w:p>
    <w:bookmarkStart w:id="72" w:name="page73"/>
    <w:bookmarkEnd w:id="7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purchase obligations of $49.0 million at December 31, 2014 related to the Company’s construction contracts for facilities in San Antonio, Dallas, and Odessa, Texas, Whittier, California, Chicago, Illinois, Cincinnati and Cleveland, Ohio and Denver, Colorado. The Company also has contractual obligations of $22.5 million with IBM for integration and management services related to the SAP enterprise software and dealership management system implementation and SAP America, Inc. with respect to the Software License Agreement for the SAP enterprise software and dealership management system.</w:t>
      </w:r>
    </w:p>
    <w:p>
      <w:pPr>
        <w:spacing w:after="0" w:line="180" w:lineRule="exact"/>
        <w:rPr>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of the following acquisitions, unless otherwise noted, were considered business combinations accounted for under ASC 805 “Business Combinations.” Pro forma information is not included in accordance with ASC 805 since no acquisitions were considered material individually or in the aggregate.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value of certain assets and liabilities acquired in 2014 are preliminary in nature, they are subject to adjustment as additional information is obtained about the facts and circumstances that existed at the acquisition date. The property and equipment, inventory and valuation of intangibles is subject to change during the purchase price allocation period.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8, 2014, the Company acquired certain assets of North Florida Truck Parts, Inc. which included a commercial parts and service facility in Lake City, Florida. The Lake City location is operating as a full-service Rush Truck Center and offers commercial vehicles manufactured by Peterbilt. The transaction was valued at approximately $1.6 million, with the purchase price paid in cash. The preliminary purchase price was allocated based on the fair values of the assets at the date of acquisition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North Florida Truck Parts, Inc. acquisition will be amortized over 15 years for tax purposes.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3" w:name="page74"/>
    <w:bookmarkEnd w:id="7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 2014, the Company acquired certain assets of House of Trucks, Inc. which included used commercial vehicle facilities in Willowbrook and Wilmington, Illinois. The transaction, including real estate, was valued at approximately $6.9 million, with the purchase price paid in cash. The preliminary purchase price was allocated based on the fair values of the assets at the date of acquisition as follows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5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House of Trucks, Inc. acquisition will be amortized over 15 years for tax purposes.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2014, the Company acquired certain assets of Truck Parts Depot, Inc. which included a commercial parts and service facility in Gainesville, Georgia. The Gainesville location is operating as a full-service Rush Truck Center and offers commercial vehicles manufactured by International. The transaction was valued at approximately $500,000, with the purchase price paid in cash.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25, 2014, a joint venture was established to further expand the Company’s used commercial vehicle sales network. As a result, the Company owns 50% of CCTTS, which has locations in multiple locations in California that sell used trucks. In connection with the formation of this joint venture, the Company contributed $2.2 million. CCTTS is accounted for using the equity method of accounting in accordance with ASC 323, “Investments-Equity Method and Joint Venture,” and is recorded on the Consolidated Balance Sheet in Other Assets.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2014, the Company announced an agreement with 3M to pursue the design, manufacture and installation of a portfolio of compressed natural gas CNG fuel systems for use in Class 6 through 8 vehicles. The Agreement allows the Company to engineer, assemble and install CNG fuel systems utilizing 3M’s CNG tanks, as well as provide market distribution and aftermarket support. In addition to the initial $2.0 million investment for research and development, which was recorded in selling, general and administrative expense, the Company will continue to incur expenses to bring its CNG fuel system to market. The transaction did not qualify as a business combination in accordance with ASC 805, “Business Combinations.”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13, 2014, the Company acquired certain assets of CIT, Inc., which did business as Chicago International Trucks, Mcgrenho L.L.C., which did business as Indy Truck Sales, and Indiana Mack Leasing, LLC; and the membership interests of Idealease of Chicago, LLC. The acquisition included International commercial truck dealerships and Idealease commercial vehicle rental and leasing businesses in Carol Stream, Chicago, Grayslake, Huntley, Joliet, Kankakee and Ottawa, Illinois, and Brazil, Gary and Indianapolis, Indiana.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price for the assets, membership interests, goodwill, franchise rights and dealership properties was approximately $146.6 million, which was paid in cash and 83,091 shares of the Company’s Class B Common Stock with a total value of $2.0 million on the date of acquisition. The operations of CIT, Inc. are included in the accompanying consolidated financial statements from the date of the acquisition. The preliminary purchase price was allocated based on the fair values of the assets at the date of acquisition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(1,325)</w:t>
            </w: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146,563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CIT, Inc. acquisition will be amortized over 15 years for tax purposes.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4" w:name="page75"/>
    <w:bookmarkEnd w:id="7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2013, the Company acquired certain assets of Prairie International Trucks, which operated International commercial vehicle dealerships in Champaign, Decatur, Bloomington, Quincy and Springfield, Illinois; a collision center in Champaign, Illinois and Idealease commercial lease and rental operations at the dealerships in Champaign, Decatur, Quincy and Springfield, Illinois.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was valued at approximately $9.5 million with the purchase price paid in cash. The operations of Prairie International Trucks are included in the accompanying consolidated financial statements from the date of the acquisition. The purchase price was allocated based on the fair values of the assets and liabilities at the date of acquisition as follows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Prairie International Trucks acquisition will be amortized over 15 years for tax purposes.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30, 2013, the Company acquired certain assets of Transauthority, Inc., Transauthority Idealease, LLC and Transauthority Idealease-Tidewater, LLC, which operated commercial vehicle dealerships and commercial vehicle leasing operations in Richmond, Suffolk, Fredericksburg and Chester, Virginia.</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was valued at approximately $41.7 million, including real estate of $11.1 million. The purchase price for the assets of the business was financed under the Company’s floor plan and lease and rental truck financing arrangements with the remainder paid in cash. The operations of Transauthority, Inc., Transauthority Idealease, LLC and Transauthority Idealease-Tidewater, LLC are included in the accompanying consolidated financial statements from the date of the acquisition. The purchase price was allocated based on the fair values of the assets and liabilities at the date of acquisition as follows (in thousands):</w:t>
      </w:r>
    </w:p>
    <w:p>
      <w:pPr>
        <w:spacing w:after="0" w:line="200" w:lineRule="exact"/>
        <w:rPr>
          <w:sz w:val="20"/>
          <w:szCs w:val="20"/>
          <w:color w:val="auto"/>
        </w:rPr>
      </w:pP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34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41,682</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Transauthority acquisition will be amortized over 15 years for tax purposes.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29, 2013, the Company acquired certain assets of Midwest Truck Sales, which operated commercial vehicle dealerships in St. Peters and St. Louis, Missouri and Olathe, Kansas.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5" w:name="page76"/>
    <w:bookmarkEnd w:id="75"/>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was valued at approximately $16.8 million, including real estate of $2.3 million. The purchase price for the assets of the business was financed under the Company’s floor plan and lease and rental truck financing arrangements with the remainder paid in cash. The operations of Midwest Truck Sales are included in the accompanying consolidated financial statements from the date of the acquisition. The purchase price was allocated based on the fair values of the assets at the date of acquisition as follows (in thousands):</w:t>
      </w:r>
    </w:p>
    <w:p>
      <w:pPr>
        <w:spacing w:after="0" w:line="200" w:lineRule="exact"/>
        <w:rPr>
          <w:sz w:val="20"/>
          <w:szCs w:val="20"/>
          <w:color w:val="auto"/>
        </w:rPr>
      </w:pP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Midwest Truck Sales acquisition will be amortized over 15 years for tax purposes.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2013, the Company acquired certain assets of The Larson Group, Inc., which included Ford and Mitsubishi Fuso truck franchises in Cincinnati Ohio. The transaction was valued at approximately $1.2 million, with the purchase price paid in cash.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2013, the Company acquired certain assets of Piedmont International Trucks, LLC, which operated commercial vehicle dealerships in Statesville, Hickory and Asheville, North Carolina. The acquisition included International and Idealease franchises. These locations are operating as Rush Truck Centers and offer commercial vehicles manufactured by International in addition to parts, service, body shop, leasing, financing and insurance capabilities.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was valued at approximately $3.5 million. The purchase price for the assets of the business was financed under the Company’s floor plan and lease and rental truck financing arrangements with the remainder paid in cash. The operations of Piedmont International Trucks, LLC are included in the accompanying consolidated financial statements from the date of the acquisition. The purchase price was allocated based on the fair values of the assets at the date of acquisition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2012, the Company acquired certain assets of MVI Group, which operated commercial vehicle and bus dealerships in Ohio under the names of Miami Valley International, Center City International, CCI North Coast and Buckeye Truck Centers. The acquisition included International, IC Bus, and Isuzu franchise locations in Akron, Cincinnati, Cleveland, Columbus, Dayton, Findlay and Lima, Ohio. Rush Truck Leasing now operates Idealease truck rental and leasing franchises in Cincinnati, Cleveland, Columbus, Dayton and Lima, Ohio.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including real estate, was valued at approximately $104.5 million. The purchase price for the assets of the business was financed under the Company’s floor plan and lease and rental truck financing arrangements with the remainder paid in cash. The purchase price was allocated based on the fair values of the assets at the date of acquisition as follows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including real estate</w:t>
            </w:r>
          </w:p>
        </w:tc>
        <w:tc>
          <w:tcPr>
            <w:tcW w:w="5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104,535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goodwill acquired in the MVI Group acquisition will be amortized over 15 years for tax purposes.</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76" w:name="page77"/>
    <w:bookmarkEnd w:id="7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hanging="452"/>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w w:val="99"/>
              </w:rPr>
              <w:t>The following table shows the components of accumulated other comprehensive loss (in thousands):</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Available for Sale</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Cash Flow Swaps</w:t>
            </w:r>
          </w:p>
        </w:tc>
        <w:tc>
          <w:tcPr>
            <w:tcW w:w="120" w:type="dxa"/>
            <w:vAlign w:val="bottom"/>
          </w:tcPr>
          <w:p>
            <w:pPr>
              <w:spacing w:after="0"/>
              <w:rPr>
                <w:sz w:val="20"/>
                <w:szCs w:val="20"/>
                <w:color w:val="auto"/>
              </w:rPr>
            </w:pP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Securities</w:t>
            </w:r>
          </w:p>
        </w:tc>
        <w:tc>
          <w:tcPr>
            <w:tcW w:w="34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8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1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r>
      <w:tr>
        <w:trPr>
          <w:trHeight w:val="20"/>
        </w:trPr>
        <w:tc>
          <w:tcPr>
            <w:tcW w:w="58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r>
      <w:tr>
        <w:trPr>
          <w:trHeight w:val="250"/>
        </w:trPr>
        <w:tc>
          <w:tcPr>
            <w:tcW w:w="5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Year Ended</w:t>
            </w:r>
          </w:p>
        </w:tc>
        <w:tc>
          <w:tcPr>
            <w:tcW w:w="1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December 31, 2014</w:t>
            </w:r>
          </w:p>
        </w:tc>
        <w:tc>
          <w:tcPr>
            <w:tcW w:w="60" w:type="dxa"/>
            <w:vAlign w:val="bottom"/>
          </w:tcPr>
          <w:p>
            <w:pPr>
              <w:spacing w:after="0"/>
              <w:rPr>
                <w:sz w:val="19"/>
                <w:szCs w:val="19"/>
                <w:color w:val="auto"/>
              </w:rPr>
            </w:pP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December 31, 2013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2012</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cash flow swaps to:</w:t>
            </w:r>
          </w:p>
        </w:tc>
        <w:tc>
          <w:tcPr>
            <w:tcW w:w="6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6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66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7220" w:hanging="652"/>
        <w:spacing w:after="0" w:line="313" w:lineRule="auto"/>
        <w:tabs>
          <w:tab w:leader="none" w:pos="46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UNAUDITED QUARTERLY FINANCIAL DATA</w:t>
      </w:r>
      <w:r>
        <w:rPr>
          <w:rFonts w:ascii="Times New Roman" w:cs="Times New Roman" w:eastAsia="Times New Roman" w:hAnsi="Times New Roman"/>
          <w:sz w:val="17"/>
          <w:szCs w:val="17"/>
          <w:color w:val="auto"/>
        </w:rPr>
        <w:t>: (In thousands, except per share amounts.)</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18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Third</w:t>
            </w:r>
          </w:p>
        </w:tc>
        <w:tc>
          <w:tcPr>
            <w:tcW w:w="2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Fourth</w:t>
            </w:r>
          </w:p>
        </w:tc>
      </w:tr>
      <w:tr>
        <w:trPr>
          <w:trHeight w:val="238"/>
        </w:trPr>
        <w:tc>
          <w:tcPr>
            <w:tcW w:w="3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8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190"/>
        </w:trPr>
        <w:tc>
          <w:tcPr>
            <w:tcW w:w="532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2014</w:t>
            </w: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60" w:type="dxa"/>
            <w:vAlign w:val="bottom"/>
            <w:tcBorders>
              <w:top w:val="single" w:sz="8" w:color="auto"/>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958,667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1,182,461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1,241,022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1,345,206</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165,925</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193,349</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198,739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198,033</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22,746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34,932</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41,018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43,045</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19,615</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32,389</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38,329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40,210</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12,014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23,478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24,627</w:t>
            </w:r>
          </w:p>
        </w:tc>
      </w:tr>
      <w:tr>
        <w:trPr>
          <w:trHeight w:val="216"/>
        </w:trPr>
        <w:tc>
          <w:tcPr>
            <w:tcW w:w="3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0.62</w:t>
            </w:r>
          </w:p>
        </w:tc>
      </w:tr>
      <w:tr>
        <w:trPr>
          <w:trHeight w:val="216"/>
        </w:trPr>
        <w:tc>
          <w:tcPr>
            <w:tcW w:w="5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r>
      <w:tr>
        <w:trPr>
          <w:trHeight w:val="270"/>
        </w:trPr>
        <w:tc>
          <w:tcPr>
            <w:tcW w:w="36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96"/>
        </w:trPr>
        <w:tc>
          <w:tcPr>
            <w:tcW w:w="5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2013</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0" w:type="dxa"/>
            <w:vAlign w:val="bottom"/>
            <w:tcBorders>
              <w:top w:val="single" w:sz="8" w:color="auto"/>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gridSpan w:val="2"/>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756,788</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789,674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913,064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925,179</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133,788</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137,688</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150,312</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150,226</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24,613</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11,789</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27,870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27,482</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22,100</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9,309</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25,089</w:t>
            </w:r>
          </w:p>
        </w:tc>
        <w:tc>
          <w:tcPr>
            <w:tcW w:w="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24,563</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13,547</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14,859</w:t>
            </w:r>
          </w:p>
        </w:tc>
      </w:tr>
      <w:tr>
        <w:trPr>
          <w:trHeight w:val="216"/>
        </w:trPr>
        <w:tc>
          <w:tcPr>
            <w:tcW w:w="3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0.35</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5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2013, the Company entered into a Retirement and Transition Agreement with the Company’s former Chairman, W. Marvin Rush, which resulted in the recognition of $10.8 million in retirement pay and benefits recorded in selling, general and administrative expense on the Consolidated Statements of Income in the second quarter of 2013.</w:t>
      </w:r>
    </w:p>
    <w:p>
      <w:pPr>
        <w:sectPr>
          <w:pgSz w:w="11900" w:h="16838" w:orient="portrait"/>
          <w:cols w:equalWidth="0" w:num="1">
            <w:col w:w="11420"/>
          </w:cols>
          <w:pgMar w:left="240" w:top="11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77" w:name="page78"/>
    <w:bookmarkEnd w:id="77"/>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currently has one reportable business segment - the Truck Segment. The Truck Segment includes the Company’s operation of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intersegment sales and transfers as if the sales or transfers were to third parties, that is, at current market prices. There were no material intersegment sales during the years ended December 31, 2014, 2013 or 2012.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 segment income or loss from continuing operations and segment assets for the periods ended December 31, 2014, 2013 and 2012 (in thousands):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Truck</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All</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w w:val="88"/>
              </w:rPr>
              <w:t>2014</w:t>
            </w:r>
          </w:p>
        </w:tc>
        <w:tc>
          <w:tcPr>
            <w:tcW w:w="3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4,708,978</w:t>
            </w:r>
          </w:p>
        </w:tc>
        <w:tc>
          <w:tcPr>
            <w:tcW w:w="4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4,727,356</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Segment income (loss) from continuing operations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before taxes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131,035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2,664,405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2,694,262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262,585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88"/>
              </w:rPr>
              <w:t>2013</w:t>
            </w:r>
          </w:p>
        </w:tc>
        <w:tc>
          <w:tcPr>
            <w:tcW w:w="3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3,365, 900</w:t>
            </w:r>
          </w:p>
        </w:tc>
        <w:tc>
          <w:tcPr>
            <w:tcW w:w="4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18,805</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3,384,705</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Segment income (loss) from continuing operations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before taxes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81,856</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2,140,008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2,167,798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212,904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191,016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88"/>
              </w:rPr>
              <w:t>2012</w:t>
            </w:r>
          </w:p>
        </w:tc>
        <w:tc>
          <w:tcPr>
            <w:tcW w:w="3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46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3,072,092</w:t>
            </w:r>
          </w:p>
        </w:tc>
        <w:tc>
          <w:tcPr>
            <w:tcW w:w="48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18,475</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3,090,567</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Segment income (loss) from continuingoperations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before taxes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1,855,431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195,697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78" w:name="page79"/>
    <w:bookmarkEnd w:id="78"/>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IMPAIRMENT: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fourth quarter of 2014, the Company initiated a plan to sell its corporate aircraft and met all of the initial criteria of ASC 360, “Property, Plant and Equipment” to classify the corporate asset as an asset held for sale. It was determined that the carrying value of the corporate aircraft was no longer recoverable, and the Company recognized a $3.4 million in pre-tax non-cash asset impairment charge during the twelve months ended December 31, 2014. As a result, the Company adjusted the carrying value of its corporate aircraft to its estimated fair market value less costs to sell in accordance with ASC 820, “Fair Value Measurement.” The impairment loss is included in depreciation and amortization expense as of December 31, 2014, on the Consolidated Statements of Income. At December 31, 2014, the corporate aircraft is presented on the Consolidated Balance Sheets as a current asset in asset held for sale and the related debt is presented in current liabilities in liabilities directly associated with asset held for sale. Depreciation will not be recorded on the corporate aircraft during the period in which it is classified as held for sale. At December 31, 2013, the corporate aircraft is presented on the Consolidated Balance Sheets as a non-current asset in property, plant and equipment at a cost of $9.9 million, net of accumulated depreciation of $3.9 million, and the related debt is presented in both current liabilities in the amount of $1.0 million and non-current liabilities in the amount of $6.2 million. The asset is reported under the Truck Segment.</w:t>
      </w:r>
    </w:p>
    <w:p>
      <w:pPr>
        <w:spacing w:after="0" w:line="193" w:lineRule="exact"/>
        <w:rPr>
          <w:sz w:val="20"/>
          <w:szCs w:val="20"/>
          <w:color w:val="auto"/>
        </w:rPr>
      </w:pPr>
    </w:p>
    <w:p>
      <w:pPr>
        <w:ind w:left="460" w:hanging="452"/>
        <w:spacing w:after="0"/>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2014, the Company entered into a loan agreement with CCTTS, a related party, that provides for advances up to $10.0 million to finance commercial vehicle inventory. Borrowings under this loan agreement bear interest at the three month LIBOR rate plus 4.0% and the interest is payable monthly. Amounts advanced under the loan agreement are due when the related commercial vehicle inventory is sold by the related party. On December 31, 2014, the Company had a $8.2 million receivable under the loan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9" w:name="page80"/>
    <w:bookmarkEnd w:id="79"/>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2014, to ensure that information required to be disclosed in our reports filed or submitted under the Exchange Act is (1) recorded, processed, summarized and reported within the time periods specified in the Securities and Exchange Commission’s rules and forms and (2) accumulated and communicated to the Company’s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quarter ended December 31, 2014, the Company continued its implementation of the SAP enterprise software and dealership management system. As appropriate, the Company is modifying the documentation of its internal control processes and procedures relating to this change in dealer management systems to supplement and complement existing internal controls over financial reporting. Other than the above, there were no changes in the Company’s internal control over financial reporting during the quarter ended December 31, 2014 that have materially affected, or are reasonably likely to materially affect, the Company’s internal control over financial reporting.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for the Company. The Company’s internal control over financial reporting is a process designed under the supervision of the Company’s President and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2014, management assessed the effectiveness of the Company’s internal control over financial reporting based on the criteria for effective internal control over financial reporting established in “Internal Control – Integrated Framework,” issued by the Committee of Sponsoring Organizations (COSO) of the Treadway Commission (1992 Framework). Based on the assessment, management determined that the Company maintained effective internal control over financial reporting as of December 31, 2014, based on those criteria.</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2014. The report, which expresses an unqualified opinion on the effectiveness of the Company’s internal control over financial reporting as of December 31, 2014, is included in this Item 9A under the heading “Attestation Report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80" w:name="page81"/>
    <w:bookmarkEnd w:id="80"/>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Attestation Report of Independent Registered Public Accounting Firm</w:t>
      </w:r>
    </w:p>
    <w:p>
      <w:pPr>
        <w:spacing w:after="0" w:line="2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 Internal Control over Financial Reporting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Rush Enterprises, Inc.</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Rush Enterprises, Inc. and subsidiaries’ internal control over financial reporting as of December 31, 2014, based on criteria established in Internal Control − Integrated Framework issued by the Committee of Sponsoring Organizations of the Treadway Commission (1992 Framework) (the COSO criteria). Rush Enterprises, Inc.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our opinion, Rush Enterprises, Inc. and subsidiaries maintained, in all material respects, effective internal control over financial reporting as of December 31, 2014, based on the COSO criteria.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Rush Enterprises, Inc. and subsidiaries as of December 31, 2014, and 2013, and the related consolidated statements of income, comprehensive income, shareholders’ equity, and cash flows for each of the three years in the period ended December 31, 2014, of Rush Enterprises, Inc. and subsidiaries and our report dated March 2, 2015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1" w:name="page82"/>
    <w:bookmarkEnd w:id="81"/>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10 of Form 10-K is incorporated herein by reference to such information included in the Company’s Proxy Statement for the 2015 Annual Meeting of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maintain a code of ethics applicable to our principal executive officer, principal financial officer, principal accounting officer or controller, and other persons performing similar functions. To view this code of ethics free of charge, please visit our website at </w:t>
      </w:r>
      <w:r>
        <w:rPr>
          <w:rFonts w:ascii="Times New Roman" w:cs="Times New Roman" w:eastAsia="Times New Roman" w:hAnsi="Times New Roman"/>
          <w:sz w:val="18"/>
          <w:szCs w:val="18"/>
          <w:u w:val="single" w:color="auto"/>
          <w:color w:val="auto"/>
        </w:rPr>
        <w:t>www.rushenterprises.com</w:t>
      </w:r>
      <w:r>
        <w:rPr>
          <w:rFonts w:ascii="Times New Roman" w:cs="Times New Roman" w:eastAsia="Times New Roman" w:hAnsi="Times New Roman"/>
          <w:sz w:val="18"/>
          <w:szCs w:val="18"/>
          <w:color w:val="auto"/>
        </w:rPr>
        <w:t xml:space="preserve"> (This website address is not intended to function as a hyperlink, and the information contained in our website is not incorporated in to this report or otherwise made part of this report). We intend to satisfy the disclosure requirements under Item 5.05 of Form 8-K regarding an amendment to, or waiver from, a provision of this code of ethics, if any, by posting such information on our website set forth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11 of Form 10-K is incorporated herein by reference to such information included in the Company’s Proxy Statement for the 2015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12 of Form 10-K, other than the equity compensation plan information set forth below, is incorporated herein by reference to such information included in the Company’s Proxy Statement for the 2015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13 of Form 10-K is incorporated herein by reference to such information included in the Company’s Proxy Statement for the 2015 Annual Meeting of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Item 14 of Form 10-K is incorporated herein by reference to such information included in the Company’s Proxy Statement for the 2015 Annual Meeting of Shareholders.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2" w:name="page83"/>
    <w:bookmarkEnd w:id="82"/>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Item 8 of Part II of this annual report on Form 10-K are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December 31, 2014, and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2014, 2013, and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2014, 2013, and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2014, 2013, and 2012;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2014, 2013, and 2012;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(a)(2) Financial Statement Schedules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These schedules are omitted as the required information is inapplicable or the information is presented in the consolidated financial statements or related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(a)(3) Exhibits</w:t>
            </w:r>
          </w:p>
        </w:tc>
        <w:tc>
          <w:tcPr>
            <w:tcW w:w="4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32"/>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4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392"/>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2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Identification of Exhibit</w:t>
            </w:r>
          </w:p>
        </w:tc>
      </w:tr>
      <w:tr>
        <w:trPr>
          <w:trHeight w:val="196"/>
        </w:trPr>
        <w:tc>
          <w:tcPr>
            <w:tcW w:w="16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w:t>
            </w:r>
          </w:p>
        </w:tc>
        <w:tc>
          <w:tcPr>
            <w:tcW w:w="402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3960" w:type="dxa"/>
            <w:vAlign w:val="bottom"/>
          </w:tcPr>
          <w:p>
            <w:pPr>
              <w:spacing w:after="0"/>
              <w:rPr>
                <w:sz w:val="17"/>
                <w:szCs w:val="17"/>
                <w:color w:val="auto"/>
              </w:rPr>
            </w:pPr>
          </w:p>
        </w:tc>
      </w:tr>
      <w:tr>
        <w:trPr>
          <w:trHeight w:val="434"/>
        </w:trPr>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tcPr>
          <w:p>
            <w:pPr>
              <w:spacing w:after="0"/>
              <w:rPr>
                <w:sz w:val="24"/>
                <w:szCs w:val="24"/>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Restated Articles of Incorporation of Rush Enterprises, Inc. (incorporated herein by reference to Exhibit 3.1 of the Company’s</w:t>
            </w:r>
          </w:p>
        </w:tc>
      </w:tr>
      <w:tr>
        <w:trPr>
          <w:trHeight w:val="234"/>
        </w:trPr>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Quarterly Report on Form 10-Q (File No. 000-20797) for the quarter ended June 30, 2008)</w:t>
            </w:r>
          </w:p>
        </w:tc>
      </w:tr>
      <w:tr>
        <w:trPr>
          <w:trHeight w:val="4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360" w:type="dxa"/>
            <w:vAlign w:val="bottom"/>
          </w:tcPr>
          <w:p>
            <w:pPr>
              <w:spacing w:after="0"/>
              <w:rPr>
                <w:sz w:val="24"/>
                <w:szCs w:val="24"/>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Rush Enterprises, Inc. Amended and Restated Bylaws (incorporated herein by reference to Exhibit 3.1 of the Company’s Current</w:t>
            </w:r>
          </w:p>
        </w:tc>
      </w:tr>
      <w:tr>
        <w:trPr>
          <w:trHeight w:val="234"/>
        </w:trPr>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Report on Form 8-K (File No. 000-20797) filed May 21, 2013)</w:t>
            </w:r>
          </w:p>
        </w:tc>
      </w:tr>
      <w:tr>
        <w:trPr>
          <w:trHeight w:val="4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360" w:type="dxa"/>
            <w:vAlign w:val="bottom"/>
          </w:tcPr>
          <w:p>
            <w:pPr>
              <w:spacing w:after="0"/>
              <w:rPr>
                <w:sz w:val="24"/>
                <w:szCs w:val="24"/>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Specimen of certificate representing Common Stock (now Class B Common Stock), $.01 par value, of Rush Enterprises, Inc.</w:t>
            </w:r>
          </w:p>
        </w:tc>
      </w:tr>
      <w:tr>
        <w:trPr>
          <w:trHeight w:val="216"/>
        </w:trPr>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(incorporated herein by reference to Exhibit 4.1 of the Company’s Registration Statement No. 333-03346 on Form S-1 filed April</w:t>
            </w:r>
          </w:p>
        </w:tc>
      </w:tr>
      <w:tr>
        <w:trPr>
          <w:trHeight w:val="234"/>
        </w:trPr>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10, 1996)</w:t>
            </w:r>
          </w:p>
        </w:tc>
        <w:tc>
          <w:tcPr>
            <w:tcW w:w="184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1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360" w:type="dxa"/>
            <w:vAlign w:val="bottom"/>
          </w:tcPr>
          <w:p>
            <w:pPr>
              <w:spacing w:after="0"/>
              <w:rPr>
                <w:sz w:val="24"/>
                <w:szCs w:val="24"/>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Specimen of certificate representing Class A Common Stock, $.01 par value, of the Registrant (incorporated herein by reference to</w:t>
            </w:r>
          </w:p>
        </w:tc>
      </w:tr>
      <w:tr>
        <w:trPr>
          <w:trHeight w:val="234"/>
        </w:trPr>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Exhibit 4.1 of the Company’s Registration Statement on Form 8-A filed July 9, 2002)</w:t>
            </w:r>
          </w:p>
        </w:tc>
      </w:tr>
      <w:tr>
        <w:trPr>
          <w:trHeight w:val="41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Right of First Refusal dated December 19, 2012 between Peterbilt Motors Company and W. Marvin Rush (incorporated herein by</w:t>
            </w:r>
          </w:p>
        </w:tc>
      </w:tr>
      <w:tr>
        <w:trPr>
          <w:trHeight w:val="234"/>
        </w:trPr>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reference to Exhibit 10.2 of the Company’s Current Report on Form 8-K (File No. 000-20797) filed December 20, 2012)</w:t>
            </w:r>
          </w:p>
        </w:tc>
      </w:tr>
      <w:tr>
        <w:trPr>
          <w:trHeight w:val="41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Right of First Refusal dated December 19, 2012 between Peterbilt Motors Company and W.M. “Rusty” Rush (incorporated herein</w:t>
            </w:r>
          </w:p>
        </w:tc>
      </w:tr>
      <w:tr>
        <w:trPr>
          <w:trHeight w:val="234"/>
        </w:trPr>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by reference to Exhibit 10. of the Company’s Current Report on Form 8-K (File No. 000-20797) filed December 20, 2012)</w:t>
            </w:r>
          </w:p>
        </w:tc>
      </w:tr>
      <w:tr>
        <w:trPr>
          <w:trHeight w:val="729"/>
        </w:trPr>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60" w:type="dxa"/>
            <w:vAlign w:val="bottom"/>
            <w:gridSpan w:val="2"/>
          </w:tcPr>
          <w:p>
            <w:pPr>
              <w:ind w:left="3980"/>
              <w:spacing w:after="0"/>
              <w:rPr>
                <w:sz w:val="20"/>
                <w:szCs w:val="20"/>
                <w:color w:val="auto"/>
              </w:rPr>
            </w:pPr>
            <w:r>
              <w:rPr>
                <w:rFonts w:ascii="Times New Roman" w:cs="Times New Roman" w:eastAsia="Times New Roman" w:hAnsi="Times New Roman"/>
                <w:sz w:val="18"/>
                <w:szCs w:val="18"/>
                <w:color w:val="auto"/>
              </w:rPr>
              <w:t>79</w:t>
            </w:r>
          </w:p>
        </w:tc>
        <w:tc>
          <w:tcPr>
            <w:tcW w:w="3960" w:type="dxa"/>
            <w:vAlign w:val="bottom"/>
          </w:tcPr>
          <w:p>
            <w:pPr>
              <w:spacing w:after="0"/>
              <w:rPr>
                <w:sz w:val="24"/>
                <w:szCs w:val="24"/>
                <w:color w:val="auto"/>
              </w:rPr>
            </w:pPr>
          </w:p>
        </w:tc>
      </w:tr>
      <w:tr>
        <w:trPr>
          <w:trHeight w:val="105"/>
        </w:trPr>
        <w:tc>
          <w:tcPr>
            <w:tcW w:w="2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960" w:type="dxa"/>
            <w:vAlign w:val="bottom"/>
          </w:tcPr>
          <w:p>
            <w:pPr>
              <w:spacing w:after="0"/>
              <w:rPr>
                <w:sz w:val="9"/>
                <w:szCs w:val="9"/>
                <w:color w:val="auto"/>
              </w:rPr>
            </w:pPr>
          </w:p>
        </w:tc>
      </w:tr>
      <w:tr>
        <w:trPr>
          <w:trHeight w:val="61"/>
        </w:trPr>
        <w:tc>
          <w:tcPr>
            <w:tcW w:w="2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402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39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83" w:name="page84"/>
    <w:bookmarkEnd w:id="83"/>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Enterprises, Inc. Long-Term Incentive Plan, as amended (incorporated herein by reference to Exhibit 4.1 of the Company’s</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Registration Statement No. 333-117305 on Form S-8 filed July 12, 2004)</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Form of Rush Enterprises, Inc. Long-Term Incentive Plan Stock Option Agreement (incorporated herein by reference to Exhibit</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10.85 of the Company’s Registration Statement No. 333-03346 on Form S-1 filed April 10, 1996)</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Enterprises, Inc. Amended and Restated 1997 Non-Employee Director Stock Option Plan, as amended (incorporated herein</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by reference to Exhibit 10.1 of the Company’s Quarterly Report on Form 10-Q (File No. 000-20797) for the quarter ended</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December 31, 2010)</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Form of Rush Enterprises, Inc. 1997 Non-Employee Director Stock Option Agreement (incorporated herein by reference to</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Exhibit 4.4 of the Company’s Registration Statement No. 333-117305 on Form S-8 filed July 12, 2004)</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Enterprises, Inc. 2004 Employee Stock Purchase Plan, as amended (incorporated herein by reference to Exhibit 4.1 of the</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Company’s Registration Statement No. 333-121355 on Form S-8 filed December 17, 2004)</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Enterprises, Inc. Amended and Restated 2006 Non-Employee Director Stock Plan (incorporated herein by reference to</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Exhibit 10.10 of the Company’s Form 10-K (File No. 000-20797) for the year ended December 31, 2010)</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Form of Rush Enterprises, Inc. 2006 Non-Employee Director Stock Option Agreement (incorporated herein by reference to</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Exhibit 4.4 of the Company’s Registration Statement No. 333-138556 on Form S-8 filed November 9, 2006)</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Form of Rush Enterprises, Inc. 2006 Non-Employee Director Stock Plan Restricted Stock Unit Award Agreement (incorporated</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herein by reference to Exhibit 10.1 of the Company’s Form 10-Q (File No. 000-20797) for the quarter ended June 30, 2012)</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Enterprises, Inc. Amended and Restated 2007 Long-Term Incentive Plan (incorporated herein by reference to Exhibit 10.1 of</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Company’s Current Report on Form 8-K (File No. 000-20797) filed July 24, 2014)</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Form of Rush Enterprises Inc. 2007 Long-Term Incentive Plan Restricted Stock Agreement (incorporated herein by reference to</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Exhibit 10.13 of the Company’s Form 10-K (File No. 000-20797) for the year ended December 31, 2008)</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Form of Rush Enterprises, Inc. 2007 Long-Term Incentive Plan Restricted Stock Unit Agreement (incorporated herein by</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reference to Exhibit 10.1 of the Company’s Current Report on Form 8-K (File No. 000-20797) filed March 14, 2012)</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Form of Rush Enterprises, Inc. 2007 Long-Term Incentive Plan Stock Option Agreement (incorporated herein by reference to</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Exhibit 4.4 of the Company’s Form S-8 (File No. 333-144821) filed July 24, 2007)</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Form of dealer agreement between Peterbilt Motors Company and Rush Truck Centers (incorporated herein by reference to</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Exhibit 10.18 of the Company’s Form 10-K (File No. 000-20797) for the year ended December 31, 1999)</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Amended and Restated Amendment to Dealer Sales and Service Agreements, dated December 19, 2012, by and among Peterbilt</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Motors Company, a division of PACCAR, Inc., Rush Enterprises, Inc. and the subsidiaries of Rush Enterprises, Inc. named a party</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therein (incorporated herein by reference to Exhibit 10.1 of the Company's Form 8-K (File No. 000-20797) filed December 20,</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2012)</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Guaranty Agreement, dated December 31, 2010, by Rush Enterprises, Inc. and each other Guarantor party thereto in favor of</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General Electric Capital Corporation. (incorporated herein by reference to Exhibit 10.2 of the Company’s Current Report on Form</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8-K (File No. 000-20797) filed January 6, 2011)</w:t>
            </w:r>
          </w:p>
        </w:tc>
      </w:tr>
      <w:tr>
        <w:trPr>
          <w:trHeight w:val="729"/>
        </w:trPr>
        <w:tc>
          <w:tcPr>
            <w:tcW w:w="1200" w:type="dxa"/>
            <w:vAlign w:val="bottom"/>
          </w:tcPr>
          <w:p>
            <w:pPr>
              <w:spacing w:after="0"/>
              <w:rPr>
                <w:sz w:val="24"/>
                <w:szCs w:val="24"/>
                <w:color w:val="auto"/>
              </w:rPr>
            </w:pPr>
          </w:p>
        </w:tc>
        <w:tc>
          <w:tcPr>
            <w:tcW w:w="10260" w:type="dxa"/>
            <w:vAlign w:val="bottom"/>
          </w:tcPr>
          <w:p>
            <w:pPr>
              <w:ind w:left="4420"/>
              <w:spacing w:after="0"/>
              <w:rPr>
                <w:sz w:val="20"/>
                <w:szCs w:val="20"/>
                <w:color w:val="auto"/>
              </w:rPr>
            </w:pPr>
            <w:r>
              <w:rPr>
                <w:rFonts w:ascii="Times New Roman" w:cs="Times New Roman" w:eastAsia="Times New Roman" w:hAnsi="Times New Roman"/>
                <w:sz w:val="18"/>
                <w:szCs w:val="18"/>
                <w:color w:val="auto"/>
              </w:rPr>
              <w:t>80</w:t>
            </w:r>
          </w:p>
        </w:tc>
      </w:tr>
      <w:tr>
        <w:trPr>
          <w:trHeight w:val="105"/>
        </w:trPr>
        <w:tc>
          <w:tcPr>
            <w:tcW w:w="1200" w:type="dxa"/>
            <w:vAlign w:val="bottom"/>
          </w:tcPr>
          <w:p>
            <w:pPr>
              <w:spacing w:after="0"/>
              <w:rPr>
                <w:sz w:val="9"/>
                <w:szCs w:val="9"/>
                <w:color w:val="auto"/>
              </w:rPr>
            </w:pPr>
          </w:p>
        </w:tc>
        <w:tc>
          <w:tcPr>
            <w:tcW w:w="10260" w:type="dxa"/>
            <w:vAlign w:val="bottom"/>
          </w:tcPr>
          <w:p>
            <w:pPr>
              <w:spacing w:after="0"/>
              <w:rPr>
                <w:sz w:val="9"/>
                <w:szCs w:val="9"/>
                <w:color w:val="auto"/>
              </w:rPr>
            </w:pPr>
          </w:p>
        </w:tc>
      </w:tr>
      <w:tr>
        <w:trPr>
          <w:trHeight w:val="61"/>
        </w:trPr>
        <w:tc>
          <w:tcPr>
            <w:tcW w:w="1200" w:type="dxa"/>
            <w:vAlign w:val="bottom"/>
            <w:shd w:val="clear" w:color="auto" w:fill="808080"/>
          </w:tcPr>
          <w:p>
            <w:pPr>
              <w:spacing w:after="0"/>
              <w:rPr>
                <w:sz w:val="5"/>
                <w:szCs w:val="5"/>
                <w:color w:val="auto"/>
              </w:rPr>
            </w:pPr>
          </w:p>
        </w:tc>
        <w:tc>
          <w:tcPr>
            <w:tcW w:w="102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84" w:name="page85"/>
    <w:bookmarkEnd w:id="84"/>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Amended and Restated Credit Agreement, dated January 31, 2012, among Rush Truck Centers of Alabama, Inc., Rush Truck</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Centers of Arizona, Inc., Rush Truck Centers of California, Inc., Rush Medium Duty Truck Centers of Colorado, Inc., Rush Truck</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Centers of Colorado, Inc., Rush Truck Centers of Florida, Inc., Rush Truck Centers of Georgia, Inc., Rush Truck Centers of New</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Mexico, Inc., Rush Truck Centers of Oklahoma, Inc., Rush Truck Centers of Tennessee, Inc., Rush Truck Centers of North</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Carolina, Inc., Rush Truck Centers of Idaho, Inc., Rush Truck Centers of Utah, Inc., and Rush Truck Centers of Oregon, Inc.,</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Truck Centers of Texas, L.P., Rush Enterprises, Inc., the Lenders party thereto, and General Electric Capital Corporation</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(incorporated herein by reference to Exhibit 10.1 of the Company’s Current Report on Form 8-K (File No. 000-20797) filed</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February 2, 2012)</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First Amendment to Credit Agreement, dated March 29, 2012, by and among Rush Truck Centers of Alabama, Inc., Rush Truck</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Centers of Arizona, Inc., Rush Truck Centers of California, Inc., Rush Medium Duty Truck Centers of Colorado, Inc., Rush Truck</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Centers of Colorado, Inc., Rush Truck Centers of Florida, Inc., Rush Truck Centers of Georgia, Inc., Rush Truck Centers of New</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Mexico, Inc., Rush Truck Centers of Oklahoma, Inc., Rush Truck Centers of Tennessee, Inc., Rush Truck Centers of North</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Carolina, Inc., Rush Truck Centers of Idaho, Inc., Rush Truck Centers of Utah, Inc., and Rush Truck Centers of Oregon, Inc.,</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Truck Centers of Texas, L.P., Rush Enterprises, Inc., the Lenders party thereto, and General Electric Capital Corporation</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(incorporated herein by reference to Exhibit 10.3 of the Company’s Form 10-Q (File No. 000-20797) for the quarter ended March</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31, 2012)</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Second Amendment to Credit Agreement, dated December 31, 2012, among Rush Truck Centers of Alabama, Inc., Rush Truck</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Centers of Arizona, Inc., Rush Truck Centers of California, Inc., Rush Medium Duty Truck Centers of Colorado, Inc., Rush Truck</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Centers of Colorado, Inc., Rush Truck Centers of Florida, Inc., Rush Truck Centers of Georgia, Inc., Rush Truck Centers of New</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Mexico, Inc., Rush Truck Centers of Oklahoma, Inc., Rush Truck Centers of Tennessee, Inc., Rush Truck Centers of North</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Carolina, Inc., Rush Truck Centers of Idaho, Inc., Rush Truck Centers of Utah, Inc., and Rush Truck Centers of Oregon, Inc.,</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Truck Centers of Texas, L.P., Rush Truck Centers of Ohio, Inc., Rush Enterprises, Inc., the Lenders party thereto, and</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General Electric Capital Corporation (incorporated herein by reference to Exhibit 10.1 of the Company’s Current Report on Form</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8-K (File No. 000-20797) filed January 3, 2013)</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Third Amendment to Credit Agreement, dated July 11, 2013, among Rush Truck Centers of Alabama, Inc., Rush Truck Centers of</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Arizona, Inc., Rush Truck Centers of California, Inc., Rush Medium Duty Truck Centers of Colorado, Inc., Rush Truck Centers of</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Colorado, Inc., Rush Truck Centers of Florida, Inc., Rush Truck Centers of Georgia, Inc., Rush Truck Centers of New Mexico,</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 Rush Truck Centers of Oklahoma, Inc., Rush Truck Centers of Tennessee, Inc., Rush Truck Centers of North Carolina, Inc.,</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Truck Centers of Idaho, Inc., Rush Truck Centers of Utah, Inc., Rush Truck Centers of Oregon, Inc., Rush Truck Centers of</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Ohio, Inc., Rush Truck Centers of Kansas, Inc., Rush Truck Centers of Missouri, Inc., Rush Truck Centers of Texas, L.P., Rush</w:t>
            </w:r>
          </w:p>
        </w:tc>
      </w:tr>
      <w:tr>
        <w:trPr>
          <w:trHeight w:val="216"/>
        </w:trPr>
        <w:tc>
          <w:tcPr>
            <w:tcW w:w="1200" w:type="dxa"/>
            <w:vAlign w:val="bottom"/>
          </w:tcPr>
          <w:p>
            <w:pPr>
              <w:spacing w:after="0"/>
              <w:rPr>
                <w:sz w:val="18"/>
                <w:szCs w:val="18"/>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Enterprises, Inc., the Lenders party thereto, and GE Capital Commercial Inc. (incorporated herein by reference to Exhibit 10.1 of</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the Company’s Current Report on Form 8-K (File No. 000-20797) filed July 16, 2013)</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Enterprises, Inc. Deferred Compensation Plan (incorporated herein by reference to Exhibit 10.1 of the Company’s Current</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Report on Form 8-K (File No. 000-20797) filed November 12, 2010)</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Form of Indemnity Agreement (incorporated herein by reference to Exhibit 10.1 of the Company’s Current Report on Form 8-K</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(File No. 000-20797) filed January 7, 2015)</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Rush Enterprises, Inc. Executive Transition Plan (incorporated herein by reference to Exhibit 10.1 of the Company’s Current</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Report on Form 8-K (File No. 000-20797) filed July 25, 2008)</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Retirement and Transition Agreement, dated May 20, 2013, by and between the Company and W. Marvin Rush (incorporated</w:t>
            </w:r>
          </w:p>
        </w:tc>
      </w:tr>
      <w:tr>
        <w:trPr>
          <w:trHeight w:val="234"/>
        </w:trPr>
        <w:tc>
          <w:tcPr>
            <w:tcW w:w="1200" w:type="dxa"/>
            <w:vAlign w:val="bottom"/>
          </w:tcPr>
          <w:p>
            <w:pPr>
              <w:spacing w:after="0"/>
              <w:rPr>
                <w:sz w:val="20"/>
                <w:szCs w:val="20"/>
                <w:color w:val="auto"/>
              </w:rPr>
            </w:pP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herein by reference to Exhibit 10.1 of the Company’s Current Report on Form 8-K (File No. 000-20797) filed May 21, 2013)</w:t>
            </w:r>
          </w:p>
        </w:tc>
      </w:tr>
      <w:tr>
        <w:trPr>
          <w:trHeight w:val="432"/>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729"/>
        </w:trPr>
        <w:tc>
          <w:tcPr>
            <w:tcW w:w="1200" w:type="dxa"/>
            <w:vAlign w:val="bottom"/>
          </w:tcPr>
          <w:p>
            <w:pPr>
              <w:spacing w:after="0"/>
              <w:rPr>
                <w:sz w:val="24"/>
                <w:szCs w:val="24"/>
                <w:color w:val="auto"/>
              </w:rPr>
            </w:pPr>
          </w:p>
        </w:tc>
        <w:tc>
          <w:tcPr>
            <w:tcW w:w="10260" w:type="dxa"/>
            <w:vAlign w:val="bottom"/>
          </w:tcPr>
          <w:p>
            <w:pPr>
              <w:ind w:left="4420"/>
              <w:spacing w:after="0"/>
              <w:rPr>
                <w:sz w:val="20"/>
                <w:szCs w:val="20"/>
                <w:color w:val="auto"/>
              </w:rPr>
            </w:pPr>
            <w:r>
              <w:rPr>
                <w:rFonts w:ascii="Times New Roman" w:cs="Times New Roman" w:eastAsia="Times New Roman" w:hAnsi="Times New Roman"/>
                <w:sz w:val="18"/>
                <w:szCs w:val="18"/>
                <w:color w:val="auto"/>
              </w:rPr>
              <w:t>81</w:t>
            </w:r>
          </w:p>
        </w:tc>
      </w:tr>
      <w:tr>
        <w:trPr>
          <w:trHeight w:val="105"/>
        </w:trPr>
        <w:tc>
          <w:tcPr>
            <w:tcW w:w="1200" w:type="dxa"/>
            <w:vAlign w:val="bottom"/>
          </w:tcPr>
          <w:p>
            <w:pPr>
              <w:spacing w:after="0"/>
              <w:rPr>
                <w:sz w:val="9"/>
                <w:szCs w:val="9"/>
                <w:color w:val="auto"/>
              </w:rPr>
            </w:pPr>
          </w:p>
        </w:tc>
        <w:tc>
          <w:tcPr>
            <w:tcW w:w="10260" w:type="dxa"/>
            <w:vAlign w:val="bottom"/>
          </w:tcPr>
          <w:p>
            <w:pPr>
              <w:spacing w:after="0"/>
              <w:rPr>
                <w:sz w:val="9"/>
                <w:szCs w:val="9"/>
                <w:color w:val="auto"/>
              </w:rPr>
            </w:pPr>
          </w:p>
        </w:tc>
      </w:tr>
      <w:tr>
        <w:trPr>
          <w:trHeight w:val="61"/>
        </w:trPr>
        <w:tc>
          <w:tcPr>
            <w:tcW w:w="1200" w:type="dxa"/>
            <w:vAlign w:val="bottom"/>
            <w:shd w:val="clear" w:color="auto" w:fill="808080"/>
          </w:tcPr>
          <w:p>
            <w:pPr>
              <w:spacing w:after="0"/>
              <w:rPr>
                <w:sz w:val="5"/>
                <w:szCs w:val="5"/>
                <w:color w:val="auto"/>
              </w:rPr>
            </w:pPr>
          </w:p>
        </w:tc>
        <w:tc>
          <w:tcPr>
            <w:tcW w:w="102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1" w:right="199" w:bottom="1440" w:gutter="0" w:footer="0" w:header="0"/>
        </w:sectPr>
      </w:pPr>
    </w:p>
    <w:bookmarkStart w:id="85" w:name="page86"/>
    <w:bookmarkEnd w:id="85"/>
    <w:p>
      <w:pPr>
        <w:spacing w:after="0"/>
        <w:rPr>
          <w:rFonts w:ascii="Times New Roman" w:cs="Times New Roman" w:eastAsia="Times New Roman" w:hAnsi="Times New Roman"/>
          <w:sz w:val="21"/>
          <w:szCs w:val="21"/>
          <w:u w:val="single" w:color="auto"/>
          <w:color w:val="0000EE"/>
        </w:rPr>
      </w:pPr>
      <w:hyperlink w:anchor="page3">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320"/>
          </w:cols>
          <w:pgMar w:left="240" w:top="11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Consent of Ernst &amp; Young LLP</w:t>
      </w:r>
    </w:p>
    <w:p>
      <w:pPr>
        <w:spacing w:after="0" w:line="211" w:lineRule="exact"/>
        <w:rPr>
          <w:sz w:val="20"/>
          <w:szCs w:val="20"/>
          <w:color w:val="auto"/>
        </w:rPr>
      </w:pPr>
    </w:p>
    <w:p>
      <w:pPr>
        <w:sectPr>
          <w:pgSz w:w="11900" w:h="16838" w:orient="portrait"/>
          <w:cols w:equalWidth="0" w:num="2">
            <w:col w:w="1160" w:space="720"/>
            <w:col w:w="9440"/>
          </w:cols>
          <w:pgMar w:left="240" w:top="11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Certification of President and Chief Executive Officer pursuant to Rules 13a-14(a) and 15d-14(a), as adopted pursuant to Section 302 of the Sarbanes-Oxley Act of 2002</w:t>
      </w:r>
    </w:p>
    <w:p>
      <w:pPr>
        <w:spacing w:after="0" w:line="162" w:lineRule="exact"/>
        <w:rPr>
          <w:sz w:val="20"/>
          <w:szCs w:val="20"/>
          <w:color w:val="auto"/>
        </w:rPr>
      </w:pPr>
    </w:p>
    <w:p>
      <w:pPr>
        <w:sectPr>
          <w:pgSz w:w="11900" w:h="16838" w:orient="portrait"/>
          <w:cols w:equalWidth="0" w:num="2">
            <w:col w:w="1160" w:space="720"/>
            <w:col w:w="9440"/>
          </w:cols>
          <w:pgMar w:left="240" w:top="11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Certification of Vice President and Chief Financial Officer pursuant to Rules 13a-14(a) and 15d-14(a), as adopted pursuant to Section 302 of the Sarbanes-Oxley Act of 2002</w:t>
      </w:r>
    </w:p>
    <w:p>
      <w:pPr>
        <w:spacing w:after="0" w:line="162" w:lineRule="exact"/>
        <w:rPr>
          <w:sz w:val="20"/>
          <w:szCs w:val="20"/>
          <w:color w:val="auto"/>
        </w:rPr>
      </w:pPr>
    </w:p>
    <w:p>
      <w:pPr>
        <w:sectPr>
          <w:pgSz w:w="11900" w:h="16838" w:orient="portrait"/>
          <w:cols w:equalWidth="0" w:num="2">
            <w:col w:w="1160" w:space="720"/>
            <w:col w:w="9440"/>
          </w:cols>
          <w:pgMar w:left="240" w:top="11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160" w:space="720"/>
            <w:col w:w="9440"/>
          </w:cols>
          <w:pgMar w:left="240" w:top="11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1160" w:space="720"/>
            <w:col w:w="9440"/>
          </w:cols>
          <w:pgMar w:left="240" w:top="111"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Instance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p>
      <w:pPr>
        <w:spacing w:after="0" w:line="211" w:lineRule="exact"/>
        <w:rPr>
          <w:sz w:val="20"/>
          <w:szCs w:val="20"/>
          <w:color w:val="auto"/>
        </w:rPr>
      </w:pPr>
    </w:p>
    <w:p>
      <w:pPr>
        <w:sectPr>
          <w:pgSz w:w="11900" w:h="16838" w:orient="portrait"/>
          <w:cols w:equalWidth="0" w:num="2">
            <w:col w:w="1160" w:space="720"/>
            <w:col w:w="9440"/>
          </w:cols>
          <w:pgMar w:left="240" w:top="111" w:right="339" w:bottom="1440" w:gutter="0" w:footer="0" w:header="0"/>
          <w:type w:val="continuous"/>
        </w:sectPr>
      </w:pPr>
    </w:p>
    <w:p>
      <w:pPr>
        <w:spacing w:after="0" w:line="223"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left="660" w:hanging="652"/>
        <w:spacing w:after="0" w:line="255"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type w:val="continuous"/>
        </w:sectPr>
      </w:pPr>
    </w:p>
    <w:bookmarkStart w:id="86" w:name="page87"/>
    <w:bookmarkEnd w:id="86"/>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RUSH ENTERPRISES, INC.</w:t>
      </w:r>
    </w:p>
    <w:p>
      <w:pPr>
        <w:spacing w:after="0" w:line="200" w:lineRule="exact"/>
        <w:rPr>
          <w:sz w:val="20"/>
          <w:szCs w:val="20"/>
          <w:color w:val="auto"/>
        </w:rPr>
      </w:pPr>
    </w:p>
    <w:p>
      <w:pPr>
        <w:spacing w:after="0" w:line="241" w:lineRule="exact"/>
        <w:rPr>
          <w:sz w:val="20"/>
          <w:szCs w:val="20"/>
          <w:color w:val="auto"/>
        </w:rPr>
      </w:pPr>
    </w:p>
    <w:p>
      <w:pPr>
        <w:ind w:left="4360"/>
        <w:spacing w:after="0"/>
        <w:tabs>
          <w:tab w:leader="none" w:pos="9160" w:val="left"/>
        </w:tabs>
        <w:rPr>
          <w:sz w:val="20"/>
          <w:szCs w:val="20"/>
          <w:color w:val="auto"/>
        </w:rPr>
      </w:pPr>
      <w:r>
        <w:rPr>
          <w:rFonts w:ascii="Times New Roman" w:cs="Times New Roman" w:eastAsia="Times New Roman" w:hAnsi="Times New Roman"/>
          <w:sz w:val="18"/>
          <w:szCs w:val="18"/>
          <w:color w:val="auto"/>
        </w:rPr>
        <w:t>By: /s/ W. M.”RUSTY” RUSH</w:t>
      </w:r>
      <w:r>
        <w:rPr>
          <w:sz w:val="20"/>
          <w:szCs w:val="20"/>
          <w:color w:val="auto"/>
        </w:rPr>
        <w:tab/>
      </w:r>
      <w:r>
        <w:rPr>
          <w:rFonts w:ascii="Times New Roman" w:cs="Times New Roman" w:eastAsia="Times New Roman" w:hAnsi="Times New Roman"/>
          <w:sz w:val="18"/>
          <w:szCs w:val="18"/>
          <w:color w:val="auto"/>
        </w:rPr>
        <w:t>Date: March 2, 2015</w:t>
      </w:r>
    </w:p>
    <w:p>
      <w:pPr>
        <w:spacing w:after="0" w:line="5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W. 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-127635</wp:posOffset>
            </wp:positionV>
            <wp:extent cx="25298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President, Chief Executive Officer and Chairman of</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the Board</w:t>
      </w:r>
    </w:p>
    <w:p>
      <w:pPr>
        <w:spacing w:after="0" w:line="26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200" w:lineRule="exact"/>
        <w:rPr>
          <w:sz w:val="20"/>
          <w:szCs w:val="20"/>
          <w:color w:val="auto"/>
        </w:rPr>
      </w:pP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880" w:type="dxa"/>
            <w:vAlign w:val="bottom"/>
            <w:gridSpan w:val="3"/>
          </w:tcPr>
          <w:p>
            <w:pPr>
              <w:spacing w:after="0"/>
              <w:rPr>
                <w:sz w:val="17"/>
                <w:szCs w:val="17"/>
                <w:color w:val="auto"/>
              </w:rPr>
            </w:pPr>
          </w:p>
        </w:tc>
        <w:tc>
          <w:tcPr>
            <w:tcW w:w="224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Capacity</w:t>
            </w:r>
          </w:p>
        </w:tc>
        <w:tc>
          <w:tcPr>
            <w:tcW w:w="186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7"/>
              </w:rPr>
              <w:t>/s/ W. M. “RUSTY” RUSH</w:t>
            </w:r>
          </w:p>
        </w:tc>
        <w:tc>
          <w:tcPr>
            <w:tcW w:w="1100" w:type="dxa"/>
            <w:vAlign w:val="bottom"/>
            <w:gridSpan w:val="5"/>
          </w:tcPr>
          <w:p>
            <w:pPr>
              <w:spacing w:after="0"/>
              <w:rPr>
                <w:sz w:val="24"/>
                <w:szCs w:val="24"/>
                <w:color w:val="auto"/>
              </w:rPr>
            </w:pP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March 2, 2015</w:t>
            </w:r>
          </w:p>
        </w:tc>
      </w:tr>
      <w:tr>
        <w:trPr>
          <w:trHeight w:val="218"/>
        </w:trPr>
        <w:tc>
          <w:tcPr>
            <w:tcW w:w="3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 M. “Rusty” Rush</w:t>
            </w: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Chairman of the Board</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/s/ STEVEN L. KELLER</w:t>
            </w:r>
          </w:p>
        </w:tc>
        <w:tc>
          <w:tcPr>
            <w:tcW w:w="1020" w:type="dxa"/>
            <w:vAlign w:val="bottom"/>
            <w:gridSpan w:val="4"/>
          </w:tcPr>
          <w:p>
            <w:pPr>
              <w:spacing w:after="0"/>
              <w:rPr>
                <w:sz w:val="24"/>
                <w:szCs w:val="24"/>
                <w:color w:val="auto"/>
              </w:rPr>
            </w:pP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March 2, 2015</w:t>
            </w:r>
          </w:p>
        </w:tc>
      </w:tr>
      <w:tr>
        <w:trPr>
          <w:trHeight w:val="237"/>
        </w:trPr>
        <w:tc>
          <w:tcPr>
            <w:tcW w:w="20" w:type="dxa"/>
            <w:vAlign w:val="bottom"/>
          </w:tcPr>
          <w:p>
            <w:pPr>
              <w:spacing w:after="0"/>
              <w:rPr>
                <w:sz w:val="20"/>
                <w:szCs w:val="20"/>
                <w:color w:val="auto"/>
              </w:rPr>
            </w:pPr>
          </w:p>
        </w:tc>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Steven L. Keller</w:t>
            </w: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THOMAS A. AKIN</w:t>
            </w: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March 2, 2015</w:t>
            </w:r>
          </w:p>
        </w:tc>
      </w:tr>
      <w:tr>
        <w:trPr>
          <w:trHeight w:val="20"/>
        </w:trPr>
        <w:tc>
          <w:tcPr>
            <w:tcW w:w="2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3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Thomas A. Akin</w:t>
            </w: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22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/s/ HAROLD D. MARSHALL</w:t>
            </w:r>
          </w:p>
        </w:tc>
        <w:tc>
          <w:tcPr>
            <w:tcW w:w="860" w:type="dxa"/>
            <w:vAlign w:val="bottom"/>
            <w:gridSpan w:val="2"/>
          </w:tcPr>
          <w:p>
            <w:pPr>
              <w:spacing w:after="0"/>
              <w:rPr>
                <w:sz w:val="24"/>
                <w:szCs w:val="24"/>
                <w:color w:val="auto"/>
              </w:rPr>
            </w:pP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March 2, 2015</w:t>
            </w:r>
          </w:p>
        </w:tc>
      </w:tr>
      <w:tr>
        <w:trPr>
          <w:trHeight w:val="237"/>
        </w:trPr>
        <w:tc>
          <w:tcPr>
            <w:tcW w:w="20" w:type="dxa"/>
            <w:vAlign w:val="bottom"/>
          </w:tcPr>
          <w:p>
            <w:pPr>
              <w:spacing w:after="0"/>
              <w:rPr>
                <w:sz w:val="20"/>
                <w:szCs w:val="20"/>
                <w:color w:val="auto"/>
              </w:rPr>
            </w:pPr>
          </w:p>
        </w:tc>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Harold D. Marshall</w:t>
            </w: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JAMES C. UNDERWOOD</w:t>
            </w: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March 2, 2015</w:t>
            </w:r>
          </w:p>
        </w:tc>
      </w:tr>
      <w:tr>
        <w:trPr>
          <w:trHeight w:val="237"/>
        </w:trPr>
        <w:tc>
          <w:tcPr>
            <w:tcW w:w="20" w:type="dxa"/>
            <w:vAlign w:val="bottom"/>
          </w:tcPr>
          <w:p>
            <w:pPr>
              <w:spacing w:after="0"/>
              <w:rPr>
                <w:sz w:val="20"/>
                <w:szCs w:val="20"/>
                <w:color w:val="auto"/>
              </w:rPr>
            </w:pPr>
          </w:p>
        </w:tc>
        <w:tc>
          <w:tcPr>
            <w:tcW w:w="22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James C. Underwood</w:t>
            </w:r>
          </w:p>
        </w:tc>
        <w:tc>
          <w:tcPr>
            <w:tcW w:w="880" w:type="dxa"/>
            <w:vAlign w:val="bottom"/>
            <w:gridSpan w:val="3"/>
          </w:tcPr>
          <w:p>
            <w:pPr>
              <w:spacing w:after="0"/>
              <w:rPr>
                <w:sz w:val="20"/>
                <w:szCs w:val="20"/>
                <w:color w:val="auto"/>
              </w:rPr>
            </w:pP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/s/ W. MARVIN RUSH</w:t>
            </w:r>
          </w:p>
        </w:tc>
        <w:tc>
          <w:tcPr>
            <w:tcW w:w="1380" w:type="dxa"/>
            <w:vAlign w:val="bottom"/>
            <w:gridSpan w:val="8"/>
          </w:tcPr>
          <w:p>
            <w:pPr>
              <w:spacing w:after="0"/>
              <w:rPr>
                <w:sz w:val="24"/>
                <w:szCs w:val="24"/>
                <w:color w:val="auto"/>
              </w:rPr>
            </w:pP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March 2, 2015</w:t>
            </w:r>
          </w:p>
        </w:tc>
      </w:tr>
      <w:tr>
        <w:trPr>
          <w:trHeight w:val="237"/>
        </w:trPr>
        <w:tc>
          <w:tcPr>
            <w:tcW w:w="3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 Marvin Rush</w:t>
            </w: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RAYMOND J. CHESS</w:t>
            </w: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March 2, 2015</w:t>
            </w:r>
          </w:p>
        </w:tc>
      </w:tr>
      <w:tr>
        <w:trPr>
          <w:trHeight w:val="237"/>
        </w:trPr>
        <w:tc>
          <w:tcPr>
            <w:tcW w:w="20" w:type="dxa"/>
            <w:vAlign w:val="bottom"/>
          </w:tcPr>
          <w:p>
            <w:pPr>
              <w:spacing w:after="0"/>
              <w:rPr>
                <w:sz w:val="20"/>
                <w:szCs w:val="20"/>
                <w:color w:val="auto"/>
              </w:rPr>
            </w:pPr>
          </w:p>
        </w:tc>
        <w:tc>
          <w:tcPr>
            <w:tcW w:w="18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Raymond J. Chess</w:t>
            </w:r>
          </w:p>
        </w:tc>
        <w:tc>
          <w:tcPr>
            <w:tcW w:w="1200" w:type="dxa"/>
            <w:vAlign w:val="bottom"/>
            <w:gridSpan w:val="6"/>
          </w:tcPr>
          <w:p>
            <w:pPr>
              <w:spacing w:after="0"/>
              <w:rPr>
                <w:sz w:val="20"/>
                <w:szCs w:val="20"/>
                <w:color w:val="auto"/>
              </w:rPr>
            </w:pP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DR. KENNON GUGLIELMO</w:t>
            </w: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March 2, 2015</w:t>
            </w:r>
          </w:p>
        </w:tc>
      </w:tr>
      <w:tr>
        <w:trPr>
          <w:trHeight w:val="237"/>
        </w:trPr>
        <w:tc>
          <w:tcPr>
            <w:tcW w:w="20" w:type="dxa"/>
            <w:vAlign w:val="bottom"/>
          </w:tcPr>
          <w:p>
            <w:pPr>
              <w:spacing w:after="0"/>
              <w:rPr>
                <w:sz w:val="20"/>
                <w:szCs w:val="20"/>
                <w:color w:val="auto"/>
              </w:rPr>
            </w:pPr>
          </w:p>
        </w:tc>
        <w:tc>
          <w:tcPr>
            <w:tcW w:w="24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Dr. Kennon Guglielmo</w:t>
            </w: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30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 WILLIAM H. CARY</w:t>
            </w:r>
          </w:p>
        </w:tc>
        <w:tc>
          <w:tcPr>
            <w:tcW w:w="50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c>
          <w:tcPr>
            <w:tcW w:w="18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8"/>
              </w:rPr>
              <w:t>March 2, 2015</w:t>
            </w:r>
          </w:p>
        </w:tc>
      </w:tr>
      <w:tr>
        <w:trPr>
          <w:trHeight w:val="20"/>
        </w:trPr>
        <w:tc>
          <w:tcPr>
            <w:tcW w:w="20" w:type="dxa"/>
            <w:vAlign w:val="bottom"/>
          </w:tcPr>
          <w:p>
            <w:pPr>
              <w:spacing w:after="0" w:line="20" w:lineRule="exact"/>
              <w:rPr>
                <w:sz w:val="1"/>
                <w:szCs w:val="1"/>
                <w:color w:val="auto"/>
              </w:rPr>
            </w:pPr>
          </w:p>
        </w:tc>
        <w:tc>
          <w:tcPr>
            <w:tcW w:w="1760" w:type="dxa"/>
            <w:vAlign w:val="bottom"/>
            <w:gridSpan w:val="4"/>
            <w:shd w:val="clear" w:color="auto" w:fill="000000"/>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37"/>
        </w:trPr>
        <w:tc>
          <w:tcPr>
            <w:tcW w:w="31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William H. Cary</w:t>
            </w: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ectPr>
          <w:pgSz w:w="11900" w:h="16838" w:orient="portrait"/>
          <w:cols w:equalWidth="0" w:num="1">
            <w:col w:w="11420"/>
          </w:cols>
          <w:pgMar w:left="240" w:top="112"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SUBSIDIARIES OF THE COMPANY</w:t>
            </w:r>
          </w:p>
        </w:tc>
      </w:tr>
      <w:tr>
        <w:trPr>
          <w:trHeight w:val="414"/>
        </w:trPr>
        <w:tc>
          <w:tcPr>
            <w:tcW w:w="1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State of</w:t>
            </w:r>
          </w:p>
        </w:tc>
        <w:tc>
          <w:tcPr>
            <w:tcW w:w="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94"/>
        </w:trPr>
        <w:tc>
          <w:tcPr>
            <w:tcW w:w="1960" w:type="dxa"/>
            <w:vAlign w:val="bottom"/>
          </w:tcPr>
          <w:p>
            <w:pPr>
              <w:spacing w:after="0"/>
              <w:rPr>
                <w:sz w:val="16"/>
                <w:szCs w:val="16"/>
                <w:color w:val="auto"/>
              </w:rPr>
            </w:pPr>
          </w:p>
        </w:tc>
        <w:tc>
          <w:tcPr>
            <w:tcW w:w="4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7"/>
              </w:rPr>
              <w:t>Name</w:t>
            </w:r>
          </w:p>
        </w:tc>
        <w:tc>
          <w:tcPr>
            <w:tcW w:w="1640" w:type="dxa"/>
            <w:vAlign w:val="bottom"/>
          </w:tcPr>
          <w:p>
            <w:pPr>
              <w:spacing w:after="0"/>
              <w:rPr>
                <w:sz w:val="16"/>
                <w:szCs w:val="16"/>
                <w:color w:val="auto"/>
              </w:rPr>
            </w:pPr>
          </w:p>
        </w:tc>
        <w:tc>
          <w:tcPr>
            <w:tcW w:w="1780" w:type="dxa"/>
            <w:vAlign w:val="bottom"/>
            <w:gridSpan w:val="3"/>
          </w:tcPr>
          <w:p>
            <w:pPr>
              <w:jc w:val="center"/>
              <w:ind w:left="390"/>
              <w:spacing w:after="0" w:line="194" w:lineRule="exact"/>
              <w:rPr>
                <w:sz w:val="20"/>
                <w:szCs w:val="20"/>
                <w:color w:val="auto"/>
              </w:rPr>
            </w:pPr>
            <w:r>
              <w:rPr>
                <w:rFonts w:ascii="Times New Roman" w:cs="Times New Roman" w:eastAsia="Times New Roman" w:hAnsi="Times New Roman"/>
                <w:sz w:val="18"/>
                <w:szCs w:val="18"/>
                <w:color w:val="auto"/>
                <w:w w:val="99"/>
              </w:rPr>
              <w:t>Incorporation</w:t>
            </w:r>
          </w:p>
        </w:tc>
        <w:tc>
          <w:tcPr>
            <w:tcW w:w="860" w:type="dxa"/>
            <w:vAlign w:val="bottom"/>
          </w:tcPr>
          <w:p>
            <w:pPr>
              <w:spacing w:after="0"/>
              <w:rPr>
                <w:sz w:val="16"/>
                <w:szCs w:val="16"/>
                <w:color w:val="auto"/>
              </w:rPr>
            </w:pPr>
          </w:p>
        </w:tc>
        <w:tc>
          <w:tcPr>
            <w:tcW w:w="3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Names Under Which Subsidiary Does Business</w:t>
            </w:r>
          </w:p>
        </w:tc>
      </w:tr>
      <w:tr>
        <w:trPr>
          <w:trHeight w:val="20"/>
        </w:trPr>
        <w:tc>
          <w:tcPr>
            <w:tcW w:w="1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r>
      <w:tr>
        <w:trPr>
          <w:trHeight w:val="218"/>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Alabama, Inc.</w:t>
            </w: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Mobile</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Mobile</w:t>
            </w: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Arizona, Inc.</w:t>
            </w: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Phoenix</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Phoenix</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Flagstaff</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Flagstaff</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Tucson</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Tucson</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Yuma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Yuma</w:t>
            </w: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California, Inc.</w:t>
            </w: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Pico Rivera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Pico Rivera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Fontana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Fontana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Medium Duty Truck Center, Fontana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Isuzu Trucks, Fontana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Medium Duty Truck Center, Fontana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Towing Systems, Fontana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Fontana Used Trucks</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Sylmar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Sylmar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San Diego</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San Diego</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Whittier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Isuzu Trucks, Whittier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Whittier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Towing Systems, Fontana</w:t>
            </w: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Medium Duty Truck Centers of Colorado, Inc.</w:t>
            </w: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Medium Duty Truck Center, Denver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Medium Duty Ford Trucks, Denver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Isuzu Trucks, Denver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Towing Systems, Denver</w:t>
            </w: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Colorado, Inc.</w:t>
            </w: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Centers, Inc.</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Denver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Denver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Greeley</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Greeley</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Pueblo</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Pueblo</w:t>
            </w: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Florida, Inc.</w:t>
            </w: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Isuzu Trucks, Orlando</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Orlando</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Isuzu Truck Center, Orlando</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Orlando</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Orlando Light and Medium Duty</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Orlando South</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Orlando South</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Orlando Used Trucks</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Isuzu Trucks, Winter Garden</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Haines City</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Haines City</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Tampa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Tampa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Jacksonville</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Jacksonville</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Lake City</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 Lake City</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Peterbilt Truck Center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 Tough Used Trucks, Miami</w:t>
            </w: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Rush Truck Centers of Georgia, Inc.</w:t>
            </w:r>
          </w:p>
        </w:tc>
        <w:tc>
          <w:tcPr>
            <w:tcW w:w="17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Delaware</w:t>
            </w: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Medium Duty Truck Center, Atlanta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Isuzu Trucks, Atlanta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Atlanta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Bus Center, Atlanta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International Truck Center, Atlanta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Collision Center, Atlanta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Atlanta Collision Center</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Doraville</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International Truck Center, Doraville</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Isuzu Trucks, Doraville</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Smyrna</w:t>
            </w:r>
          </w:p>
        </w:tc>
      </w:tr>
      <w:tr>
        <w:trPr>
          <w:trHeight w:val="216"/>
        </w:trPr>
        <w:tc>
          <w:tcPr>
            <w:tcW w:w="1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Truck Center, Tifton</w:t>
            </w:r>
          </w:p>
        </w:tc>
      </w:tr>
      <w:tr>
        <w:trPr>
          <w:trHeight w:val="234"/>
        </w:trPr>
        <w:tc>
          <w:tcPr>
            <w:tcW w:w="1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Rush Bus Center, Tifton</w:t>
            </w:r>
          </w:p>
        </w:tc>
      </w:tr>
    </w:tbl>
    <w:p>
      <w:pPr>
        <w:sectPr>
          <w:pgSz w:w="11900" w:h="16838" w:orient="portrait"/>
          <w:cols w:equalWidth="0" w:num="1">
            <w:col w:w="11420"/>
          </w:cols>
          <w:pgMar w:left="240" w:top="121" w:right="23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Columbus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Gainesville</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Idaho, Inc.</w:t>
            </w:r>
          </w:p>
        </w:tc>
        <w:tc>
          <w:tcPr>
            <w:tcW w:w="1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International Truck Center, Boise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International Truck Center, Twin Falls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International Truck Center, Idaho Falls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International Truck Center, Lewiston</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Boise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Twin Falls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Idaho Falls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Lewiston</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Illinois, Inc.</w:t>
            </w:r>
          </w:p>
        </w:tc>
        <w:tc>
          <w:tcPr>
            <w:tcW w:w="1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Bloomington</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Decatur</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Champaign</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Quincy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Rush Truck Center, Springfield Collision Center</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Rush Truck Center, Champaign Collision Center</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Springfield, Illinois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Chambersburg</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Springfield East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Springfield West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Carol Stream</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Chicago</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Grayslake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Huntley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Joliet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Kankakee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Ottawa</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House of Trucks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House of Trucks, Willowbrook</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House of Trucks, Wilmington</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Indiana, Inc.</w:t>
            </w:r>
          </w:p>
        </w:tc>
        <w:tc>
          <w:tcPr>
            <w:tcW w:w="1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Gary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Brazil</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Indianapolis</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Kansas, Inc.</w:t>
            </w:r>
          </w:p>
        </w:tc>
        <w:tc>
          <w:tcPr>
            <w:tcW w:w="1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Kansas</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Missouri, Inc.</w:t>
            </w:r>
          </w:p>
        </w:tc>
        <w:tc>
          <w:tcPr>
            <w:tcW w:w="1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St. Peters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St. Louis</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New Mexico, Inc.</w:t>
            </w:r>
          </w:p>
        </w:tc>
        <w:tc>
          <w:tcPr>
            <w:tcW w:w="1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Albuquerque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Albuquerque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Las Cruces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Las Cruces</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North Carolina, Inc.</w:t>
            </w:r>
          </w:p>
        </w:tc>
        <w:tc>
          <w:tcPr>
            <w:tcW w:w="1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Collision Center,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International Truck Center,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Peterbilt Truck Center,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Body Shop, Charlotte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Charlotte Collision Center</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Hickory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Statesville</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Asheville</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Ohio, Inc.</w:t>
            </w:r>
          </w:p>
        </w:tc>
        <w:tc>
          <w:tcPr>
            <w:tcW w:w="1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Delaware</w:t>
            </w: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Akron</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Akron</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Cincinnati</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Cincinnati</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Cleveland</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Cleveland</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Columbus East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Columbus East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Columbus West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Columbus West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Dayton</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Dayton</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Findlay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Findlay</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Lima</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Isuzu Trucks, Lima</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Truck Center, Springfield, Ohio</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Cincinnati</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RTC Truck Parts</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Akron</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Cleveland</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Columbus East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Columbus West</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Dayton</w:t>
            </w:r>
          </w:p>
        </w:tc>
      </w:tr>
      <w:tr>
        <w:trPr>
          <w:trHeight w:val="216"/>
        </w:trPr>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Findlay</w:t>
            </w:r>
          </w:p>
        </w:tc>
      </w:tr>
      <w:tr>
        <w:trPr>
          <w:trHeight w:val="234"/>
        </w:trPr>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Rush Bus Center, Lima</w:t>
            </w:r>
          </w:p>
        </w:tc>
      </w:tr>
    </w:tbl>
    <w:p>
      <w:pPr>
        <w:sectPr>
          <w:pgSz w:w="11900" w:h="16838" w:orient="portrait"/>
          <w:cols w:equalWidth="0" w:num="1">
            <w:col w:w="10219"/>
          </w:cols>
          <w:pgMar w:left="240" w:top="121" w:right="1440" w:bottom="0" w:gutter="0" w:footer="0" w:header="0"/>
        </w:sectPr>
      </w:pPr>
    </w:p>
    <w:bookmarkStart w:id="89" w:name="page90"/>
    <w:bookmarkEnd w:id="89"/>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Centers of Oklahoma,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Centers of Oregon,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Centers of Tennessee,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Centers of Texas, L.P.</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Rig Tough Truck Parts, Cincinnati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Ardmore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Oklahoma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Tulsa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Ardmore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Oklahoma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Tulsa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Oklahoma City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Used Truck Center, Tulsa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Rigging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Perfection Equipment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Perfection Truck Parts &amp; Equipment, Oklahoma City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Perfection Truck Parts &amp; Equipment, Tulsa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Perfection Crane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Trucks,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Tulsa Trucks,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International Truck Center, Ontario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Ontario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Truck Center, Nashville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Nashville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Towing Systems, Nashville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 Tough Used Trucks, Knoxville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 Vehicle Solutions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Peterbilt,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Laredo Peterbilt,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Lufkin Peterbilt,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Alice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Austin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Corpus Christi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Dallas, Number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Fort Worth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Houston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Laredo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Lufkin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Pharr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San Antonio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San Antonio, Number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Sealy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Selma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Texarkana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Tyler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Bus Center, Waco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Austin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 Corpus Christi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Texarkana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El Paso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Sealy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Isuzu Trucks, Waco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Medium Duty Truck Center,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Medium Duty Truck Center, San Antonio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Medium Duty Truck Center, Waco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Abilene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Alice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Amarillo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Austin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Brownsville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Corpus Christi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Cotulla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Dalhart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Dallas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El Paso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Fort Worth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Hereford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Houston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Houston Northwest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Laredo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Lubbock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Lufkin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Odessa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Pharr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San Antonio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Sealy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Rush Peterbilt Truck Center, Texarkana</w:t>
      </w:r>
    </w:p>
    <w:p>
      <w:pPr>
        <w:sectPr>
          <w:pgSz w:w="11900" w:h="16838" w:orient="portrait"/>
          <w:cols w:equalWidth="0" w:num="3">
            <w:col w:w="3620" w:space="720"/>
            <w:col w:w="940" w:space="720"/>
            <w:col w:w="4219"/>
          </w:cols>
          <w:pgMar w:left="240" w:top="121" w:right="1440" w:bottom="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Peterbilt Truck Center, Tyler</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Peterbilt Truck Center, Waco</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Refuse Systems</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Towing Systems</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Towing Systems, Houston</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Towing Systems, San Antonio</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Abilene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Alice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Amarillo</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Austin</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Brownsville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Corpus Christi</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Cotulla</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Dalhart</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Dallas</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Dallas Medium Duty</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Rush Truck Center, Dallas Light and Medium Duty</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Denton</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El Paso</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Fort Worth</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Hereford</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Houston</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Laredo</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Lubbock</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Lufkin</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New Braunfels</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Odessa</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Pharr</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San Antonio</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Sealy</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Texarkana</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Tyler</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Waco</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Used Truck Center, Austin</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Crane and Refuse Systems International</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World Wide Tires</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Utah, Inc.</w:t>
            </w: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Delaware</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International Truck Center, Salt Lake City</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International Truck Center, Helper</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International Truck Center, Springville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International Truck Center, St. George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International Truck Center, Ogden</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Salt Lake City</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Helper</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Springville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St. George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Ogden</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Farr West</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Centers of Virginia, Inc.</w:t>
            </w: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Delaware</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Richmond</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Chester</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Suffolk</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Truck Center, Fredericksburg</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Rig Tough, Inc.</w:t>
            </w: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Delaware</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Rush Truck Center of Albuquerque, Inc.</w:t>
            </w: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New Mexico</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Rush GMC Truck Center of Tucson, Inc.</w:t>
            </w: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Delaware</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Rush Accessories Corporation</w:t>
            </w: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Delaware</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Chrome Country</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Rush Truck Leasing, Inc.</w:t>
            </w: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Delaware</w:t>
            </w: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Crane Systems</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Idealease, Charlotte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Rush Refuse Systems</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Akron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Asheville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Boise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Champaign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Charlotte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Chicago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Cincinnati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Cleveland,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Cleveland Idealease West</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Cleveland Idealease East</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Columbus Idealease East</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Columbus Idealease West</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Dayton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Decatur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Effingham Idealease</w:t>
            </w:r>
          </w:p>
        </w:tc>
      </w:tr>
      <w:tr>
        <w:trPr>
          <w:trHeight w:val="216"/>
        </w:trPr>
        <w:tc>
          <w:tcPr>
            <w:tcW w:w="36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Findlay Idealease</w:t>
            </w:r>
          </w:p>
        </w:tc>
      </w:tr>
      <w:tr>
        <w:trPr>
          <w:trHeight w:val="234"/>
        </w:trPr>
        <w:tc>
          <w:tcPr>
            <w:tcW w:w="36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Hickory Idealease</w:t>
            </w:r>
          </w:p>
        </w:tc>
      </w:tr>
    </w:tbl>
    <w:p>
      <w:pPr>
        <w:sectPr>
          <w:pgSz w:w="11900" w:h="16838" w:orient="portrait"/>
          <w:cols w:equalWidth="0" w:num="1">
            <w:col w:w="10219"/>
          </w:cols>
          <w:pgMar w:left="240" w:top="121" w:right="1440" w:bottom="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Indianapolis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Indy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Lima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Norfolk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Quincy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Richmond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Springfield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 Peters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 Louis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Salt Lake City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Statesville Idealease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Tidewater Idealease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Equipment Centers of Texas,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Rush Equipment Center, Houston</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Rushtex,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Rushco,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Administrative Services,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Logistics,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Real Estate Holdings,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General Agency,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Texas</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Los Cuernos,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 Cuernos Ranch</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AiRush,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Rush Retail Centers,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Texas</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Associated Insurance Services</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Automotive Industry Insurance</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Associated Truck Insurance Services</w:t>
            </w:r>
          </w:p>
        </w:tc>
      </w:tr>
      <w:tr>
        <w:trPr>
          <w:trHeight w:val="216"/>
        </w:trPr>
        <w:tc>
          <w:tcPr>
            <w:tcW w:w="39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Rush Truck Insurance Services</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Florida,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Associated Acceptance of Oklahoma,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Advance Premium Finance,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California</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Truck &amp; Trailer Finance,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Natural Gas Fuel Systems, Inc.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Momentum Fuel Technologies</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Central California Truck and Trailer Sales, LLC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Texas</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Idealease of Chicago LLC</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Illinois</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RTC Illinois Acquisition Corp.</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Rush Truck Center, Effingham</w:t>
            </w:r>
          </w:p>
        </w:tc>
      </w:tr>
      <w:tr>
        <w:trPr>
          <w:trHeight w:val="234"/>
        </w:trPr>
        <w:tc>
          <w:tcPr>
            <w:tcW w:w="39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Rush Truck Center, Mount Vernon</w:t>
            </w:r>
          </w:p>
        </w:tc>
      </w:tr>
    </w:tbl>
    <w:p>
      <w:pPr>
        <w:sectPr>
          <w:pgSz w:w="11900" w:h="16838" w:orient="portrait"/>
          <w:cols w:equalWidth="0" w:num="1">
            <w:col w:w="10219"/>
          </w:cols>
          <w:pgMar w:left="240" w:top="121" w:right="1440"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333-198080) pertaining to the Rush Enterprises, Inc. 2007 Long-Term Incentive Plan;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333-170732) pertaining to the Rush Enterprises, Inc. Deferred Compensation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333-168231) pertaining to the Rush Enterprises, Inc. 2007 Long-Term Incentive Plan;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333-144821) pertaining to the Rush Enterprises, Inc. 2007 Long-Term Incentive Plan;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333-138557) pertaining to the Rush Enterprises, Inc. Amended and Restated 1997 Non-Employee Director Stock Option Plan;</w:t>
      </w: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333-138556) pertaining to the Rush Enterprises, Inc. 2006 Non-Employee Director Stock Option Plan;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333-121355) pertaining to the Rush Enterprises, Inc. Long-Term Incentive Plan, the Rush Enterprises, Inc. 2004 Employee Stock Purchase Plan and Certain Non-Plan Options;</w:t>
      </w:r>
    </w:p>
    <w:p>
      <w:pPr>
        <w:ind w:left="340" w:hanging="332"/>
        <w:spacing w:after="0" w:line="250"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333-117305) pertaining to the Rush Enterprises, Inc. Amended and Restated 1997 Non-Employee Director Stock Option Plan and the Rush Enterprises, Inc. Long-Term Incentive Plan;</w:t>
      </w: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333-70451) pertaining to the Rush Enterprises, Inc. 1997 Non-Employee Director Stock Option Plan;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333-07043) pertaining to the Rush Enterprises, Inc. Long-Term Incentive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March 2, 2015, with respect to the consolidated financial statements of Rush Enterprises, Inc. and subsidiaries and the effectiveness of internal control over financial reporting of Rush Enterprises, Inc. and Subsidiaries, included in this Annual Report (Form 10-K) of Rush Enterprises, Inc. for the year ended December 31, 2014.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Antonio,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2015</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M. “Rusty” Rush, certify that:</w:t>
      </w:r>
    </w:p>
    <w:p>
      <w:pPr>
        <w:spacing w:after="0" w:line="225"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4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4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5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6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44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3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March 2, 2015</w:t>
      </w:r>
      <w:r>
        <w:rPr>
          <w:sz w:val="20"/>
          <w:szCs w:val="20"/>
          <w:color w:val="auto"/>
        </w:rPr>
        <w:tab/>
      </w:r>
      <w:r>
        <w:rPr>
          <w:rFonts w:ascii="Times New Roman" w:cs="Times New Roman" w:eastAsia="Times New Roman" w:hAnsi="Times New Roman"/>
          <w:sz w:val="18"/>
          <w:szCs w:val="18"/>
          <w:color w:val="auto"/>
        </w:rPr>
        <w:t>By: /s/ W. M. “RUSTY” RUSH</w:t>
      </w:r>
    </w:p>
    <w:p>
      <w:pPr>
        <w:spacing w:after="0" w:line="5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 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-127635</wp:posOffset>
            </wp:positionV>
            <wp:extent cx="25298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Rush Enterprises,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4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4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05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115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16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8"/>
        <w:spacing w:after="0" w:line="282" w:lineRule="auto"/>
        <w:tabs>
          <w:tab w:leader="none" w:pos="4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4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3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March 2, 2015</w:t>
      </w:r>
      <w:r>
        <w:rPr>
          <w:sz w:val="20"/>
          <w:szCs w:val="20"/>
          <w:color w:val="auto"/>
        </w:rPr>
        <w:tab/>
      </w:r>
      <w:r>
        <w:rPr>
          <w:rFonts w:ascii="Times New Roman" w:cs="Times New Roman" w:eastAsia="Times New Roman" w:hAnsi="Times New Roman"/>
          <w:sz w:val="18"/>
          <w:szCs w:val="18"/>
          <w:color w:val="auto"/>
        </w:rPr>
        <w:t>By: /s/ STEVEN L. KELLER</w:t>
      </w:r>
    </w:p>
    <w:p>
      <w:pPr>
        <w:spacing w:after="0" w:line="5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-127635</wp:posOffset>
            </wp:positionV>
            <wp:extent cx="25298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2014 as filed with the Securities and Exchange Commission on the date hereof (the “Report”), I, W. 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020" w:hanging="36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0" w:hanging="4"/>
        <w:spacing w:after="0" w:line="282" w:lineRule="auto"/>
        <w:tabs>
          <w:tab w:leader="none" w:pos="11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5" w:lineRule="exact"/>
        <w:rPr>
          <w:sz w:val="20"/>
          <w:szCs w:val="20"/>
          <w:color w:val="auto"/>
        </w:rPr>
      </w:pPr>
    </w:p>
    <w:tbl>
      <w:tblPr>
        <w:tblLayout w:type="fixed"/>
        <w:tblInd w:w="32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 M. “RUSTY” RUSH</w:t>
            </w:r>
          </w:p>
        </w:tc>
      </w:tr>
      <w:tr>
        <w:trPr>
          <w:trHeight w:val="20"/>
        </w:trPr>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 M. “Rusty” Rush</w:t>
            </w:r>
          </w:p>
        </w:tc>
      </w:tr>
      <w:tr>
        <w:trPr>
          <w:trHeight w:val="21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President, Chief Executive Officer and</w:t>
            </w:r>
          </w:p>
        </w:tc>
      </w:tr>
      <w:tr>
        <w:trPr>
          <w:trHeight w:val="216"/>
        </w:trPr>
        <w:tc>
          <w:tcPr>
            <w:tcW w:w="600" w:type="dxa"/>
            <w:vAlign w:val="bottom"/>
          </w:tcPr>
          <w:p>
            <w:pPr>
              <w:spacing w:after="0"/>
              <w:rPr>
                <w:sz w:val="18"/>
                <w:szCs w:val="18"/>
                <w:color w:val="auto"/>
              </w:rPr>
            </w:pPr>
          </w:p>
        </w:tc>
        <w:tc>
          <w:tcPr>
            <w:tcW w:w="2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March 2, 2015</w:t>
            </w:r>
          </w:p>
        </w:tc>
      </w:tr>
    </w:tbl>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this annual report of Rush Enterprises, Inc. (the “Company”) on Form 10-K for the year ended December 31, 2014 as filed with the Securities and Exchange Commission on the date hereof (the “Report”), I, Steven L. Keller,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1020" w:hanging="36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0" w:hanging="4"/>
        <w:spacing w:after="0" w:line="282" w:lineRule="auto"/>
        <w:tabs>
          <w:tab w:leader="none" w:pos="116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tbl>
      <w:tblPr>
        <w:tblLayout w:type="fixed"/>
        <w:tblInd w:w="324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17"/>
                <w:szCs w:val="17"/>
                <w:color w:val="auto"/>
              </w:rPr>
            </w:pPr>
          </w:p>
        </w:tc>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STEVEN L. KELLER</w:t>
            </w:r>
          </w:p>
        </w:tc>
        <w:tc>
          <w:tcPr>
            <w:tcW w:w="1660" w:type="dxa"/>
            <w:vAlign w:val="bottom"/>
          </w:tcPr>
          <w:p>
            <w:pPr>
              <w:spacing w:after="0"/>
              <w:rPr>
                <w:sz w:val="17"/>
                <w:szCs w:val="17"/>
                <w:color w:val="auto"/>
              </w:rPr>
            </w:pPr>
          </w:p>
        </w:tc>
      </w:tr>
      <w:tr>
        <w:trPr>
          <w:trHeight w:val="21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Steven L. Keller</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Senior Vice President and Chief Financial Officer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March 2, 2015</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lowerRoman"/>
      <w:start w:val="2"/>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2"/>
    </w:lvl>
  </w:abstractNum>
  <w:abstractNum w:abstractNumId="16">
    <w:nsid w:val="71F32454"/>
    <w:multiLevelType w:val="hybridMultilevel"/>
    <w:lvl w:ilvl="0">
      <w:lvlJc w:val="left"/>
      <w:lvlText w:val="%1."/>
      <w:numFmt w:val="decimal"/>
      <w:start w:val="3"/>
    </w:lvl>
  </w:abstractNum>
  <w:abstractNum w:abstractNumId="17">
    <w:nsid w:val="2CA88611"/>
    <w:multiLevelType w:val="hybridMultilevel"/>
    <w:lvl w:ilvl="0">
      <w:lvlJc w:val="left"/>
      <w:lvlText w:val="%1."/>
      <w:numFmt w:val="decimal"/>
      <w:start w:val="4"/>
    </w:lvl>
  </w:abstractNum>
  <w:abstractNum w:abstractNumId="18">
    <w:nsid w:val="836C40E"/>
    <w:multiLevelType w:val="hybridMultilevel"/>
    <w:lvl w:ilvl="0">
      <w:lvlJc w:val="left"/>
      <w:lvlText w:val="%1."/>
      <w:numFmt w:val="decimal"/>
      <w:start w:val="7"/>
    </w:lvl>
  </w:abstractNum>
  <w:abstractNum w:abstractNumId="19">
    <w:nsid w:val="2901D82"/>
    <w:multiLevelType w:val="hybridMultilevel"/>
    <w:lvl w:ilvl="0">
      <w:lvlJc w:val="left"/>
      <w:lvlText w:val="%1."/>
      <w:numFmt w:val="decimal"/>
      <w:start w:val="9"/>
    </w:lvl>
  </w:abstractNum>
  <w:abstractNum w:abstractNumId="20">
    <w:nsid w:val="3A95F874"/>
    <w:multiLevelType w:val="hybridMultilevel"/>
    <w:lvl w:ilvl="0">
      <w:lvlJc w:val="left"/>
      <w:lvlText w:val="%1."/>
      <w:numFmt w:val="decimal"/>
      <w:start w:val="10"/>
    </w:lvl>
  </w:abstractNum>
  <w:abstractNum w:abstractNumId="21">
    <w:nsid w:val="8138641"/>
    <w:multiLevelType w:val="hybridMultilevel"/>
    <w:lvl w:ilvl="0">
      <w:lvlJc w:val="left"/>
      <w:lvlText w:val="%1."/>
      <w:numFmt w:val="decimal"/>
      <w:start w:val="11"/>
    </w:lvl>
  </w:abstractNum>
  <w:abstractNum w:abstractNumId="22">
    <w:nsid w:val="1E7FF521"/>
    <w:multiLevelType w:val="hybridMultilevel"/>
    <w:lvl w:ilvl="0">
      <w:lvlJc w:val="left"/>
      <w:lvlText w:val="%1."/>
      <w:numFmt w:val="decimal"/>
      <w:start w:val="12"/>
    </w:lvl>
  </w:abstractNum>
  <w:abstractNum w:abstractNumId="23">
    <w:nsid w:val="7C3DBD3D"/>
    <w:multiLevelType w:val="hybridMultilevel"/>
    <w:lvl w:ilvl="0">
      <w:lvlJc w:val="left"/>
      <w:lvlText w:val="%1."/>
      <w:numFmt w:val="decimal"/>
      <w:start w:val="14"/>
    </w:lvl>
  </w:abstractNum>
  <w:abstractNum w:abstractNumId="24">
    <w:nsid w:val="737B8DDC"/>
    <w:multiLevelType w:val="hybridMultilevel"/>
    <w:lvl w:ilvl="0">
      <w:lvlJc w:val="left"/>
      <w:lvlText w:val="%1."/>
      <w:numFmt w:val="decimal"/>
      <w:start w:val="15"/>
    </w:lvl>
  </w:abstractNum>
  <w:abstractNum w:abstractNumId="25">
    <w:nsid w:val="6CEAF087"/>
    <w:multiLevelType w:val="hybridMultilevel"/>
    <w:lvl w:ilvl="0">
      <w:lvlJc w:val="left"/>
      <w:lvlText w:val="%1."/>
      <w:numFmt w:val="decimal"/>
      <w:start w:val="16"/>
    </w:lvl>
  </w:abstractNum>
  <w:abstractNum w:abstractNumId="26">
    <w:nsid w:val="22221A70"/>
    <w:multiLevelType w:val="hybridMultilevel"/>
    <w:lvl w:ilvl="0">
      <w:lvlJc w:val="left"/>
      <w:lvlText w:val="%1."/>
      <w:numFmt w:val="decimal"/>
      <w:start w:val="17"/>
    </w:lvl>
  </w:abstractNum>
  <w:abstractNum w:abstractNumId="27">
    <w:nsid w:val="4516DDE9"/>
    <w:multiLevelType w:val="hybridMultilevel"/>
    <w:lvl w:ilvl="0">
      <w:lvlJc w:val="left"/>
      <w:lvlText w:val="%1."/>
      <w:numFmt w:val="decimal"/>
      <w:start w:val="18"/>
    </w:lvl>
  </w:abstractNum>
  <w:abstractNum w:abstractNumId="28">
    <w:nsid w:val="3006C83E"/>
    <w:multiLevelType w:val="hybridMultilevel"/>
    <w:lvl w:ilvl="0">
      <w:lvlJc w:val="left"/>
      <w:lvlText w:val="%1."/>
      <w:numFmt w:val="decimal"/>
      <w:start w:val="19"/>
    </w:lvl>
  </w:abstractNum>
  <w:abstractNum w:abstractNumId="29">
    <w:nsid w:val="614FD4A1"/>
    <w:multiLevelType w:val="hybridMultilevel"/>
    <w:lvl w:ilvl="0">
      <w:lvlJc w:val="left"/>
      <w:lvlText w:val="%1."/>
      <w:numFmt w:val="decimal"/>
      <w:start w:val="20"/>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2019-12-29T18:58:55Z</dcterms:created>
  <dcterms:modified xsi:type="dcterms:W3CDTF">2019-12-29T18:58:55Z</dcterms:modified>
</cp:coreProperties>
</file>