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ANNUAL REPORT PURSUANT TO SECTION 13 OR 15(d)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2017</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0-20797</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RUSH ENTERPRISES, INC</w:t>
      </w:r>
      <w:r>
        <w:rPr>
          <w:rFonts w:ascii="Arial" w:cs="Arial" w:eastAsia="Arial" w:hAnsi="Arial"/>
          <w:sz w:val="18"/>
          <w:szCs w:val="18"/>
          <w:color w:val="auto"/>
        </w:rPr>
        <w: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1580" w:type="dxa"/>
        <w:tblCellMar>
          <w:top w:w="0" w:type="dxa"/>
          <w:left w:w="0" w:type="dxa"/>
          <w:bottom w:w="0" w:type="dxa"/>
          <w:right w:w="0" w:type="dxa"/>
        </w:tblCellMar>
      </w:tblPr>
      <w:tr>
        <w:trPr>
          <w:trHeight w:val="220"/>
        </w:trPr>
        <w:tc>
          <w:tcPr>
            <w:tcW w:w="5120" w:type="dxa"/>
            <w:vAlign w:val="bottom"/>
          </w:tcPr>
          <w:p>
            <w:pPr>
              <w:jc w:val="center"/>
              <w:ind w:right="750"/>
              <w:spacing w:after="0"/>
              <w:rPr>
                <w:sz w:val="20"/>
                <w:szCs w:val="20"/>
                <w:color w:val="auto"/>
              </w:rPr>
            </w:pPr>
            <w:r>
              <w:rPr>
                <w:rFonts w:ascii="Arial" w:cs="Arial" w:eastAsia="Arial" w:hAnsi="Arial"/>
                <w:sz w:val="18"/>
                <w:szCs w:val="18"/>
                <w:b w:val="1"/>
                <w:bCs w:val="1"/>
                <w:color w:val="auto"/>
                <w:w w:val="86"/>
              </w:rPr>
              <w:t>Texas</w:t>
            </w:r>
          </w:p>
        </w:tc>
        <w:tc>
          <w:tcPr>
            <w:tcW w:w="3460" w:type="dxa"/>
            <w:vAlign w:val="bottom"/>
          </w:tcPr>
          <w:p>
            <w:pPr>
              <w:jc w:val="right"/>
              <w:ind w:right="790"/>
              <w:spacing w:after="0"/>
              <w:rPr>
                <w:sz w:val="20"/>
                <w:szCs w:val="20"/>
                <w:color w:val="auto"/>
              </w:rPr>
            </w:pPr>
            <w:r>
              <w:rPr>
                <w:rFonts w:ascii="Arial" w:cs="Arial" w:eastAsia="Arial" w:hAnsi="Arial"/>
                <w:sz w:val="18"/>
                <w:szCs w:val="18"/>
                <w:b w:val="1"/>
                <w:bCs w:val="1"/>
                <w:color w:val="auto"/>
              </w:rPr>
              <w:t>74-1733016</w:t>
            </w:r>
          </w:p>
        </w:tc>
      </w:tr>
      <w:tr>
        <w:trPr>
          <w:trHeight w:val="230"/>
        </w:trPr>
        <w:tc>
          <w:tcPr>
            <w:tcW w:w="512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460" w:type="dxa"/>
            <w:vAlign w:val="bottom"/>
          </w:tcPr>
          <w:p>
            <w:pPr>
              <w:jc w:val="center"/>
              <w:ind w:left="75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12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555 IH 35 South, New Braunfels, TX</w:t>
            </w:r>
          </w:p>
        </w:tc>
        <w:tc>
          <w:tcPr>
            <w:tcW w:w="3460" w:type="dxa"/>
            <w:vAlign w:val="bottom"/>
          </w:tcPr>
          <w:p>
            <w:pPr>
              <w:jc w:val="right"/>
              <w:ind w:right="990"/>
              <w:spacing w:after="0"/>
              <w:rPr>
                <w:sz w:val="20"/>
                <w:szCs w:val="20"/>
                <w:color w:val="auto"/>
              </w:rPr>
            </w:pPr>
            <w:r>
              <w:rPr>
                <w:rFonts w:ascii="Arial" w:cs="Arial" w:eastAsia="Arial" w:hAnsi="Arial"/>
                <w:sz w:val="18"/>
                <w:szCs w:val="18"/>
                <w:b w:val="1"/>
                <w:bCs w:val="1"/>
                <w:color w:val="auto"/>
              </w:rPr>
              <w:t>78130</w:t>
            </w:r>
          </w:p>
        </w:tc>
      </w:tr>
      <w:tr>
        <w:trPr>
          <w:trHeight w:val="230"/>
        </w:trPr>
        <w:tc>
          <w:tcPr>
            <w:tcW w:w="512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jc w:val="center"/>
              <w:ind w:left="77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(830) 302-5200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692" w:right="239" w:bottom="1440" w:gutter="0" w:footer="0" w:header="0"/>
        </w:sectPr>
      </w:pPr>
    </w:p>
    <w:p>
      <w:pPr>
        <w:spacing w:after="0" w:line="23" w:lineRule="exact"/>
        <w:rPr>
          <w:sz w:val="24"/>
          <w:szCs w:val="24"/>
          <w:color w:val="auto"/>
        </w:rPr>
      </w:pPr>
    </w:p>
    <w:p>
      <w:pPr>
        <w:jc w:val="center"/>
        <w:ind w:left="1180"/>
        <w:spacing w:after="0"/>
        <w:rPr>
          <w:sz w:val="20"/>
          <w:szCs w:val="20"/>
          <w:color w:val="auto"/>
        </w:rPr>
      </w:pPr>
      <w:r>
        <w:rPr>
          <w:rFonts w:ascii="Arial" w:cs="Arial" w:eastAsia="Arial" w:hAnsi="Arial"/>
          <w:sz w:val="16"/>
          <w:szCs w:val="16"/>
          <w:b w:val="1"/>
          <w:bCs w:val="1"/>
          <w:color w:val="auto"/>
        </w:rPr>
        <w:t>Class A and Class B Common Stock, $.01 par value</w:t>
      </w:r>
    </w:p>
    <w:p>
      <w:pPr>
        <w:spacing w:after="0" w:line="32" w:lineRule="exact"/>
        <w:rPr>
          <w:sz w:val="24"/>
          <w:szCs w:val="24"/>
          <w:color w:val="auto"/>
        </w:rPr>
      </w:pPr>
    </w:p>
    <w:p>
      <w:pPr>
        <w:jc w:val="center"/>
        <w:ind w:left="114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NASDAQ Global Select Market</w:t>
      </w:r>
    </w:p>
    <w:p>
      <w:pPr>
        <w:spacing w:after="0" w:line="9"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Name of each exchange on which registered</w:t>
      </w:r>
    </w:p>
    <w:p>
      <w:pPr>
        <w:spacing w:after="0" w:line="222" w:lineRule="exact"/>
        <w:rPr>
          <w:sz w:val="24"/>
          <w:szCs w:val="24"/>
          <w:color w:val="auto"/>
        </w:rPr>
      </w:pPr>
    </w:p>
    <w:p>
      <w:pPr>
        <w:sectPr>
          <w:pgSz w:w="11900" w:h="16838" w:orient="portrait"/>
          <w:cols w:equalWidth="0" w:num="2">
            <w:col w:w="6800" w:space="720"/>
            <w:col w:w="3900"/>
          </w:cols>
          <w:pgMar w:left="240" w:top="692" w:right="239" w:bottom="1440" w:gutter="0" w:footer="0" w:header="0"/>
          <w:type w:val="continuous"/>
        </w:sectPr>
      </w:pP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ind w:left="5600"/>
        <w:spacing w:after="0" w:line="207" w:lineRule="exact"/>
        <w:tabs>
          <w:tab w:leader="none" w:pos="6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1" w:lineRule="exact"/>
        <w:rPr>
          <w:sz w:val="24"/>
          <w:szCs w:val="24"/>
          <w:color w:val="auto"/>
        </w:rPr>
      </w:pPr>
    </w:p>
    <w:p>
      <w:pPr>
        <w:ind w:left="5600" w:right="1720" w:hanging="5263"/>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692" w:right="239" w:bottom="1440" w:gutter="0" w:footer="0" w:header="0"/>
          <w:type w:val="continuous"/>
        </w:sectPr>
      </w:pPr>
    </w:p>
    <w:p>
      <w:pPr>
        <w:spacing w:after="0" w:line="183"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600"/>
        <w:spacing w:after="0" w:line="207" w:lineRule="exact"/>
        <w:tabs>
          <w:tab w:leader="none" w:pos="65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5600"/>
        <w:spacing w:after="0" w:line="207" w:lineRule="exact"/>
        <w:tabs>
          <w:tab w:leader="none" w:pos="6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 w:lineRule="exact"/>
        <w:rPr>
          <w:sz w:val="24"/>
          <w:szCs w:val="24"/>
          <w:color w:val="auto"/>
        </w:rPr>
      </w:pPr>
    </w:p>
    <w:p>
      <w:pPr>
        <w:spacing w:after="0" w:line="207" w:lineRule="exact"/>
        <w:tabs>
          <w:tab w:leader="none" w:pos="2060" w:val="left"/>
          <w:tab w:leader="none" w:pos="4680" w:val="left"/>
          <w:tab w:leader="none" w:pos="67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6"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(Do not check if a smaller reporting company.)</w:t>
      </w:r>
    </w:p>
    <w:p>
      <w:pPr>
        <w:spacing w:after="0" w:line="209" w:lineRule="exact"/>
        <w:rPr>
          <w:sz w:val="24"/>
          <w:szCs w:val="24"/>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5600"/>
        <w:spacing w:after="0" w:line="207" w:lineRule="exact"/>
        <w:tabs>
          <w:tab w:leader="none" w:pos="6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color w:val="auto"/>
        </w:rPr>
        <w:t>The aggregate market value of common stock held by non-affiliates of the registrant as of June 30, 2017 was approximately $1,310,859,219 based upon the last sales price on June 30, 2017 on The NASDAQ Global Select Market</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of $37.18 for the registrant’s Class A Common Stock and $36.41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203"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The registrant had 31,400,734 shares Class A Common Stock and 8,433,777 shares of Class B Common Stock outstanding on February 16, 2018.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Portions of registrant’s definitive proxy statement for the registrant’s 2018 Annual Meeting of Shareholders, to be filed with the Securities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Commission not later than May 1, 2018,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40" w:type="dxa"/>
            <w:vAlign w:val="bottom"/>
            <w:gridSpan w:val="16"/>
          </w:tcPr>
          <w:p>
            <w:pPr>
              <w:jc w:val="center"/>
              <w:ind w:right="2880"/>
              <w:spacing w:after="0"/>
              <w:rPr>
                <w:sz w:val="20"/>
                <w:szCs w:val="20"/>
                <w:color w:val="auto"/>
              </w:rPr>
            </w:pPr>
            <w:r>
              <w:rPr>
                <w:rFonts w:ascii="Arial" w:cs="Arial" w:eastAsia="Arial" w:hAnsi="Arial"/>
                <w:sz w:val="18"/>
                <w:szCs w:val="18"/>
                <w:b w:val="1"/>
                <w:bCs w:val="1"/>
                <w:color w:val="auto"/>
                <w:w w:val="98"/>
              </w:rPr>
              <w:t>RUSH ENTERPRISES, INC.</w:t>
            </w: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40" w:type="dxa"/>
            <w:vAlign w:val="bottom"/>
            <w:gridSpan w:val="16"/>
          </w:tcPr>
          <w:p>
            <w:pPr>
              <w:jc w:val="center"/>
              <w:ind w:right="2880"/>
              <w:spacing w:after="0"/>
              <w:rPr>
                <w:sz w:val="20"/>
                <w:szCs w:val="20"/>
                <w:color w:val="auto"/>
              </w:rPr>
            </w:pPr>
            <w:r>
              <w:rPr>
                <w:rFonts w:ascii="Arial" w:cs="Arial" w:eastAsia="Arial" w:hAnsi="Arial"/>
                <w:sz w:val="18"/>
                <w:szCs w:val="18"/>
                <w:b w:val="1"/>
                <w:bCs w:val="1"/>
                <w:color w:val="auto"/>
                <w:w w:val="94"/>
              </w:rPr>
              <w:t>Index to Form 10-K</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40" w:type="dxa"/>
            <w:vAlign w:val="bottom"/>
            <w:gridSpan w:val="16"/>
          </w:tcPr>
          <w:p>
            <w:pPr>
              <w:jc w:val="center"/>
              <w:ind w:right="2860"/>
              <w:spacing w:after="0"/>
              <w:rPr>
                <w:sz w:val="20"/>
                <w:szCs w:val="20"/>
                <w:color w:val="auto"/>
              </w:rPr>
            </w:pPr>
            <w:r>
              <w:rPr>
                <w:rFonts w:ascii="Arial" w:cs="Arial" w:eastAsia="Arial" w:hAnsi="Arial"/>
                <w:sz w:val="18"/>
                <w:szCs w:val="18"/>
                <w:b w:val="1"/>
                <w:bCs w:val="1"/>
                <w:color w:val="auto"/>
                <w:w w:val="89"/>
              </w:rPr>
              <w:t>Year ended December 31, 2017</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10"/>
            <w:vMerge w:val="restart"/>
          </w:tcPr>
          <w:p>
            <w:pPr>
              <w:jc w:val="center"/>
              <w:ind w:right="398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500" w:type="dxa"/>
            <w:vAlign w:val="bottom"/>
            <w:gridSpan w:val="3"/>
          </w:tcPr>
          <w:p>
            <w:pPr>
              <w:ind w:left="780"/>
              <w:spacing w:after="0"/>
              <w:rPr>
                <w:sz w:val="20"/>
                <w:szCs w:val="20"/>
                <w:color w:val="auto"/>
              </w:rPr>
            </w:pPr>
            <w:r>
              <w:rPr>
                <w:rFonts w:ascii="Arial" w:cs="Arial" w:eastAsia="Arial" w:hAnsi="Arial"/>
                <w:sz w:val="18"/>
                <w:szCs w:val="18"/>
                <w:b w:val="1"/>
                <w:bCs w:val="1"/>
                <w:color w:val="auto"/>
                <w:w w:val="90"/>
              </w:rPr>
              <w:t>Page No.</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gridSpan w:val="10"/>
            <w:vMerge w:val="continue"/>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444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460" w:type="dxa"/>
            <w:vAlign w:val="bottom"/>
            <w:tcBorders>
              <w:top w:val="single" w:sz="8" w:color="0000EE"/>
            </w:tcBorders>
          </w:tcPr>
          <w:p>
            <w:pPr>
              <w:spacing w:after="0"/>
              <w:rPr>
                <w:sz w:val="17"/>
                <w:szCs w:val="17"/>
                <w:color w:val="auto"/>
              </w:rPr>
            </w:pPr>
          </w:p>
        </w:tc>
        <w:tc>
          <w:tcPr>
            <w:tcW w:w="3980" w:type="dxa"/>
            <w:vAlign w:val="bottom"/>
            <w:gridSpan w:val="9"/>
          </w:tcPr>
          <w:p>
            <w:pPr>
              <w:spacing w:after="0"/>
              <w:rPr>
                <w:sz w:val="17"/>
                <w:szCs w:val="17"/>
                <w:color w:val="auto"/>
              </w:rPr>
            </w:pPr>
          </w:p>
        </w:tc>
        <w:tc>
          <w:tcPr>
            <w:tcW w:w="1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7960" w:type="dxa"/>
            <w:vAlign w:val="bottom"/>
            <w:gridSpan w:val="25"/>
          </w:tcPr>
          <w:p>
            <w:pPr>
              <w:spacing w:after="0"/>
              <w:rPr>
                <w:sz w:val="17"/>
                <w:szCs w:val="17"/>
                <w:color w:val="auto"/>
              </w:rPr>
            </w:pPr>
          </w:p>
        </w:tc>
        <w:tc>
          <w:tcPr>
            <w:tcW w:w="1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Unresolved Staff Comments</w:t>
              </w:r>
            </w:hyperlink>
          </w:p>
        </w:tc>
        <w:tc>
          <w:tcPr>
            <w:tcW w:w="6820" w:type="dxa"/>
            <w:vAlign w:val="bottom"/>
            <w:gridSpan w:val="19"/>
          </w:tcPr>
          <w:p>
            <w:pPr>
              <w:spacing w:after="0"/>
              <w:rPr>
                <w:sz w:val="17"/>
                <w:szCs w:val="17"/>
                <w:color w:val="auto"/>
              </w:rPr>
            </w:pPr>
          </w:p>
        </w:tc>
        <w:tc>
          <w:tcPr>
            <w:tcW w:w="1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Properties</w:t>
              </w:r>
            </w:hyperlink>
          </w:p>
        </w:tc>
        <w:tc>
          <w:tcPr>
            <w:tcW w:w="8140" w:type="dxa"/>
            <w:vAlign w:val="bottom"/>
            <w:gridSpan w:val="26"/>
          </w:tcPr>
          <w:p>
            <w:pPr>
              <w:spacing w:after="0"/>
              <w:rPr>
                <w:sz w:val="17"/>
                <w:szCs w:val="17"/>
                <w:color w:val="auto"/>
              </w:rPr>
            </w:pPr>
          </w:p>
        </w:tc>
        <w:tc>
          <w:tcPr>
            <w:tcW w:w="1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8880" w:type="dxa"/>
            <w:vAlign w:val="bottom"/>
            <w:gridSpan w:val="2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880" w:type="dxa"/>
            <w:vAlign w:val="bottom"/>
            <w:gridSpan w:val="2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1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w:t>
              </w:r>
            </w:hyperlink>
          </w:p>
        </w:tc>
        <w:tc>
          <w:tcPr>
            <w:tcW w:w="394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880" w:type="dxa"/>
            <w:vAlign w:val="bottom"/>
            <w:gridSpan w:val="28"/>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Market for Registrant’s Common Equity, Related Shareholder Matters and Issuer Purchases of Equity Securities</w:t>
              </w:r>
            </w:hyperlink>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Selected Financial Data</w:t>
              </w:r>
            </w:hyperlink>
          </w:p>
        </w:tc>
        <w:tc>
          <w:tcPr>
            <w:tcW w:w="6280" w:type="dxa"/>
            <w:vAlign w:val="bottom"/>
            <w:tcBorders>
              <w:top w:val="single" w:sz="8" w:color="0000EE"/>
            </w:tcBorders>
            <w:gridSpan w:val="20"/>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8880" w:type="dxa"/>
            <w:vAlign w:val="bottom"/>
            <w:gridSpan w:val="2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10"/>
          </w:tcPr>
          <w:p>
            <w:pPr>
              <w:spacing w:after="0"/>
              <w:rPr>
                <w:sz w:val="17"/>
                <w:szCs w:val="17"/>
                <w:color w:val="auto"/>
              </w:rPr>
            </w:pPr>
          </w:p>
        </w:tc>
        <w:tc>
          <w:tcPr>
            <w:tcW w:w="2420" w:type="dxa"/>
            <w:vAlign w:val="bottom"/>
            <w:gridSpan w:val="4"/>
          </w:tcPr>
          <w:p>
            <w:pPr>
              <w:spacing w:after="0"/>
              <w:rPr>
                <w:sz w:val="17"/>
                <w:szCs w:val="17"/>
                <w:color w:val="auto"/>
              </w:rPr>
            </w:pPr>
          </w:p>
        </w:tc>
        <w:tc>
          <w:tcPr>
            <w:tcW w:w="1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Financial Statements and Supplementary Data</w:t>
              </w:r>
            </w:hyperlink>
          </w:p>
        </w:tc>
        <w:tc>
          <w:tcPr>
            <w:tcW w:w="5540" w:type="dxa"/>
            <w:vAlign w:val="bottom"/>
            <w:gridSpan w:val="16"/>
          </w:tcPr>
          <w:p>
            <w:pPr>
              <w:spacing w:after="0"/>
              <w:rPr>
                <w:sz w:val="17"/>
                <w:szCs w:val="17"/>
                <w:color w:val="auto"/>
              </w:rPr>
            </w:pPr>
          </w:p>
        </w:tc>
        <w:tc>
          <w:tcPr>
            <w:tcW w:w="1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8880" w:type="dxa"/>
            <w:vAlign w:val="bottom"/>
            <w:gridSpan w:val="2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Changes in and Disagreements with Accountants on Accounting and Financial Disclosure</w:t>
              </w:r>
            </w:hyperlink>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9"/>
          </w:tcPr>
          <w:p>
            <w:pPr>
              <w:spacing w:after="0"/>
              <w:rPr>
                <w:sz w:val="17"/>
                <w:szCs w:val="17"/>
                <w:color w:val="auto"/>
              </w:rPr>
            </w:pPr>
          </w:p>
        </w:tc>
        <w:tc>
          <w:tcPr>
            <w:tcW w:w="2400" w:type="dxa"/>
            <w:vAlign w:val="bottom"/>
            <w:gridSpan w:val="3"/>
          </w:tcPr>
          <w:p>
            <w:pPr>
              <w:spacing w:after="0"/>
              <w:rPr>
                <w:sz w:val="17"/>
                <w:szCs w:val="17"/>
                <w:color w:val="auto"/>
              </w:rPr>
            </w:pPr>
          </w:p>
        </w:tc>
        <w:tc>
          <w:tcPr>
            <w:tcW w:w="1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8880" w:type="dxa"/>
            <w:vAlign w:val="bottom"/>
            <w:gridSpan w:val="2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p>
        </w:tc>
        <w:tc>
          <w:tcPr>
            <w:tcW w:w="1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14"/>
          </w:tcPr>
          <w:p>
            <w:pPr>
              <w:jc w:val="center"/>
              <w:ind w:right="3840"/>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Part III</w:t>
              </w:r>
            </w:hyperlink>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4380" w:type="dxa"/>
            <w:vAlign w:val="bottom"/>
            <w:gridSpan w:val="15"/>
          </w:tcPr>
          <w:p>
            <w:pPr>
              <w:spacing w:after="0"/>
              <w:rPr>
                <w:rFonts w:ascii="Arial" w:cs="Arial" w:eastAsia="Arial" w:hAnsi="Arial"/>
                <w:sz w:val="18"/>
                <w:szCs w:val="18"/>
                <w:color w:val="0000EE"/>
                <w:w w:val="96"/>
              </w:rPr>
            </w:pPr>
            <w:hyperlink w:anchor="page76">
              <w:r>
                <w:rPr>
                  <w:rFonts w:ascii="Arial" w:cs="Arial" w:eastAsia="Arial" w:hAnsi="Arial"/>
                  <w:sz w:val="18"/>
                  <w:szCs w:val="18"/>
                  <w:color w:val="0000EE"/>
                  <w:w w:val="96"/>
                </w:rPr>
                <w:t>Directors, Executive Officers and Corporate Governance</w:t>
              </w:r>
            </w:hyperlink>
          </w:p>
        </w:tc>
        <w:tc>
          <w:tcPr>
            <w:tcW w:w="600" w:type="dxa"/>
            <w:vAlign w:val="bottom"/>
            <w:tcBorders>
              <w:top w:val="single" w:sz="8" w:color="0000EE"/>
            </w:tcBorders>
            <w:gridSpan w:val="7"/>
          </w:tcPr>
          <w:p>
            <w:pPr>
              <w:spacing w:after="0"/>
              <w:rPr>
                <w:sz w:val="24"/>
                <w:szCs w:val="24"/>
                <w:color w:val="auto"/>
              </w:rPr>
            </w:pPr>
          </w:p>
        </w:tc>
        <w:tc>
          <w:tcPr>
            <w:tcW w:w="3900" w:type="dxa"/>
            <w:vAlign w:val="bottom"/>
            <w:gridSpan w:val="6"/>
          </w:tcPr>
          <w:p>
            <w:pPr>
              <w:spacing w:after="0"/>
              <w:rPr>
                <w:sz w:val="24"/>
                <w:szCs w:val="2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4780" w:type="dxa"/>
            <w:vAlign w:val="bottom"/>
            <w:gridSpan w:val="15"/>
          </w:tcPr>
          <w:p>
            <w:pPr>
              <w:spacing w:after="0"/>
              <w:rPr>
                <w:sz w:val="17"/>
                <w:szCs w:val="17"/>
                <w:color w:val="auto"/>
              </w:rPr>
            </w:pPr>
          </w:p>
        </w:tc>
        <w:tc>
          <w:tcPr>
            <w:tcW w:w="1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8880" w:type="dxa"/>
            <w:vAlign w:val="bottom"/>
            <w:gridSpan w:val="2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Security Ownership of Certain Beneficial Owners and Management and Related Shareholder Matters</w:t>
              </w:r>
            </w:hyperlink>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Certain Relationships and Related Transactions, and Director Independence</w:t>
              </w:r>
            </w:hyperlink>
          </w:p>
        </w:tc>
        <w:tc>
          <w:tcPr>
            <w:tcW w:w="1840" w:type="dxa"/>
            <w:vAlign w:val="bottom"/>
            <w:tcBorders>
              <w:top w:val="single" w:sz="8" w:color="0000EE"/>
            </w:tcBorders>
            <w:gridSpan w:val="3"/>
          </w:tcPr>
          <w:p>
            <w:pPr>
              <w:spacing w:after="0"/>
              <w:rPr>
                <w:sz w:val="17"/>
                <w:szCs w:val="17"/>
                <w:color w:val="auto"/>
              </w:rPr>
            </w:pPr>
          </w:p>
        </w:tc>
        <w:tc>
          <w:tcPr>
            <w:tcW w:w="1580" w:type="dxa"/>
            <w:vAlign w:val="bottom"/>
            <w:gridSpan w:val="2"/>
          </w:tcPr>
          <w:p>
            <w:pPr>
              <w:spacing w:after="0"/>
              <w:rPr>
                <w:sz w:val="17"/>
                <w:szCs w:val="17"/>
                <w:color w:val="auto"/>
              </w:rPr>
            </w:pPr>
          </w:p>
        </w:tc>
        <w:tc>
          <w:tcPr>
            <w:tcW w:w="1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8880" w:type="dxa"/>
            <w:vAlign w:val="bottom"/>
            <w:gridSpan w:val="28"/>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Principal Accountant Fees and Services</w:t>
              </w:r>
            </w:hyperlink>
          </w:p>
        </w:tc>
        <w:tc>
          <w:tcPr>
            <w:tcW w:w="1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12"/>
          </w:tcPr>
          <w:p>
            <w:pPr>
              <w:jc w:val="center"/>
              <w:ind w:right="3920"/>
              <w:spacing w:after="0"/>
              <w:rPr>
                <w:rFonts w:ascii="Arial" w:cs="Arial" w:eastAsia="Arial" w:hAnsi="Arial"/>
                <w:sz w:val="18"/>
                <w:szCs w:val="18"/>
                <w:b w:val="1"/>
                <w:bCs w:val="1"/>
                <w:color w:val="0000EE"/>
                <w:w w:val="98"/>
              </w:rPr>
            </w:pPr>
            <w:hyperlink w:anchor="page78">
              <w:r>
                <w:rPr>
                  <w:rFonts w:ascii="Arial" w:cs="Arial" w:eastAsia="Arial" w:hAnsi="Arial"/>
                  <w:sz w:val="18"/>
                  <w:szCs w:val="18"/>
                  <w:b w:val="1"/>
                  <w:bCs w:val="1"/>
                  <w:color w:val="0000EE"/>
                  <w:w w:val="98"/>
                </w:rPr>
                <w:t>Part IV</w:t>
              </w:r>
            </w:hyperlink>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4400" w:type="dxa"/>
            <w:vAlign w:val="bottom"/>
            <w:gridSpan w:val="1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Exhibits, Financial Statement Schedules</w:t>
              </w:r>
            </w:hyperlink>
          </w:p>
        </w:tc>
        <w:tc>
          <w:tcPr>
            <w:tcW w:w="560" w:type="dxa"/>
            <w:vAlign w:val="bottom"/>
            <w:tcBorders>
              <w:top w:val="single" w:sz="8" w:color="0000EE"/>
            </w:tcBorders>
            <w:gridSpan w:val="5"/>
          </w:tcPr>
          <w:p>
            <w:pPr>
              <w:spacing w:after="0"/>
              <w:rPr>
                <w:sz w:val="24"/>
                <w:szCs w:val="24"/>
                <w:color w:val="auto"/>
              </w:rPr>
            </w:pPr>
          </w:p>
        </w:tc>
        <w:tc>
          <w:tcPr>
            <w:tcW w:w="3920" w:type="dxa"/>
            <w:vAlign w:val="bottom"/>
            <w:gridSpan w:val="7"/>
          </w:tcPr>
          <w:p>
            <w:pPr>
              <w:spacing w:after="0"/>
              <w:rPr>
                <w:sz w:val="24"/>
                <w:szCs w:val="2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Form 10-K Summary</w:t>
              </w:r>
            </w:hyperlink>
          </w:p>
        </w:tc>
        <w:tc>
          <w:tcPr>
            <w:tcW w:w="5980" w:type="dxa"/>
            <w:vAlign w:val="bottom"/>
            <w:gridSpan w:val="17"/>
          </w:tcPr>
          <w:p>
            <w:pPr>
              <w:spacing w:after="0"/>
              <w:rPr>
                <w:sz w:val="17"/>
                <w:szCs w:val="17"/>
                <w:color w:val="auto"/>
              </w:rPr>
            </w:pPr>
          </w:p>
        </w:tc>
        <w:tc>
          <w:tcPr>
            <w:tcW w:w="1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4"/>
        </w:trPr>
        <w:tc>
          <w:tcPr>
            <w:tcW w:w="10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REGARDING FORWARD</w:t>
      </w:r>
      <w:r>
        <w:rPr>
          <w:rFonts w:ascii="Arial" w:cs="Arial" w:eastAsia="Arial" w:hAnsi="Arial"/>
          <w:sz w:val="18"/>
          <w:szCs w:val="18"/>
          <w:b w:val="1"/>
          <w:bCs w:val="1"/>
          <w:color w:val="auto"/>
        </w:rPr>
        <w:t>-LOOKING STATEMENTS</w:t>
      </w:r>
    </w:p>
    <w:p>
      <w:pPr>
        <w:spacing w:after="0" w:line="219" w:lineRule="exact"/>
        <w:rPr>
          <w:sz w:val="20"/>
          <w:szCs w:val="20"/>
          <w:color w:val="auto"/>
        </w:rPr>
      </w:pPr>
    </w:p>
    <w:p>
      <w:pPr>
        <w:jc w:val="both"/>
        <w:ind w:right="80"/>
        <w:spacing w:after="0" w:line="285" w:lineRule="auto"/>
        <w:rPr>
          <w:sz w:val="20"/>
          <w:szCs w:val="20"/>
          <w:color w:val="auto"/>
        </w:rPr>
      </w:pPr>
      <w:r>
        <w:rPr>
          <w:rFonts w:ascii="Arial" w:cs="Arial" w:eastAsia="Arial" w:hAnsi="Arial"/>
          <w:sz w:val="16"/>
          <w:szCs w:val="16"/>
          <w:i w:val="1"/>
          <w:iCs w:val="1"/>
          <w:color w:val="auto"/>
        </w:rPr>
        <w:t>Certain statements contained in this Form 10-K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for a discussion of certain of those risks. Other unknown or unpredictable factors could also have a material adverse effect on future results. Although the Company believes that its expectations are reasonable as of the date of this Form 10-K,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33" w:lineRule="exact"/>
        <w:rPr>
          <w:sz w:val="20"/>
          <w:szCs w:val="20"/>
          <w:color w:val="auto"/>
        </w:rPr>
      </w:pPr>
    </w:p>
    <w:p>
      <w:pPr>
        <w:jc w:val="both"/>
        <w:spacing w:after="0" w:line="227"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Inc. PacLease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Leasing Corporation. Navistar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International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Transportation Corp. Idealease is a registered trademark of Idealease, Inc. aka Idealease of North America, Inc.</w:t>
      </w:r>
    </w:p>
    <w:p>
      <w:pPr>
        <w:jc w:val="both"/>
        <w:spacing w:after="0" w:line="206" w:lineRule="auto"/>
        <w:rPr>
          <w:sz w:val="20"/>
          <w:szCs w:val="20"/>
          <w:color w:val="auto"/>
        </w:rPr>
      </w:pPr>
      <w:r>
        <w:rPr>
          <w:rFonts w:ascii="Arial" w:cs="Arial" w:eastAsia="Arial" w:hAnsi="Arial"/>
          <w:sz w:val="16"/>
          <w:szCs w:val="16"/>
          <w:i w:val="1"/>
          <w:iCs w:val="1"/>
          <w:color w:val="auto"/>
        </w:rPr>
        <w:t>Blue Bird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Blue Bird Investment Corporation. IC Bus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IC Bus, LLC. Fuso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Mitsubishi Fuso Truck and Bus Corporation. Hino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Hino Motors, Ltd. Isuzu</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Isuzu Motors Limited. Ford Motor Credit Company</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Ford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i w:val="1"/>
          <w:iCs w:val="1"/>
          <w:color w:val="auto"/>
        </w:rPr>
        <w:t>Company. SAP</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is a registered trademark of SAP Aktiengesellschaft. IBM</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is a registered trademark of International Business Machines Corporation. This report contains additional trade names or trademarks of other companies. Our use of such trade names or trademarks should not imply any endorsement or relationship with such companies.</w:t>
      </w:r>
    </w:p>
    <w:p>
      <w:pPr>
        <w:spacing w:after="0" w:line="19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References herein to “the Company,” “Rush Enterprises,” “we,” “our” or “us” mean Rush Enterprises, Inc., a Texas corporation, and its subsidiaries unless the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Company Information</w:t>
      </w:r>
    </w:p>
    <w:p>
      <w:pPr>
        <w:spacing w:after="0" w:line="22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electronically file annual reports, quarterly reports, proxy statements and other reports and information statements with the SEC. You may read and copy any of the materials that we have filed with the SEC at the SEC’s Public Reference Room at 100 F Street NE, Washington, DC 20549. You may obtain information about the Public Reference Room by calling the SEC at 1-800-SEC-0330. Our filings are also available to you on the SEC’s website at www.sec.gov.</w:t>
      </w:r>
    </w:p>
    <w:p>
      <w:pPr>
        <w:spacing w:after="0" w:line="187"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We make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Our website address is www.rushenterprises.com. The information contained on our website, or on other websites linked to our website, is not incorporated into this report or otherwise made part of this report.</w:t>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36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70" w:lineRule="exact"/>
        <w:rPr>
          <w:sz w:val="20"/>
          <w:szCs w:val="20"/>
          <w:color w:val="auto"/>
        </w:rPr>
      </w:pPr>
    </w:p>
    <w:p>
      <w:pPr>
        <w:jc w:val="both"/>
        <w:ind w:right="360" w:firstLine="648"/>
        <w:spacing w:after="0" w:line="276" w:lineRule="auto"/>
        <w:rPr>
          <w:sz w:val="20"/>
          <w:szCs w:val="20"/>
          <w:color w:val="auto"/>
        </w:rPr>
      </w:pPr>
      <w:r>
        <w:rPr>
          <w:rFonts w:ascii="Arial" w:cs="Arial" w:eastAsia="Arial" w:hAnsi="Arial"/>
          <w:sz w:val="17"/>
          <w:szCs w:val="17"/>
          <w:color w:val="auto"/>
        </w:rPr>
        <w:t>We are a full-service, integrated retailer of commercial vehicles and related services. The Truck Segment includes the Company’s operation of a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73" w:lineRule="exact"/>
        <w:rPr>
          <w:sz w:val="20"/>
          <w:szCs w:val="20"/>
          <w:color w:val="auto"/>
        </w:rPr>
      </w:pPr>
    </w:p>
    <w:p>
      <w:pPr>
        <w:jc w:val="both"/>
        <w:ind w:right="360" w:firstLine="648"/>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21 states.</w:t>
      </w:r>
    </w:p>
    <w:p>
      <w:pPr>
        <w:spacing w:after="0" w:line="170" w:lineRule="exact"/>
        <w:rPr>
          <w:sz w:val="20"/>
          <w:szCs w:val="20"/>
          <w:color w:val="auto"/>
        </w:rPr>
      </w:pPr>
    </w:p>
    <w:p>
      <w:pPr>
        <w:jc w:val="both"/>
        <w:ind w:right="360"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 in addition to new and used commercial vehicle sales and leasing, plus financial services, vehicle upfitting, CNG fuel systems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to enable us to better serve our customers.</w:t>
      </w:r>
    </w:p>
    <w:p>
      <w:pPr>
        <w:spacing w:after="0" w:line="193"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i w:val="1"/>
          <w:iCs w:val="1"/>
          <w:color w:val="auto"/>
        </w:rPr>
        <w:t xml:space="preserve">Rush Truck Centers. </w:t>
      </w:r>
      <w:r>
        <w:rPr>
          <w:rFonts w:ascii="Arial" w:cs="Arial" w:eastAsia="Arial" w:hAnsi="Arial"/>
          <w:sz w:val="18"/>
          <w:szCs w:val="18"/>
          <w:color w:val="auto"/>
        </w:rPr>
        <w:t>Our Rush Truck Centers are located in Alabama, Arizona, California, Colorado, Florida, Georgia, Idaho, Illinois, Indiana,</w:t>
      </w:r>
      <w:r>
        <w:rPr>
          <w:rFonts w:ascii="Arial" w:cs="Arial" w:eastAsia="Arial" w:hAnsi="Arial"/>
          <w:sz w:val="18"/>
          <w:szCs w:val="18"/>
          <w:i w:val="1"/>
          <w:iCs w:val="1"/>
          <w:color w:val="auto"/>
        </w:rPr>
        <w:t xml:space="preserve"> </w:t>
      </w:r>
      <w:r>
        <w:rPr>
          <w:rFonts w:ascii="Arial" w:cs="Arial" w:eastAsia="Arial" w:hAnsi="Arial"/>
          <w:sz w:val="18"/>
          <w:szCs w:val="18"/>
          <w:color w:val="auto"/>
        </w:rPr>
        <w:t>Kansas, Kentucky, Missouri, Nevada, New Mexico, North Carolina, Ohio, Oklahoma, Tennessee, Texas, Utah and Virginia. The following chart reflects our franchises and parts, service and body shop operations by location as of March 1,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Parts</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6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Truck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Body</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Rush Truck Center Location</w:t>
            </w:r>
          </w:p>
        </w:tc>
        <w:tc>
          <w:tcPr>
            <w:tcW w:w="39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Commercial Vehicle Franchise(s)</w:t>
            </w:r>
          </w:p>
        </w:tc>
        <w:tc>
          <w:tcPr>
            <w:tcW w:w="1160" w:type="dxa"/>
            <w:vAlign w:val="bottom"/>
          </w:tcPr>
          <w:p>
            <w:pPr>
              <w:jc w:val="center"/>
              <w:ind w:left="90"/>
              <w:spacing w:after="0"/>
              <w:rPr>
                <w:sz w:val="20"/>
                <w:szCs w:val="20"/>
                <w:color w:val="auto"/>
              </w:rPr>
            </w:pPr>
            <w:r>
              <w:rPr>
                <w:rFonts w:ascii="Arial" w:cs="Arial" w:eastAsia="Arial" w:hAnsi="Arial"/>
                <w:sz w:val="18"/>
                <w:szCs w:val="18"/>
                <w:b w:val="1"/>
                <w:bCs w:val="1"/>
                <w:color w:val="auto"/>
                <w:w w:val="80"/>
              </w:rPr>
              <w:t>Sales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Shop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auto"/>
              <w:bottom w:val="single" w:sz="8" w:color="auto"/>
            </w:tcBorders>
          </w:tcPr>
          <w:p>
            <w:pPr>
              <w:spacing w:after="0" w:line="20" w:lineRule="exact"/>
              <w:rPr>
                <w:sz w:val="1"/>
                <w:szCs w:val="1"/>
                <w:color w:val="auto"/>
              </w:rPr>
            </w:pPr>
          </w:p>
        </w:tc>
        <w:tc>
          <w:tcPr>
            <w:tcW w:w="39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Alabama</w:t>
            </w:r>
          </w:p>
        </w:tc>
        <w:tc>
          <w:tcPr>
            <w:tcW w:w="3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Mobile</w:t>
            </w:r>
          </w:p>
        </w:tc>
        <w:tc>
          <w:tcPr>
            <w:tcW w:w="3900" w:type="dxa"/>
            <w:vAlign w:val="bottom"/>
          </w:tcPr>
          <w:p>
            <w:pPr>
              <w:jc w:val="center"/>
              <w:ind w:left="410"/>
              <w:spacing w:after="0"/>
              <w:rPr>
                <w:sz w:val="20"/>
                <w:szCs w:val="20"/>
                <w:color w:val="auto"/>
              </w:rPr>
            </w:pPr>
            <w:r>
              <w:rPr>
                <w:rFonts w:ascii="Arial" w:cs="Arial" w:eastAsia="Arial" w:hAnsi="Arial"/>
                <w:sz w:val="18"/>
                <w:szCs w:val="18"/>
                <w:color w:val="auto"/>
                <w:w w:val="90"/>
              </w:rPr>
              <w:t>Peterbilt</w:t>
            </w:r>
          </w:p>
        </w:tc>
        <w:tc>
          <w:tcPr>
            <w:tcW w:w="116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Arizona</w:t>
            </w:r>
          </w:p>
        </w:tc>
        <w:tc>
          <w:tcPr>
            <w:tcW w:w="3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Flagstaff</w:t>
            </w:r>
          </w:p>
        </w:tc>
        <w:tc>
          <w:tcPr>
            <w:tcW w:w="3900" w:type="dxa"/>
            <w:vAlign w:val="bottom"/>
          </w:tcPr>
          <w:p>
            <w:pPr>
              <w:jc w:val="center"/>
              <w:ind w:left="410"/>
              <w:spacing w:after="0"/>
              <w:rPr>
                <w:sz w:val="20"/>
                <w:szCs w:val="20"/>
                <w:color w:val="auto"/>
              </w:rPr>
            </w:pPr>
            <w:r>
              <w:rPr>
                <w:rFonts w:ascii="Arial" w:cs="Arial" w:eastAsia="Arial" w:hAnsi="Arial"/>
                <w:sz w:val="18"/>
                <w:szCs w:val="18"/>
                <w:color w:val="auto"/>
                <w:w w:val="90"/>
              </w:rPr>
              <w:t>Peterbilt</w:t>
            </w:r>
          </w:p>
        </w:tc>
        <w:tc>
          <w:tcPr>
            <w:tcW w:w="1160" w:type="dxa"/>
            <w:vAlign w:val="bottom"/>
          </w:tcPr>
          <w:p>
            <w:pPr>
              <w:jc w:val="center"/>
              <w:ind w:left="90"/>
              <w:spacing w:after="0"/>
              <w:rPr>
                <w:sz w:val="20"/>
                <w:szCs w:val="20"/>
                <w:color w:val="auto"/>
              </w:rPr>
            </w:pPr>
            <w:r>
              <w:rPr>
                <w:rFonts w:ascii="Arial" w:cs="Arial" w:eastAsia="Arial" w:hAnsi="Arial"/>
                <w:sz w:val="18"/>
                <w:szCs w:val="18"/>
                <w:color w:val="auto"/>
                <w:w w:val="95"/>
              </w:rPr>
              <w:t>No</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Phoenix</w:t>
            </w:r>
          </w:p>
        </w:tc>
        <w:tc>
          <w:tcPr>
            <w:tcW w:w="39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3"/>
              </w:rPr>
              <w:t>Peterbilt, Hino</w:t>
            </w:r>
          </w:p>
        </w:tc>
        <w:tc>
          <w:tcPr>
            <w:tcW w:w="11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Tucson</w:t>
            </w:r>
          </w:p>
        </w:tc>
        <w:tc>
          <w:tcPr>
            <w:tcW w:w="3900" w:type="dxa"/>
            <w:vAlign w:val="bottom"/>
          </w:tcPr>
          <w:p>
            <w:pPr>
              <w:jc w:val="center"/>
              <w:ind w:left="390"/>
              <w:spacing w:after="0"/>
              <w:rPr>
                <w:sz w:val="20"/>
                <w:szCs w:val="20"/>
                <w:color w:val="auto"/>
              </w:rPr>
            </w:pPr>
            <w:r>
              <w:rPr>
                <w:rFonts w:ascii="Arial" w:cs="Arial" w:eastAsia="Arial" w:hAnsi="Arial"/>
                <w:sz w:val="18"/>
                <w:szCs w:val="18"/>
                <w:color w:val="auto"/>
                <w:w w:val="93"/>
              </w:rPr>
              <w:t>Peterbilt, Hino</w:t>
            </w:r>
          </w:p>
        </w:tc>
        <w:tc>
          <w:tcPr>
            <w:tcW w:w="116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Yuma</w:t>
            </w:r>
          </w:p>
        </w:tc>
        <w:tc>
          <w:tcPr>
            <w:tcW w:w="39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Peterbilt</w:t>
            </w:r>
          </w:p>
        </w:tc>
        <w:tc>
          <w:tcPr>
            <w:tcW w:w="11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California</w:t>
            </w:r>
          </w:p>
        </w:tc>
        <w:tc>
          <w:tcPr>
            <w:tcW w:w="3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Bakersfield</w:t>
            </w:r>
          </w:p>
        </w:tc>
        <w:tc>
          <w:tcPr>
            <w:tcW w:w="39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2"/>
              </w:rPr>
              <w:t>None</w:t>
            </w:r>
          </w:p>
        </w:tc>
        <w:tc>
          <w:tcPr>
            <w:tcW w:w="11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5"/>
              </w:rPr>
              <w:t>No</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Fontana Heavy-Duty</w:t>
            </w:r>
          </w:p>
        </w:tc>
        <w:tc>
          <w:tcPr>
            <w:tcW w:w="3900" w:type="dxa"/>
            <w:vAlign w:val="bottom"/>
          </w:tcPr>
          <w:p>
            <w:pPr>
              <w:jc w:val="center"/>
              <w:ind w:left="410"/>
              <w:spacing w:after="0"/>
              <w:rPr>
                <w:sz w:val="20"/>
                <w:szCs w:val="20"/>
                <w:color w:val="auto"/>
              </w:rPr>
            </w:pPr>
            <w:r>
              <w:rPr>
                <w:rFonts w:ascii="Arial" w:cs="Arial" w:eastAsia="Arial" w:hAnsi="Arial"/>
                <w:sz w:val="18"/>
                <w:szCs w:val="18"/>
                <w:color w:val="auto"/>
                <w:w w:val="90"/>
              </w:rPr>
              <w:t>Peterbilt</w:t>
            </w:r>
          </w:p>
        </w:tc>
        <w:tc>
          <w:tcPr>
            <w:tcW w:w="116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Fontana Medium-Duty</w:t>
            </w:r>
          </w:p>
        </w:tc>
        <w:tc>
          <w:tcPr>
            <w:tcW w:w="39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2"/>
              </w:rPr>
              <w:t>Peterbilt, Hino, Isuzu</w:t>
            </w:r>
          </w:p>
        </w:tc>
        <w:tc>
          <w:tcPr>
            <w:tcW w:w="11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Fontana Vocational</w:t>
            </w:r>
          </w:p>
        </w:tc>
        <w:tc>
          <w:tcPr>
            <w:tcW w:w="3900" w:type="dxa"/>
            <w:vAlign w:val="bottom"/>
          </w:tcPr>
          <w:p>
            <w:pPr>
              <w:jc w:val="center"/>
              <w:ind w:left="410"/>
              <w:spacing w:after="0"/>
              <w:rPr>
                <w:sz w:val="20"/>
                <w:szCs w:val="20"/>
                <w:color w:val="auto"/>
              </w:rPr>
            </w:pPr>
            <w:r>
              <w:rPr>
                <w:rFonts w:ascii="Arial" w:cs="Arial" w:eastAsia="Arial" w:hAnsi="Arial"/>
                <w:sz w:val="18"/>
                <w:szCs w:val="18"/>
                <w:color w:val="auto"/>
                <w:w w:val="92"/>
              </w:rPr>
              <w:t>None</w:t>
            </w:r>
          </w:p>
        </w:tc>
        <w:tc>
          <w:tcPr>
            <w:tcW w:w="1160" w:type="dxa"/>
            <w:vAlign w:val="bottom"/>
          </w:tcPr>
          <w:p>
            <w:pPr>
              <w:jc w:val="center"/>
              <w:ind w:left="90"/>
              <w:spacing w:after="0"/>
              <w:rPr>
                <w:sz w:val="20"/>
                <w:szCs w:val="20"/>
                <w:color w:val="auto"/>
              </w:rPr>
            </w:pPr>
            <w:r>
              <w:rPr>
                <w:rFonts w:ascii="Arial" w:cs="Arial" w:eastAsia="Arial" w:hAnsi="Arial"/>
                <w:sz w:val="18"/>
                <w:szCs w:val="18"/>
                <w:color w:val="auto"/>
                <w:w w:val="95"/>
              </w:rPr>
              <w:t>No</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 Beach</w:t>
            </w:r>
          </w:p>
        </w:tc>
        <w:tc>
          <w:tcPr>
            <w:tcW w:w="39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Peterbilt</w:t>
            </w:r>
          </w:p>
        </w:tc>
        <w:tc>
          <w:tcPr>
            <w:tcW w:w="11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5"/>
              </w:rPr>
              <w:t>No</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Pico Rivera</w:t>
            </w:r>
          </w:p>
        </w:tc>
        <w:tc>
          <w:tcPr>
            <w:tcW w:w="3900" w:type="dxa"/>
            <w:vAlign w:val="bottom"/>
          </w:tcPr>
          <w:p>
            <w:pPr>
              <w:jc w:val="center"/>
              <w:ind w:left="410"/>
              <w:spacing w:after="0"/>
              <w:rPr>
                <w:sz w:val="20"/>
                <w:szCs w:val="20"/>
                <w:color w:val="auto"/>
              </w:rPr>
            </w:pPr>
            <w:r>
              <w:rPr>
                <w:rFonts w:ascii="Arial" w:cs="Arial" w:eastAsia="Arial" w:hAnsi="Arial"/>
                <w:sz w:val="18"/>
                <w:szCs w:val="18"/>
                <w:color w:val="auto"/>
                <w:w w:val="90"/>
              </w:rPr>
              <w:t>Peterbilt</w:t>
            </w:r>
          </w:p>
        </w:tc>
        <w:tc>
          <w:tcPr>
            <w:tcW w:w="116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San Diego</w:t>
            </w:r>
          </w:p>
        </w:tc>
        <w:tc>
          <w:tcPr>
            <w:tcW w:w="39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2"/>
              </w:rPr>
              <w:t>Peterbilt, Hino, Ford</w:t>
            </w:r>
          </w:p>
        </w:tc>
        <w:tc>
          <w:tcPr>
            <w:tcW w:w="11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Sylmar</w:t>
            </w:r>
          </w:p>
        </w:tc>
        <w:tc>
          <w:tcPr>
            <w:tcW w:w="3900" w:type="dxa"/>
            <w:vAlign w:val="bottom"/>
          </w:tcPr>
          <w:p>
            <w:pPr>
              <w:jc w:val="center"/>
              <w:ind w:left="410"/>
              <w:spacing w:after="0"/>
              <w:rPr>
                <w:sz w:val="20"/>
                <w:szCs w:val="20"/>
                <w:color w:val="auto"/>
              </w:rPr>
            </w:pPr>
            <w:r>
              <w:rPr>
                <w:rFonts w:ascii="Arial" w:cs="Arial" w:eastAsia="Arial" w:hAnsi="Arial"/>
                <w:sz w:val="18"/>
                <w:szCs w:val="18"/>
                <w:color w:val="auto"/>
                <w:w w:val="90"/>
              </w:rPr>
              <w:t>Peterbilt</w:t>
            </w:r>
          </w:p>
        </w:tc>
        <w:tc>
          <w:tcPr>
            <w:tcW w:w="116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Whittier</w:t>
            </w:r>
          </w:p>
        </w:tc>
        <w:tc>
          <w:tcPr>
            <w:tcW w:w="39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Ford, Isuzu</w:t>
            </w:r>
          </w:p>
        </w:tc>
        <w:tc>
          <w:tcPr>
            <w:tcW w:w="11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Colorado</w:t>
            </w:r>
          </w:p>
        </w:tc>
        <w:tc>
          <w:tcPr>
            <w:tcW w:w="3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Denver</w:t>
            </w:r>
          </w:p>
        </w:tc>
        <w:tc>
          <w:tcPr>
            <w:tcW w:w="39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1"/>
              </w:rPr>
              <w:t>Peterbilt, Ford, Isuzu</w:t>
            </w:r>
          </w:p>
        </w:tc>
        <w:tc>
          <w:tcPr>
            <w:tcW w:w="11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Greeley</w:t>
            </w:r>
          </w:p>
        </w:tc>
        <w:tc>
          <w:tcPr>
            <w:tcW w:w="3900" w:type="dxa"/>
            <w:vAlign w:val="bottom"/>
          </w:tcPr>
          <w:p>
            <w:pPr>
              <w:jc w:val="center"/>
              <w:ind w:left="410"/>
              <w:spacing w:after="0"/>
              <w:rPr>
                <w:sz w:val="20"/>
                <w:szCs w:val="20"/>
                <w:color w:val="auto"/>
              </w:rPr>
            </w:pPr>
            <w:r>
              <w:rPr>
                <w:rFonts w:ascii="Arial" w:cs="Arial" w:eastAsia="Arial" w:hAnsi="Arial"/>
                <w:sz w:val="18"/>
                <w:szCs w:val="18"/>
                <w:color w:val="auto"/>
                <w:w w:val="90"/>
              </w:rPr>
              <w:t>Peterbilt</w:t>
            </w:r>
          </w:p>
        </w:tc>
        <w:tc>
          <w:tcPr>
            <w:tcW w:w="116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Pueblo</w:t>
            </w:r>
          </w:p>
        </w:tc>
        <w:tc>
          <w:tcPr>
            <w:tcW w:w="39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Peterbilt</w:t>
            </w:r>
          </w:p>
        </w:tc>
        <w:tc>
          <w:tcPr>
            <w:tcW w:w="11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00" w:type="dxa"/>
            <w:vAlign w:val="bottom"/>
          </w:tcPr>
          <w:p>
            <w:pPr>
              <w:jc w:val="right"/>
              <w:ind w:right="1190"/>
              <w:spacing w:after="0"/>
              <w:rPr>
                <w:sz w:val="20"/>
                <w:szCs w:val="20"/>
                <w:color w:val="auto"/>
              </w:rPr>
            </w:pPr>
            <w:r>
              <w:rPr>
                <w:rFonts w:ascii="Arial" w:cs="Arial" w:eastAsia="Arial" w:hAnsi="Arial"/>
                <w:sz w:val="18"/>
                <w:szCs w:val="18"/>
                <w:color w:val="auto"/>
              </w:rPr>
              <w:t>5</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Parts</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Truck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Body</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Rush Truck Center Location</w:t>
            </w:r>
          </w:p>
        </w:tc>
        <w:tc>
          <w:tcPr>
            <w:tcW w:w="402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Commercial Vehicle Franchise(s)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0"/>
              </w:rPr>
              <w:t>Sales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Shop</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Florida</w:t>
            </w:r>
          </w:p>
        </w:tc>
        <w:tc>
          <w:tcPr>
            <w:tcW w:w="4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Haines City</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0"/>
              </w:rPr>
              <w:t>Peterbilt</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Jacksonville</w:t>
            </w:r>
          </w:p>
        </w:tc>
        <w:tc>
          <w:tcPr>
            <w:tcW w:w="402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3"/>
              </w:rPr>
              <w:t>Peterbilt, Hino</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Lake City</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0"/>
              </w:rPr>
              <w:t>Peterbilt</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Orlando Heavy-Duty</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Peterbilt, Isuzu</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Orlando Light &amp; Medium-Duty</w:t>
            </w:r>
          </w:p>
        </w:tc>
        <w:tc>
          <w:tcPr>
            <w:tcW w:w="4020" w:type="dxa"/>
            <w:vAlign w:val="bottom"/>
          </w:tcPr>
          <w:p>
            <w:pPr>
              <w:jc w:val="center"/>
              <w:ind w:left="230"/>
              <w:spacing w:after="0"/>
              <w:rPr>
                <w:sz w:val="20"/>
                <w:szCs w:val="20"/>
                <w:color w:val="auto"/>
              </w:rPr>
            </w:pPr>
            <w:r>
              <w:rPr>
                <w:rFonts w:ascii="Arial" w:cs="Arial" w:eastAsia="Arial" w:hAnsi="Arial"/>
                <w:sz w:val="18"/>
                <w:szCs w:val="18"/>
                <w:color w:val="auto"/>
                <w:w w:val="91"/>
              </w:rPr>
              <w:t>Ford</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Orlando South</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Isuzu</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Orlando</w:t>
            </w:r>
          </w:p>
        </w:tc>
        <w:tc>
          <w:tcPr>
            <w:tcW w:w="4020" w:type="dxa"/>
            <w:vAlign w:val="bottom"/>
          </w:tcPr>
          <w:p>
            <w:pPr>
              <w:jc w:val="center"/>
              <w:ind w:left="230"/>
              <w:spacing w:after="0"/>
              <w:rPr>
                <w:sz w:val="20"/>
                <w:szCs w:val="20"/>
                <w:color w:val="auto"/>
              </w:rPr>
            </w:pPr>
            <w:r>
              <w:rPr>
                <w:rFonts w:ascii="Arial" w:cs="Arial" w:eastAsia="Arial" w:hAnsi="Arial"/>
                <w:sz w:val="18"/>
                <w:szCs w:val="18"/>
                <w:color w:val="auto"/>
                <w:w w:val="91"/>
              </w:rPr>
              <w:t>Non-franchised Used commercial vehicles</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Tampa</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Peterbilt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Georgia</w:t>
            </w:r>
          </w:p>
        </w:tc>
        <w:tc>
          <w:tcPr>
            <w:tcW w:w="4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Atlanta</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International, Hino, Isuzu, IC Bus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Atlanta Bus Center</w:t>
            </w:r>
          </w:p>
        </w:tc>
        <w:tc>
          <w:tcPr>
            <w:tcW w:w="4020" w:type="dxa"/>
            <w:vAlign w:val="bottom"/>
          </w:tcPr>
          <w:p>
            <w:pPr>
              <w:jc w:val="center"/>
              <w:ind w:left="230"/>
              <w:spacing w:after="0"/>
              <w:rPr>
                <w:sz w:val="20"/>
                <w:szCs w:val="20"/>
                <w:color w:val="auto"/>
              </w:rPr>
            </w:pPr>
            <w:r>
              <w:rPr>
                <w:rFonts w:ascii="Arial" w:cs="Arial" w:eastAsia="Arial" w:hAnsi="Arial"/>
                <w:sz w:val="18"/>
                <w:szCs w:val="18"/>
                <w:color w:val="auto"/>
                <w:w w:val="92"/>
              </w:rPr>
              <w:t>IC Bus</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Blackshear</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3"/>
              </w:rPr>
              <w:t>International, IC Bus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Augusta</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3"/>
              </w:rPr>
              <w:t>International, IC Bus</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Columbus</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International, Isuzu, IC Bus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Doraville</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2"/>
              </w:rPr>
              <w:t>International, Hino, Isuzu, IC Bus</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Gainesville</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3"/>
              </w:rPr>
              <w:t>International, IC Bus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Macon</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2"/>
              </w:rPr>
              <w:t>International</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Smyrna</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International, Hino, Isuzu, IC Bus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Tifton</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3"/>
              </w:rPr>
              <w:t>International, IC Bus</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Valdosta</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International</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Idaho</w:t>
            </w:r>
          </w:p>
        </w:tc>
        <w:tc>
          <w:tcPr>
            <w:tcW w:w="4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Boise</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3"/>
              </w:rPr>
              <w:t>International, Hino, IC Bus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Idaho Falls</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3"/>
              </w:rPr>
              <w:t>International, IC Bus</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Lewiston</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International</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Twin Falls</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2"/>
              </w:rPr>
              <w:t>International</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Illinois</w:t>
            </w:r>
          </w:p>
        </w:tc>
        <w:tc>
          <w:tcPr>
            <w:tcW w:w="4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Bloomington</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3"/>
              </w:rPr>
              <w:t>International, Hino</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Carol Stream</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International</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Champaign</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2"/>
              </w:rPr>
              <w:t>International</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Chicago</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International</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Effingham</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2"/>
              </w:rPr>
              <w:t>International</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Huntley</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International</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Joliet</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2"/>
              </w:rPr>
              <w:t>International</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Quincy</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International</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Springfield</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2"/>
              </w:rPr>
              <w:t>International</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Willowbrook</w:t>
            </w:r>
          </w:p>
        </w:tc>
        <w:tc>
          <w:tcPr>
            <w:tcW w:w="402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1"/>
              </w:rPr>
              <w:t>Non-franchised Used commercial vehicles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Indiana</w:t>
            </w:r>
          </w:p>
        </w:tc>
        <w:tc>
          <w:tcPr>
            <w:tcW w:w="4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Gary</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International</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Indianapolis</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2"/>
              </w:rPr>
              <w:t>International</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Kansas</w:t>
            </w:r>
          </w:p>
        </w:tc>
        <w:tc>
          <w:tcPr>
            <w:tcW w:w="4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Kansas City</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3"/>
              </w:rPr>
              <w:t>Hino, Isuzu</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Kentucky</w:t>
            </w:r>
          </w:p>
        </w:tc>
        <w:tc>
          <w:tcPr>
            <w:tcW w:w="4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Bowling Green</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0"/>
              </w:rPr>
              <w:t>Peterbilt</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Missouri</w:t>
            </w:r>
          </w:p>
        </w:tc>
        <w:tc>
          <w:tcPr>
            <w:tcW w:w="4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St. Peters</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2"/>
              </w:rPr>
              <w:t>International</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 Louis</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International</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Nevada</w:t>
            </w:r>
          </w:p>
        </w:tc>
        <w:tc>
          <w:tcPr>
            <w:tcW w:w="4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Las Vegas</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Peterbilt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New Mexico</w:t>
            </w:r>
          </w:p>
        </w:tc>
        <w:tc>
          <w:tcPr>
            <w:tcW w:w="4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Albuquerque</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Peterbilt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Farmington</w:t>
            </w:r>
          </w:p>
        </w:tc>
        <w:tc>
          <w:tcPr>
            <w:tcW w:w="4020" w:type="dxa"/>
            <w:vAlign w:val="bottom"/>
          </w:tcPr>
          <w:p>
            <w:pPr>
              <w:jc w:val="center"/>
              <w:ind w:left="250"/>
              <w:spacing w:after="0"/>
              <w:rPr>
                <w:sz w:val="20"/>
                <w:szCs w:val="20"/>
                <w:color w:val="auto"/>
              </w:rPr>
            </w:pPr>
            <w:r>
              <w:rPr>
                <w:rFonts w:ascii="Arial" w:cs="Arial" w:eastAsia="Arial" w:hAnsi="Arial"/>
                <w:sz w:val="18"/>
                <w:szCs w:val="18"/>
                <w:color w:val="auto"/>
                <w:w w:val="90"/>
              </w:rPr>
              <w:t>Peterbilt</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Las Cruces</w:t>
            </w:r>
          </w:p>
        </w:tc>
        <w:tc>
          <w:tcPr>
            <w:tcW w:w="40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Peterbilt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20" w:type="dxa"/>
            <w:vAlign w:val="bottom"/>
          </w:tcPr>
          <w:p>
            <w:pPr>
              <w:jc w:val="right"/>
              <w:ind w:right="1330"/>
              <w:spacing w:after="0"/>
              <w:rPr>
                <w:sz w:val="20"/>
                <w:szCs w:val="20"/>
                <w:color w:val="auto"/>
              </w:rPr>
            </w:pPr>
            <w:r>
              <w:rPr>
                <w:rFonts w:ascii="Arial" w:cs="Arial" w:eastAsia="Arial" w:hAnsi="Arial"/>
                <w:sz w:val="18"/>
                <w:szCs w:val="18"/>
                <w:color w:val="auto"/>
              </w:rPr>
              <w:t>6</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Parts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Truck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Body</w:t>
            </w: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Rush Truck Center Location</w:t>
            </w:r>
          </w:p>
        </w:tc>
        <w:tc>
          <w:tcPr>
            <w:tcW w:w="438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Commercial Vehicle Franchise(s)</w:t>
            </w: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80"/>
              </w:rPr>
              <w:t>Sales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Shop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4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Carolina</w:t>
            </w:r>
          </w:p>
        </w:tc>
        <w:tc>
          <w:tcPr>
            <w:tcW w:w="4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Asheville</w:t>
            </w:r>
          </w:p>
        </w:tc>
        <w:tc>
          <w:tcPr>
            <w:tcW w:w="4380" w:type="dxa"/>
            <w:vAlign w:val="bottom"/>
          </w:tcPr>
          <w:p>
            <w:pPr>
              <w:jc w:val="center"/>
              <w:ind w:left="330"/>
              <w:spacing w:after="0"/>
              <w:rPr>
                <w:sz w:val="20"/>
                <w:szCs w:val="20"/>
                <w:color w:val="auto"/>
              </w:rPr>
            </w:pPr>
            <w:r>
              <w:rPr>
                <w:rFonts w:ascii="Arial" w:cs="Arial" w:eastAsia="Arial" w:hAnsi="Arial"/>
                <w:sz w:val="18"/>
                <w:szCs w:val="18"/>
                <w:color w:val="auto"/>
                <w:w w:val="92"/>
              </w:rPr>
              <w:t>International</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Charlotte</w:t>
            </w:r>
          </w:p>
        </w:tc>
        <w:tc>
          <w:tcPr>
            <w:tcW w:w="43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2"/>
              </w:rPr>
              <w:t>International, Hino, Isuzu</w:t>
            </w: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Hickory</w:t>
            </w:r>
          </w:p>
        </w:tc>
        <w:tc>
          <w:tcPr>
            <w:tcW w:w="4380" w:type="dxa"/>
            <w:vAlign w:val="bottom"/>
          </w:tcPr>
          <w:p>
            <w:pPr>
              <w:jc w:val="center"/>
              <w:ind w:left="330"/>
              <w:spacing w:after="0"/>
              <w:rPr>
                <w:sz w:val="20"/>
                <w:szCs w:val="20"/>
                <w:color w:val="auto"/>
              </w:rPr>
            </w:pPr>
            <w:r>
              <w:rPr>
                <w:rFonts w:ascii="Arial" w:cs="Arial" w:eastAsia="Arial" w:hAnsi="Arial"/>
                <w:sz w:val="18"/>
                <w:szCs w:val="18"/>
                <w:color w:val="auto"/>
                <w:w w:val="92"/>
              </w:rPr>
              <w:t>International</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Ohio</w:t>
            </w:r>
          </w:p>
        </w:tc>
        <w:tc>
          <w:tcPr>
            <w:tcW w:w="4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Akron</w:t>
            </w:r>
          </w:p>
        </w:tc>
        <w:tc>
          <w:tcPr>
            <w:tcW w:w="4380" w:type="dxa"/>
            <w:vAlign w:val="bottom"/>
          </w:tcPr>
          <w:p>
            <w:pPr>
              <w:jc w:val="center"/>
              <w:ind w:left="330"/>
              <w:spacing w:after="0"/>
              <w:rPr>
                <w:sz w:val="20"/>
                <w:szCs w:val="20"/>
                <w:color w:val="auto"/>
              </w:rPr>
            </w:pPr>
            <w:r>
              <w:rPr>
                <w:rFonts w:ascii="Arial" w:cs="Arial" w:eastAsia="Arial" w:hAnsi="Arial"/>
                <w:sz w:val="18"/>
                <w:szCs w:val="18"/>
                <w:color w:val="auto"/>
                <w:w w:val="93"/>
              </w:rPr>
              <w:t>International, IC Bus</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Cincinnati</w:t>
            </w:r>
          </w:p>
        </w:tc>
        <w:tc>
          <w:tcPr>
            <w:tcW w:w="43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2"/>
              </w:rPr>
              <w:t>International, IC Bus, Isuzu, Ford, Mitsubishi Fuso</w:t>
            </w: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Cleveland</w:t>
            </w:r>
          </w:p>
        </w:tc>
        <w:tc>
          <w:tcPr>
            <w:tcW w:w="4380" w:type="dxa"/>
            <w:vAlign w:val="bottom"/>
          </w:tcPr>
          <w:p>
            <w:pPr>
              <w:jc w:val="center"/>
              <w:ind w:left="330"/>
              <w:spacing w:after="0"/>
              <w:rPr>
                <w:sz w:val="20"/>
                <w:szCs w:val="20"/>
                <w:color w:val="auto"/>
              </w:rPr>
            </w:pPr>
            <w:r>
              <w:rPr>
                <w:rFonts w:ascii="Arial" w:cs="Arial" w:eastAsia="Arial" w:hAnsi="Arial"/>
                <w:sz w:val="18"/>
                <w:szCs w:val="18"/>
                <w:color w:val="auto"/>
                <w:w w:val="93"/>
              </w:rPr>
              <w:t>International, IC Bus</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Columbus</w:t>
            </w:r>
          </w:p>
        </w:tc>
        <w:tc>
          <w:tcPr>
            <w:tcW w:w="43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2"/>
              </w:rPr>
              <w:t>International, IC Bus, Isuzu(1)</w:t>
            </w: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Dayton</w:t>
            </w:r>
          </w:p>
        </w:tc>
        <w:tc>
          <w:tcPr>
            <w:tcW w:w="4380" w:type="dxa"/>
            <w:vAlign w:val="bottom"/>
          </w:tcPr>
          <w:p>
            <w:pPr>
              <w:jc w:val="center"/>
              <w:ind w:left="330"/>
              <w:spacing w:after="0"/>
              <w:rPr>
                <w:sz w:val="20"/>
                <w:szCs w:val="20"/>
                <w:color w:val="auto"/>
              </w:rPr>
            </w:pPr>
            <w:r>
              <w:rPr>
                <w:rFonts w:ascii="Arial" w:cs="Arial" w:eastAsia="Arial" w:hAnsi="Arial"/>
                <w:sz w:val="18"/>
                <w:szCs w:val="18"/>
                <w:color w:val="auto"/>
                <w:w w:val="92"/>
              </w:rPr>
              <w:t>International, IC Bus, Isuzu</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Lima</w:t>
            </w:r>
          </w:p>
        </w:tc>
        <w:tc>
          <w:tcPr>
            <w:tcW w:w="43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3"/>
              </w:rPr>
              <w:t>International, IC Bus</w:t>
            </w: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Springfield</w:t>
            </w:r>
          </w:p>
        </w:tc>
        <w:tc>
          <w:tcPr>
            <w:tcW w:w="4380" w:type="dxa"/>
            <w:vAlign w:val="bottom"/>
          </w:tcPr>
          <w:p>
            <w:pPr>
              <w:jc w:val="center"/>
              <w:ind w:left="330"/>
              <w:spacing w:after="0"/>
              <w:rPr>
                <w:sz w:val="20"/>
                <w:szCs w:val="20"/>
                <w:color w:val="auto"/>
              </w:rPr>
            </w:pPr>
            <w:r>
              <w:rPr>
                <w:rFonts w:ascii="Arial" w:cs="Arial" w:eastAsia="Arial" w:hAnsi="Arial"/>
                <w:sz w:val="18"/>
                <w:szCs w:val="18"/>
                <w:color w:val="auto"/>
                <w:w w:val="92"/>
              </w:rPr>
              <w:t>International</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95"/>
              </w:rPr>
              <w:t>No</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Oklahoma</w:t>
            </w:r>
          </w:p>
        </w:tc>
        <w:tc>
          <w:tcPr>
            <w:tcW w:w="4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Ardmore</w:t>
            </w:r>
          </w:p>
        </w:tc>
        <w:tc>
          <w:tcPr>
            <w:tcW w:w="4380" w:type="dxa"/>
            <w:vAlign w:val="bottom"/>
          </w:tcPr>
          <w:p>
            <w:pPr>
              <w:jc w:val="center"/>
              <w:ind w:left="330"/>
              <w:spacing w:after="0"/>
              <w:rPr>
                <w:sz w:val="20"/>
                <w:szCs w:val="20"/>
                <w:color w:val="auto"/>
              </w:rPr>
            </w:pPr>
            <w:r>
              <w:rPr>
                <w:rFonts w:ascii="Arial" w:cs="Arial" w:eastAsia="Arial" w:hAnsi="Arial"/>
                <w:sz w:val="18"/>
                <w:szCs w:val="18"/>
                <w:color w:val="auto"/>
                <w:w w:val="90"/>
              </w:rPr>
              <w:t>Peterbilt</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Oklahoma City</w:t>
            </w:r>
          </w:p>
        </w:tc>
        <w:tc>
          <w:tcPr>
            <w:tcW w:w="43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Peterbilt, Hino, Ford, Isuzu</w:t>
            </w: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Tulsa</w:t>
            </w:r>
          </w:p>
        </w:tc>
        <w:tc>
          <w:tcPr>
            <w:tcW w:w="4380" w:type="dxa"/>
            <w:vAlign w:val="bottom"/>
          </w:tcPr>
          <w:p>
            <w:pPr>
              <w:jc w:val="center"/>
              <w:ind w:left="310"/>
              <w:spacing w:after="0"/>
              <w:rPr>
                <w:sz w:val="20"/>
                <w:szCs w:val="20"/>
                <w:color w:val="auto"/>
              </w:rPr>
            </w:pPr>
            <w:r>
              <w:rPr>
                <w:rFonts w:ascii="Arial" w:cs="Arial" w:eastAsia="Arial" w:hAnsi="Arial"/>
                <w:sz w:val="18"/>
                <w:szCs w:val="18"/>
                <w:color w:val="auto"/>
                <w:w w:val="93"/>
              </w:rPr>
              <w:t>Peterbilt, Hino</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Tennessee</w:t>
            </w:r>
          </w:p>
        </w:tc>
        <w:tc>
          <w:tcPr>
            <w:tcW w:w="4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Nashville</w:t>
            </w:r>
          </w:p>
        </w:tc>
        <w:tc>
          <w:tcPr>
            <w:tcW w:w="4380" w:type="dxa"/>
            <w:vAlign w:val="bottom"/>
          </w:tcPr>
          <w:p>
            <w:pPr>
              <w:jc w:val="center"/>
              <w:ind w:left="330"/>
              <w:spacing w:after="0"/>
              <w:rPr>
                <w:sz w:val="20"/>
                <w:szCs w:val="20"/>
                <w:color w:val="auto"/>
              </w:rPr>
            </w:pPr>
            <w:r>
              <w:rPr>
                <w:rFonts w:ascii="Arial" w:cs="Arial" w:eastAsia="Arial" w:hAnsi="Arial"/>
                <w:sz w:val="18"/>
                <w:szCs w:val="18"/>
                <w:color w:val="auto"/>
                <w:w w:val="90"/>
              </w:rPr>
              <w:t>Peterbilt</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Texas</w:t>
            </w:r>
          </w:p>
        </w:tc>
        <w:tc>
          <w:tcPr>
            <w:tcW w:w="4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Abilene</w:t>
            </w:r>
          </w:p>
        </w:tc>
        <w:tc>
          <w:tcPr>
            <w:tcW w:w="4380" w:type="dxa"/>
            <w:vAlign w:val="bottom"/>
          </w:tcPr>
          <w:p>
            <w:pPr>
              <w:jc w:val="center"/>
              <w:ind w:left="330"/>
              <w:spacing w:after="0"/>
              <w:rPr>
                <w:sz w:val="20"/>
                <w:szCs w:val="20"/>
                <w:color w:val="auto"/>
              </w:rPr>
            </w:pPr>
            <w:r>
              <w:rPr>
                <w:rFonts w:ascii="Arial" w:cs="Arial" w:eastAsia="Arial" w:hAnsi="Arial"/>
                <w:sz w:val="18"/>
                <w:szCs w:val="18"/>
                <w:color w:val="auto"/>
                <w:w w:val="90"/>
              </w:rPr>
              <w:t>Peterbilt</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Amarillo</w:t>
            </w:r>
          </w:p>
        </w:tc>
        <w:tc>
          <w:tcPr>
            <w:tcW w:w="43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0"/>
              </w:rPr>
              <w:t>Peterbilt</w:t>
            </w: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ind w:left="200"/>
              <w:spacing w:after="0" w:line="201" w:lineRule="exact"/>
              <w:rPr>
                <w:sz w:val="20"/>
                <w:szCs w:val="20"/>
                <w:color w:val="auto"/>
              </w:rPr>
            </w:pPr>
            <w:r>
              <w:rPr>
                <w:rFonts w:ascii="Arial" w:cs="Arial" w:eastAsia="Arial" w:hAnsi="Arial"/>
                <w:sz w:val="18"/>
                <w:szCs w:val="18"/>
                <w:color w:val="auto"/>
              </w:rPr>
              <w:t>Austin</w:t>
            </w:r>
          </w:p>
        </w:tc>
        <w:tc>
          <w:tcPr>
            <w:tcW w:w="4380" w:type="dxa"/>
            <w:vAlign w:val="bottom"/>
          </w:tcPr>
          <w:p>
            <w:pPr>
              <w:jc w:val="center"/>
              <w:ind w:left="330"/>
              <w:spacing w:after="0" w:line="201" w:lineRule="exact"/>
              <w:rPr>
                <w:sz w:val="20"/>
                <w:szCs w:val="20"/>
                <w:color w:val="auto"/>
              </w:rPr>
            </w:pPr>
            <w:r>
              <w:rPr>
                <w:rFonts w:ascii="Arial" w:cs="Arial" w:eastAsia="Arial" w:hAnsi="Arial"/>
                <w:sz w:val="18"/>
                <w:szCs w:val="18"/>
                <w:color w:val="auto"/>
                <w:w w:val="95"/>
              </w:rPr>
              <w:t>Peterbilt, Hino, Isuzu, Blue Bird, Micro Bird,</w:t>
            </w:r>
          </w:p>
        </w:tc>
        <w:tc>
          <w:tcPr>
            <w:tcW w:w="88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380" w:type="dxa"/>
            <w:vAlign w:val="bottom"/>
          </w:tcPr>
          <w:p>
            <w:pPr>
              <w:jc w:val="center"/>
              <w:ind w:left="330"/>
              <w:spacing w:after="0"/>
              <w:rPr>
                <w:sz w:val="20"/>
                <w:szCs w:val="20"/>
                <w:color w:val="auto"/>
              </w:rPr>
            </w:pPr>
            <w:r>
              <w:rPr>
                <w:rFonts w:ascii="Arial" w:cs="Arial" w:eastAsia="Arial" w:hAnsi="Arial"/>
                <w:sz w:val="18"/>
                <w:szCs w:val="18"/>
                <w:color w:val="auto"/>
                <w:w w:val="92"/>
              </w:rPr>
              <w:t>Elkhart</w:t>
            </w: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Brownsville</w:t>
            </w:r>
          </w:p>
        </w:tc>
        <w:tc>
          <w:tcPr>
            <w:tcW w:w="43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3"/>
              </w:rPr>
              <w:t>Peterbilt, Elkhart</w:t>
            </w: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College Station</w:t>
            </w:r>
          </w:p>
        </w:tc>
        <w:tc>
          <w:tcPr>
            <w:tcW w:w="4380" w:type="dxa"/>
            <w:vAlign w:val="bottom"/>
          </w:tcPr>
          <w:p>
            <w:pPr>
              <w:jc w:val="center"/>
              <w:ind w:left="330"/>
              <w:spacing w:after="0"/>
              <w:rPr>
                <w:sz w:val="20"/>
                <w:szCs w:val="20"/>
                <w:color w:val="auto"/>
              </w:rPr>
            </w:pPr>
            <w:r>
              <w:rPr>
                <w:rFonts w:ascii="Arial" w:cs="Arial" w:eastAsia="Arial" w:hAnsi="Arial"/>
                <w:sz w:val="18"/>
                <w:szCs w:val="18"/>
                <w:color w:val="auto"/>
                <w:w w:val="90"/>
              </w:rPr>
              <w:t>Peterbilt</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Corpus Christi</w:t>
            </w:r>
          </w:p>
        </w:tc>
        <w:tc>
          <w:tcPr>
            <w:tcW w:w="43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3"/>
              </w:rPr>
              <w:t>Peterbilt, Hino, Isuzu, Blue Bird, Elkhart</w:t>
            </w: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Cotulla</w:t>
            </w:r>
          </w:p>
        </w:tc>
        <w:tc>
          <w:tcPr>
            <w:tcW w:w="4380" w:type="dxa"/>
            <w:vAlign w:val="bottom"/>
          </w:tcPr>
          <w:p>
            <w:pPr>
              <w:jc w:val="center"/>
              <w:ind w:left="330"/>
              <w:spacing w:after="0"/>
              <w:rPr>
                <w:sz w:val="20"/>
                <w:szCs w:val="20"/>
                <w:color w:val="auto"/>
              </w:rPr>
            </w:pPr>
            <w:r>
              <w:rPr>
                <w:rFonts w:ascii="Arial" w:cs="Arial" w:eastAsia="Arial" w:hAnsi="Arial"/>
                <w:sz w:val="18"/>
                <w:szCs w:val="18"/>
                <w:color w:val="auto"/>
                <w:w w:val="90"/>
              </w:rPr>
              <w:t>Peterbilt</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95"/>
              </w:rPr>
              <w:t>No</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Dalhart</w:t>
            </w:r>
          </w:p>
        </w:tc>
        <w:tc>
          <w:tcPr>
            <w:tcW w:w="43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0"/>
              </w:rPr>
              <w:t>Peterbilt</w:t>
            </w: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5"/>
              </w:rPr>
              <w:t>No</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Dallas Heavy-Duty</w:t>
            </w:r>
          </w:p>
        </w:tc>
        <w:tc>
          <w:tcPr>
            <w:tcW w:w="4380" w:type="dxa"/>
            <w:vAlign w:val="bottom"/>
          </w:tcPr>
          <w:p>
            <w:pPr>
              <w:jc w:val="center"/>
              <w:ind w:left="330"/>
              <w:spacing w:after="0"/>
              <w:rPr>
                <w:sz w:val="20"/>
                <w:szCs w:val="20"/>
                <w:color w:val="auto"/>
              </w:rPr>
            </w:pPr>
            <w:r>
              <w:rPr>
                <w:rFonts w:ascii="Arial" w:cs="Arial" w:eastAsia="Arial" w:hAnsi="Arial"/>
                <w:sz w:val="18"/>
                <w:szCs w:val="18"/>
                <w:color w:val="auto"/>
                <w:w w:val="95"/>
              </w:rPr>
              <w:t>Peterbilt, Blue Bird, Micro Bird, Elkhart</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Dallas Medium-Duty</w:t>
            </w:r>
          </w:p>
        </w:tc>
        <w:tc>
          <w:tcPr>
            <w:tcW w:w="4380" w:type="dxa"/>
            <w:vAlign w:val="bottom"/>
            <w:shd w:val="clear" w:color="auto" w:fill="CCEEFF"/>
          </w:tcPr>
          <w:p>
            <w:pPr>
              <w:jc w:val="center"/>
              <w:ind w:left="310"/>
              <w:spacing w:after="0" w:line="201" w:lineRule="exact"/>
              <w:rPr>
                <w:sz w:val="20"/>
                <w:szCs w:val="20"/>
                <w:color w:val="auto"/>
              </w:rPr>
            </w:pPr>
            <w:r>
              <w:rPr>
                <w:rFonts w:ascii="Arial" w:cs="Arial" w:eastAsia="Arial" w:hAnsi="Arial"/>
                <w:sz w:val="18"/>
                <w:szCs w:val="18"/>
                <w:color w:val="auto"/>
                <w:w w:val="93"/>
              </w:rPr>
              <w:t>Peterbilt, Hino,</w:t>
            </w:r>
          </w:p>
        </w:tc>
        <w:tc>
          <w:tcPr>
            <w:tcW w:w="88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43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6"/>
              </w:rPr>
              <w:t>Blue Bird, Micro Bird, Elkhart</w:t>
            </w:r>
          </w:p>
        </w:tc>
        <w:tc>
          <w:tcPr>
            <w:tcW w:w="8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Dallas Light &amp; Medium-Duty</w:t>
            </w:r>
          </w:p>
        </w:tc>
        <w:tc>
          <w:tcPr>
            <w:tcW w:w="4380" w:type="dxa"/>
            <w:vAlign w:val="bottom"/>
          </w:tcPr>
          <w:p>
            <w:pPr>
              <w:jc w:val="center"/>
              <w:ind w:left="430"/>
              <w:spacing w:after="0"/>
              <w:rPr>
                <w:sz w:val="20"/>
                <w:szCs w:val="20"/>
                <w:color w:val="auto"/>
              </w:rPr>
            </w:pPr>
            <w:r>
              <w:rPr>
                <w:rFonts w:ascii="Arial" w:cs="Arial" w:eastAsia="Arial" w:hAnsi="Arial"/>
                <w:sz w:val="18"/>
                <w:szCs w:val="18"/>
                <w:color w:val="auto"/>
                <w:w w:val="91"/>
              </w:rPr>
              <w:t>Ford, Isuzu</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Dallas</w:t>
            </w:r>
          </w:p>
        </w:tc>
        <w:tc>
          <w:tcPr>
            <w:tcW w:w="43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Non-franchised Used commercial vehicles</w:t>
            </w: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El Paso</w:t>
            </w:r>
          </w:p>
        </w:tc>
        <w:tc>
          <w:tcPr>
            <w:tcW w:w="4380" w:type="dxa"/>
            <w:vAlign w:val="bottom"/>
          </w:tcPr>
          <w:p>
            <w:pPr>
              <w:jc w:val="center"/>
              <w:ind w:left="310"/>
              <w:spacing w:after="0"/>
              <w:rPr>
                <w:sz w:val="20"/>
                <w:szCs w:val="20"/>
                <w:color w:val="auto"/>
              </w:rPr>
            </w:pPr>
            <w:r>
              <w:rPr>
                <w:rFonts w:ascii="Arial" w:cs="Arial" w:eastAsia="Arial" w:hAnsi="Arial"/>
                <w:sz w:val="18"/>
                <w:szCs w:val="18"/>
                <w:color w:val="auto"/>
                <w:w w:val="92"/>
              </w:rPr>
              <w:t>Peterbilt, Hino, Isuzu</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Fort Worth</w:t>
            </w:r>
          </w:p>
        </w:tc>
        <w:tc>
          <w:tcPr>
            <w:tcW w:w="43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5"/>
              </w:rPr>
              <w:t>Peterbilt, Blue Bird, Micro Bird, Elkhart</w:t>
            </w: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Houston</w:t>
            </w:r>
          </w:p>
        </w:tc>
        <w:tc>
          <w:tcPr>
            <w:tcW w:w="4380" w:type="dxa"/>
            <w:vAlign w:val="bottom"/>
          </w:tcPr>
          <w:p>
            <w:pPr>
              <w:jc w:val="center"/>
              <w:ind w:left="310"/>
              <w:spacing w:after="0"/>
              <w:rPr>
                <w:sz w:val="20"/>
                <w:szCs w:val="20"/>
                <w:color w:val="auto"/>
              </w:rPr>
            </w:pPr>
            <w:r>
              <w:rPr>
                <w:rFonts w:ascii="Arial" w:cs="Arial" w:eastAsia="Arial" w:hAnsi="Arial"/>
                <w:sz w:val="18"/>
                <w:szCs w:val="18"/>
                <w:color w:val="auto"/>
                <w:w w:val="93"/>
              </w:rPr>
              <w:t>Peterbilt, Hino</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Houston Bus Center</w:t>
            </w:r>
          </w:p>
        </w:tc>
        <w:tc>
          <w:tcPr>
            <w:tcW w:w="43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6"/>
              </w:rPr>
              <w:t>Blue Bird, Micro Bird, Elkhart</w:t>
            </w: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Houston Medium-Duty</w:t>
            </w:r>
          </w:p>
        </w:tc>
        <w:tc>
          <w:tcPr>
            <w:tcW w:w="4380" w:type="dxa"/>
            <w:vAlign w:val="bottom"/>
          </w:tcPr>
          <w:p>
            <w:pPr>
              <w:jc w:val="center"/>
              <w:ind w:left="310"/>
              <w:spacing w:after="0"/>
              <w:rPr>
                <w:sz w:val="20"/>
                <w:szCs w:val="20"/>
                <w:color w:val="auto"/>
              </w:rPr>
            </w:pPr>
            <w:r>
              <w:rPr>
                <w:rFonts w:ascii="Arial" w:cs="Arial" w:eastAsia="Arial" w:hAnsi="Arial"/>
                <w:sz w:val="18"/>
                <w:szCs w:val="18"/>
                <w:color w:val="auto"/>
                <w:w w:val="93"/>
              </w:rPr>
              <w:t>Peterbilt, Hino</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Laredo</w:t>
            </w:r>
          </w:p>
        </w:tc>
        <w:tc>
          <w:tcPr>
            <w:tcW w:w="43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5"/>
              </w:rPr>
              <w:t>Peterbilt, Blue Bird, Micro Bird, Elkhart</w:t>
            </w: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Lubbock</w:t>
            </w:r>
          </w:p>
        </w:tc>
        <w:tc>
          <w:tcPr>
            <w:tcW w:w="4380" w:type="dxa"/>
            <w:vAlign w:val="bottom"/>
          </w:tcPr>
          <w:p>
            <w:pPr>
              <w:jc w:val="center"/>
              <w:ind w:left="330"/>
              <w:spacing w:after="0"/>
              <w:rPr>
                <w:sz w:val="20"/>
                <w:szCs w:val="20"/>
                <w:color w:val="auto"/>
              </w:rPr>
            </w:pPr>
            <w:r>
              <w:rPr>
                <w:rFonts w:ascii="Arial" w:cs="Arial" w:eastAsia="Arial" w:hAnsi="Arial"/>
                <w:sz w:val="18"/>
                <w:szCs w:val="18"/>
                <w:color w:val="auto"/>
                <w:w w:val="90"/>
              </w:rPr>
              <w:t>Peterbilt</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Lufkin</w:t>
            </w:r>
          </w:p>
        </w:tc>
        <w:tc>
          <w:tcPr>
            <w:tcW w:w="43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5"/>
              </w:rPr>
              <w:t>Peterbilt, Blue Bird, Micro Bird, Elkhart</w:t>
            </w: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Odessa</w:t>
            </w:r>
          </w:p>
        </w:tc>
        <w:tc>
          <w:tcPr>
            <w:tcW w:w="4380" w:type="dxa"/>
            <w:vAlign w:val="bottom"/>
          </w:tcPr>
          <w:p>
            <w:pPr>
              <w:jc w:val="center"/>
              <w:ind w:left="330"/>
              <w:spacing w:after="0"/>
              <w:rPr>
                <w:sz w:val="20"/>
                <w:szCs w:val="20"/>
                <w:color w:val="auto"/>
              </w:rPr>
            </w:pPr>
            <w:r>
              <w:rPr>
                <w:rFonts w:ascii="Arial" w:cs="Arial" w:eastAsia="Arial" w:hAnsi="Arial"/>
                <w:sz w:val="18"/>
                <w:szCs w:val="18"/>
                <w:color w:val="auto"/>
                <w:w w:val="90"/>
              </w:rPr>
              <w:t>Peterbilt</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Pharr</w:t>
            </w:r>
          </w:p>
        </w:tc>
        <w:tc>
          <w:tcPr>
            <w:tcW w:w="43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5"/>
              </w:rPr>
              <w:t>Peterbilt, Hino, Blue Bird, Micro Bird, Elkhart</w:t>
            </w: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San Antonio</w:t>
            </w:r>
          </w:p>
        </w:tc>
        <w:tc>
          <w:tcPr>
            <w:tcW w:w="4380" w:type="dxa"/>
            <w:vAlign w:val="bottom"/>
          </w:tcPr>
          <w:p>
            <w:pPr>
              <w:jc w:val="center"/>
              <w:ind w:left="330"/>
              <w:spacing w:after="0"/>
              <w:rPr>
                <w:sz w:val="20"/>
                <w:szCs w:val="20"/>
                <w:color w:val="auto"/>
              </w:rPr>
            </w:pPr>
            <w:r>
              <w:rPr>
                <w:rFonts w:ascii="Arial" w:cs="Arial" w:eastAsia="Arial" w:hAnsi="Arial"/>
                <w:sz w:val="18"/>
                <w:szCs w:val="18"/>
                <w:color w:val="auto"/>
                <w:w w:val="95"/>
              </w:rPr>
              <w:t>Peterbilt, Hino, Blue Bird, Micro Bird, Elkhart</w:t>
            </w: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San Antonio Bus</w:t>
            </w:r>
          </w:p>
        </w:tc>
        <w:tc>
          <w:tcPr>
            <w:tcW w:w="43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6"/>
              </w:rPr>
              <w:t>Blue Bird, Micro Bird, Elkhart</w:t>
            </w:r>
          </w:p>
        </w:tc>
        <w:tc>
          <w:tcPr>
            <w:tcW w:w="8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(1)Our Isuzu franchise is operated out of our Rush Truck Leasing - Columbus location.</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18" w:right="137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Parts</w:t>
            </w:r>
          </w:p>
        </w:tc>
        <w:tc>
          <w:tcPr>
            <w:tcW w:w="10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3"/>
              </w:rPr>
              <w:t>Truck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Body</w:t>
            </w:r>
          </w:p>
        </w:tc>
      </w:tr>
      <w:tr>
        <w:trPr>
          <w:trHeight w:val="234"/>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Rush Truck Center Location</w:t>
            </w:r>
          </w:p>
        </w:tc>
        <w:tc>
          <w:tcPr>
            <w:tcW w:w="434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89"/>
              </w:rPr>
              <w:t>Commercial Vehicle Franchise(s)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Sales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Shop</w:t>
            </w: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292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Sealy</w:t>
            </w:r>
          </w:p>
        </w:tc>
        <w:tc>
          <w:tcPr>
            <w:tcW w:w="4340" w:type="dxa"/>
            <w:vAlign w:val="bottom"/>
            <w:shd w:val="clear" w:color="auto" w:fill="CCEEFF"/>
          </w:tcPr>
          <w:p>
            <w:pPr>
              <w:jc w:val="center"/>
              <w:ind w:left="410"/>
              <w:spacing w:after="0" w:line="196" w:lineRule="exact"/>
              <w:rPr>
                <w:sz w:val="20"/>
                <w:szCs w:val="20"/>
                <w:color w:val="auto"/>
              </w:rPr>
            </w:pPr>
            <w:r>
              <w:rPr>
                <w:rFonts w:ascii="Arial" w:cs="Arial" w:eastAsia="Arial" w:hAnsi="Arial"/>
                <w:sz w:val="18"/>
                <w:szCs w:val="18"/>
                <w:color w:val="auto"/>
                <w:w w:val="94"/>
              </w:rPr>
              <w:t>Peterbilt, Isuzu, Blue Bird, Micro Bird, Elkhart</w:t>
            </w:r>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No</w:t>
            </w:r>
          </w:p>
        </w:tc>
      </w:tr>
      <w:tr>
        <w:trPr>
          <w:trHeight w:val="202"/>
        </w:trPr>
        <w:tc>
          <w:tcPr>
            <w:tcW w:w="2920" w:type="dxa"/>
            <w:vAlign w:val="bottom"/>
          </w:tcPr>
          <w:p>
            <w:pPr>
              <w:ind w:left="220"/>
              <w:spacing w:after="0" w:line="201" w:lineRule="exact"/>
              <w:rPr>
                <w:sz w:val="20"/>
                <w:szCs w:val="20"/>
                <w:color w:val="auto"/>
              </w:rPr>
            </w:pPr>
            <w:r>
              <w:rPr>
                <w:rFonts w:ascii="Arial" w:cs="Arial" w:eastAsia="Arial" w:hAnsi="Arial"/>
                <w:sz w:val="18"/>
                <w:szCs w:val="18"/>
                <w:color w:val="auto"/>
              </w:rPr>
              <w:t>Texarkana</w:t>
            </w:r>
          </w:p>
        </w:tc>
        <w:tc>
          <w:tcPr>
            <w:tcW w:w="4340" w:type="dxa"/>
            <w:vAlign w:val="bottom"/>
          </w:tcPr>
          <w:p>
            <w:pPr>
              <w:jc w:val="center"/>
              <w:ind w:left="390"/>
              <w:spacing w:after="0" w:line="201" w:lineRule="exact"/>
              <w:rPr>
                <w:sz w:val="20"/>
                <w:szCs w:val="20"/>
                <w:color w:val="auto"/>
              </w:rPr>
            </w:pPr>
            <w:r>
              <w:rPr>
                <w:rFonts w:ascii="Arial" w:cs="Arial" w:eastAsia="Arial" w:hAnsi="Arial"/>
                <w:sz w:val="18"/>
                <w:szCs w:val="18"/>
                <w:color w:val="auto"/>
                <w:w w:val="92"/>
              </w:rPr>
              <w:t>Peterbilt, Hino, Isuzu,</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2920" w:type="dxa"/>
            <w:vAlign w:val="bottom"/>
          </w:tcPr>
          <w:p>
            <w:pPr>
              <w:spacing w:after="0"/>
              <w:rPr>
                <w:sz w:val="20"/>
                <w:szCs w:val="20"/>
                <w:color w:val="auto"/>
              </w:rPr>
            </w:pPr>
          </w:p>
        </w:tc>
        <w:tc>
          <w:tcPr>
            <w:tcW w:w="4340" w:type="dxa"/>
            <w:vAlign w:val="bottom"/>
          </w:tcPr>
          <w:p>
            <w:pPr>
              <w:jc w:val="center"/>
              <w:ind w:left="390"/>
              <w:spacing w:after="0"/>
              <w:rPr>
                <w:sz w:val="20"/>
                <w:szCs w:val="20"/>
                <w:color w:val="auto"/>
              </w:rPr>
            </w:pPr>
            <w:r>
              <w:rPr>
                <w:rFonts w:ascii="Arial" w:cs="Arial" w:eastAsia="Arial" w:hAnsi="Arial"/>
                <w:sz w:val="18"/>
                <w:szCs w:val="18"/>
                <w:color w:val="auto"/>
                <w:w w:val="96"/>
              </w:rPr>
              <w:t>Blue Bird, Micro Bird, Elkhart</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Tyler</w:t>
            </w:r>
          </w:p>
        </w:tc>
        <w:tc>
          <w:tcPr>
            <w:tcW w:w="434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5"/>
              </w:rPr>
              <w:t>Peterbilt, Blue Bird, Micro Bird, Elkhart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2920" w:type="dxa"/>
            <w:vAlign w:val="bottom"/>
          </w:tcPr>
          <w:p>
            <w:pPr>
              <w:ind w:left="220"/>
              <w:spacing w:after="0" w:line="201" w:lineRule="exact"/>
              <w:rPr>
                <w:sz w:val="20"/>
                <w:szCs w:val="20"/>
                <w:color w:val="auto"/>
              </w:rPr>
            </w:pPr>
            <w:r>
              <w:rPr>
                <w:rFonts w:ascii="Arial" w:cs="Arial" w:eastAsia="Arial" w:hAnsi="Arial"/>
                <w:sz w:val="18"/>
                <w:szCs w:val="18"/>
                <w:color w:val="auto"/>
              </w:rPr>
              <w:t>Waco</w:t>
            </w:r>
          </w:p>
        </w:tc>
        <w:tc>
          <w:tcPr>
            <w:tcW w:w="4340" w:type="dxa"/>
            <w:vAlign w:val="bottom"/>
          </w:tcPr>
          <w:p>
            <w:pPr>
              <w:jc w:val="center"/>
              <w:ind w:left="390"/>
              <w:spacing w:after="0" w:line="201" w:lineRule="exact"/>
              <w:rPr>
                <w:sz w:val="20"/>
                <w:szCs w:val="20"/>
                <w:color w:val="auto"/>
              </w:rPr>
            </w:pPr>
            <w:r>
              <w:rPr>
                <w:rFonts w:ascii="Arial" w:cs="Arial" w:eastAsia="Arial" w:hAnsi="Arial"/>
                <w:sz w:val="18"/>
                <w:szCs w:val="18"/>
                <w:color w:val="auto"/>
                <w:w w:val="92"/>
              </w:rPr>
              <w:t>Peterbilt, Hino, Isuzu,</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2920" w:type="dxa"/>
            <w:vAlign w:val="bottom"/>
          </w:tcPr>
          <w:p>
            <w:pPr>
              <w:spacing w:after="0"/>
              <w:rPr>
                <w:sz w:val="20"/>
                <w:szCs w:val="20"/>
                <w:color w:val="auto"/>
              </w:rPr>
            </w:pPr>
          </w:p>
        </w:tc>
        <w:tc>
          <w:tcPr>
            <w:tcW w:w="4340" w:type="dxa"/>
            <w:vAlign w:val="bottom"/>
          </w:tcPr>
          <w:p>
            <w:pPr>
              <w:jc w:val="center"/>
              <w:ind w:left="390"/>
              <w:spacing w:after="0"/>
              <w:rPr>
                <w:sz w:val="20"/>
                <w:szCs w:val="20"/>
                <w:color w:val="auto"/>
              </w:rPr>
            </w:pPr>
            <w:r>
              <w:rPr>
                <w:rFonts w:ascii="Arial" w:cs="Arial" w:eastAsia="Arial" w:hAnsi="Arial"/>
                <w:sz w:val="18"/>
                <w:szCs w:val="18"/>
                <w:color w:val="auto"/>
                <w:w w:val="96"/>
              </w:rPr>
              <w:t>Blue Bird, Micro Bird, Elkhart</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Utah</w:t>
            </w:r>
          </w:p>
        </w:tc>
        <w:tc>
          <w:tcPr>
            <w:tcW w:w="4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920" w:type="dxa"/>
            <w:vAlign w:val="bottom"/>
          </w:tcPr>
          <w:p>
            <w:pPr>
              <w:ind w:left="240"/>
              <w:spacing w:after="0"/>
              <w:rPr>
                <w:sz w:val="20"/>
                <w:szCs w:val="20"/>
                <w:color w:val="auto"/>
              </w:rPr>
            </w:pPr>
            <w:r>
              <w:rPr>
                <w:rFonts w:ascii="Arial" w:cs="Arial" w:eastAsia="Arial" w:hAnsi="Arial"/>
                <w:sz w:val="18"/>
                <w:szCs w:val="18"/>
                <w:color w:val="auto"/>
              </w:rPr>
              <w:t>Ogden</w:t>
            </w:r>
          </w:p>
        </w:tc>
        <w:tc>
          <w:tcPr>
            <w:tcW w:w="4340" w:type="dxa"/>
            <w:vAlign w:val="bottom"/>
          </w:tcPr>
          <w:p>
            <w:pPr>
              <w:jc w:val="center"/>
              <w:ind w:left="410"/>
              <w:spacing w:after="0"/>
              <w:rPr>
                <w:sz w:val="20"/>
                <w:szCs w:val="20"/>
                <w:color w:val="auto"/>
              </w:rPr>
            </w:pPr>
            <w:r>
              <w:rPr>
                <w:rFonts w:ascii="Arial" w:cs="Arial" w:eastAsia="Arial" w:hAnsi="Arial"/>
                <w:sz w:val="18"/>
                <w:szCs w:val="18"/>
                <w:color w:val="auto"/>
                <w:w w:val="93"/>
              </w:rPr>
              <w:t>International, IC Bus</w:t>
            </w:r>
          </w:p>
        </w:tc>
        <w:tc>
          <w:tcPr>
            <w:tcW w:w="9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Salt Lake City</w:t>
            </w:r>
          </w:p>
        </w:tc>
        <w:tc>
          <w:tcPr>
            <w:tcW w:w="434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2"/>
              </w:rPr>
              <w:t>International, IC Bus, Mitsubishi Fuso</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920" w:type="dxa"/>
            <w:vAlign w:val="bottom"/>
          </w:tcPr>
          <w:p>
            <w:pPr>
              <w:ind w:left="240"/>
              <w:spacing w:after="0"/>
              <w:rPr>
                <w:sz w:val="20"/>
                <w:szCs w:val="20"/>
                <w:color w:val="auto"/>
              </w:rPr>
            </w:pPr>
            <w:r>
              <w:rPr>
                <w:rFonts w:ascii="Arial" w:cs="Arial" w:eastAsia="Arial" w:hAnsi="Arial"/>
                <w:sz w:val="18"/>
                <w:szCs w:val="18"/>
                <w:color w:val="auto"/>
              </w:rPr>
              <w:t>Springville</w:t>
            </w:r>
          </w:p>
        </w:tc>
        <w:tc>
          <w:tcPr>
            <w:tcW w:w="4340" w:type="dxa"/>
            <w:vAlign w:val="bottom"/>
          </w:tcPr>
          <w:p>
            <w:pPr>
              <w:jc w:val="center"/>
              <w:ind w:left="390"/>
              <w:spacing w:after="0"/>
              <w:rPr>
                <w:sz w:val="20"/>
                <w:szCs w:val="20"/>
                <w:color w:val="auto"/>
              </w:rPr>
            </w:pPr>
            <w:r>
              <w:rPr>
                <w:rFonts w:ascii="Arial" w:cs="Arial" w:eastAsia="Arial" w:hAnsi="Arial"/>
                <w:sz w:val="18"/>
                <w:szCs w:val="18"/>
                <w:color w:val="auto"/>
                <w:w w:val="93"/>
              </w:rPr>
              <w:t>International, Mitsubishi Fuso</w:t>
            </w:r>
          </w:p>
        </w:tc>
        <w:tc>
          <w:tcPr>
            <w:tcW w:w="9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 George</w:t>
            </w:r>
          </w:p>
        </w:tc>
        <w:tc>
          <w:tcPr>
            <w:tcW w:w="434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3"/>
              </w:rPr>
              <w:t>International, Mitsubishi Fuso</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rPr>
              <w:t>Virginia</w:t>
            </w:r>
          </w:p>
        </w:tc>
        <w:tc>
          <w:tcPr>
            <w:tcW w:w="4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Chester</w:t>
            </w:r>
          </w:p>
        </w:tc>
        <w:tc>
          <w:tcPr>
            <w:tcW w:w="434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3"/>
              </w:rPr>
              <w:t>International, Hino</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tcPr>
          <w:p>
            <w:pPr>
              <w:ind w:left="240"/>
              <w:spacing w:after="0"/>
              <w:rPr>
                <w:sz w:val="20"/>
                <w:szCs w:val="20"/>
                <w:color w:val="auto"/>
              </w:rPr>
            </w:pPr>
            <w:r>
              <w:rPr>
                <w:rFonts w:ascii="Arial" w:cs="Arial" w:eastAsia="Arial" w:hAnsi="Arial"/>
                <w:sz w:val="18"/>
                <w:szCs w:val="18"/>
                <w:color w:val="auto"/>
              </w:rPr>
              <w:t>Fredericksburg</w:t>
            </w:r>
          </w:p>
        </w:tc>
        <w:tc>
          <w:tcPr>
            <w:tcW w:w="4340" w:type="dxa"/>
            <w:vAlign w:val="bottom"/>
          </w:tcPr>
          <w:p>
            <w:pPr>
              <w:jc w:val="center"/>
              <w:ind w:left="410"/>
              <w:spacing w:after="0"/>
              <w:rPr>
                <w:sz w:val="20"/>
                <w:szCs w:val="20"/>
                <w:color w:val="auto"/>
              </w:rPr>
            </w:pPr>
            <w:r>
              <w:rPr>
                <w:rFonts w:ascii="Arial" w:cs="Arial" w:eastAsia="Arial" w:hAnsi="Arial"/>
                <w:sz w:val="18"/>
                <w:szCs w:val="18"/>
                <w:color w:val="auto"/>
                <w:w w:val="92"/>
              </w:rPr>
              <w:t>International</w:t>
            </w:r>
          </w:p>
        </w:tc>
        <w:tc>
          <w:tcPr>
            <w:tcW w:w="9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Richmond</w:t>
            </w:r>
          </w:p>
        </w:tc>
        <w:tc>
          <w:tcPr>
            <w:tcW w:w="434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2"/>
              </w:rPr>
              <w:t>International</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bl>
    <w:p>
      <w:pPr>
        <w:spacing w:after="0" w:line="202" w:lineRule="exact"/>
        <w:rPr>
          <w:sz w:val="20"/>
          <w:szCs w:val="20"/>
          <w:color w:val="auto"/>
        </w:rPr>
      </w:pPr>
    </w:p>
    <w:p>
      <w:pPr>
        <w:jc w:val="both"/>
        <w:ind w:right="360" w:firstLine="648"/>
        <w:spacing w:after="0" w:line="302" w:lineRule="auto"/>
        <w:rPr>
          <w:sz w:val="20"/>
          <w:szCs w:val="20"/>
          <w:color w:val="auto"/>
        </w:rPr>
      </w:pPr>
      <w:r>
        <w:rPr>
          <w:rFonts w:ascii="Arial" w:cs="Arial" w:eastAsia="Arial" w:hAnsi="Arial"/>
          <w:sz w:val="16"/>
          <w:szCs w:val="16"/>
          <w:i w:val="1"/>
          <w:iCs w:val="1"/>
          <w:color w:val="auto"/>
        </w:rPr>
        <w:t xml:space="preserve">Leasing and Rental Services. </w:t>
      </w:r>
      <w:r>
        <w:rPr>
          <w:rFonts w:ascii="Arial" w:cs="Arial" w:eastAsia="Arial" w:hAnsi="Arial"/>
          <w:sz w:val="16"/>
          <w:szCs w:val="16"/>
          <w:color w:val="auto"/>
        </w:rPr>
        <w:t>Through certain of our Rush Truck Centers and several stand-alone Rush Truck Leasing Centers, we provide a</w:t>
      </w:r>
      <w:r>
        <w:rPr>
          <w:rFonts w:ascii="Arial" w:cs="Arial" w:eastAsia="Arial" w:hAnsi="Arial"/>
          <w:sz w:val="16"/>
          <w:szCs w:val="16"/>
          <w:i w:val="1"/>
          <w:iCs w:val="1"/>
          <w:color w:val="auto"/>
        </w:rPr>
        <w:t xml:space="preserve"> </w:t>
      </w:r>
      <w:r>
        <w:rPr>
          <w:rFonts w:ascii="Arial" w:cs="Arial" w:eastAsia="Arial" w:hAnsi="Arial"/>
          <w:sz w:val="16"/>
          <w:szCs w:val="16"/>
          <w:color w:val="auto"/>
        </w:rPr>
        <w:t>broad line of product selections for lease or rent, including Class 4, Class 5, Class 6, Class 7 and Class 8 trucks, heavy-duty cranes and refuse vehicles. Our lease and rental fleets are offered on a daily, monthly or long-term basis. Substantially all of our long-term leases also contain a service provision, whereby we agree to service the vehicle through the life of the lease. The following chart reflects our leasing franchises by location: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680" w:type="dxa"/>
            <w:vAlign w:val="bottom"/>
          </w:tcPr>
          <w:p>
            <w:pPr>
              <w:ind w:left="560"/>
              <w:spacing w:after="0"/>
              <w:rPr>
                <w:sz w:val="20"/>
                <w:szCs w:val="20"/>
                <w:color w:val="auto"/>
              </w:rPr>
            </w:pPr>
            <w:r>
              <w:rPr>
                <w:rFonts w:ascii="Arial" w:cs="Arial" w:eastAsia="Arial" w:hAnsi="Arial"/>
                <w:sz w:val="18"/>
                <w:szCs w:val="18"/>
                <w:b w:val="1"/>
                <w:bCs w:val="1"/>
                <w:color w:val="auto"/>
              </w:rPr>
              <w:t>Rush Truck Leasing</w:t>
            </w:r>
          </w:p>
        </w:tc>
        <w:tc>
          <w:tcPr>
            <w:tcW w:w="178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9"/>
              </w:rPr>
              <w:t>Standalone or in a</w:t>
            </w:r>
          </w:p>
        </w:tc>
        <w:tc>
          <w:tcPr>
            <w:tcW w:w="230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268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Location</w:t>
            </w:r>
          </w:p>
        </w:tc>
        <w:tc>
          <w:tcPr>
            <w:tcW w:w="1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Franchise</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Rush Truck Center</w:t>
            </w:r>
          </w:p>
        </w:tc>
        <w:tc>
          <w:tcPr>
            <w:tcW w:w="2300" w:type="dxa"/>
            <w:vAlign w:val="bottom"/>
          </w:tcPr>
          <w:p>
            <w:pPr>
              <w:spacing w:after="0"/>
              <w:rPr>
                <w:sz w:val="20"/>
                <w:szCs w:val="20"/>
                <w:color w:val="auto"/>
              </w:rPr>
            </w:pPr>
          </w:p>
        </w:tc>
      </w:tr>
      <w:tr>
        <w:trPr>
          <w:trHeight w:val="20"/>
        </w:trPr>
        <w:tc>
          <w:tcPr>
            <w:tcW w:w="230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7"/>
        </w:trPr>
        <w:tc>
          <w:tcPr>
            <w:tcW w:w="23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16"/>
        </w:trPr>
        <w:tc>
          <w:tcPr>
            <w:tcW w:w="230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Alabama</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Birmingham</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Arizona</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Phoenix</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California</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auto"/>
              </w:rPr>
              <w:t>Fontana</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Pico Rivera</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San Diego</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Sylmar</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Colorado</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Denver</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Florida</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Orlando</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Tampa</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Jacksonville</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Georgia</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Macon</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Idaho</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Boise</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Idaho Falls</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Illinois</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Carol Stream</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Chicago</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Effingham</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Huntley</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Joliet</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23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Springfield</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300" w:type="dxa"/>
            <w:vAlign w:val="bottom"/>
          </w:tcPr>
          <w:p>
            <w:pPr>
              <w:spacing w:after="0"/>
              <w:rPr>
                <w:sz w:val="18"/>
                <w:szCs w:val="18"/>
                <w:color w:val="auto"/>
              </w:rPr>
            </w:pPr>
          </w:p>
        </w:tc>
      </w:tr>
      <w:tr>
        <w:trPr>
          <w:trHeight w:val="459"/>
        </w:trPr>
        <w:tc>
          <w:tcPr>
            <w:tcW w:w="2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8</w:t>
            </w:r>
          </w:p>
        </w:tc>
        <w:tc>
          <w:tcPr>
            <w:tcW w:w="23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680" w:type="dxa"/>
            <w:vAlign w:val="bottom"/>
          </w:tcPr>
          <w:p>
            <w:pPr>
              <w:ind w:left="560"/>
              <w:spacing w:after="0"/>
              <w:rPr>
                <w:sz w:val="20"/>
                <w:szCs w:val="20"/>
                <w:color w:val="auto"/>
              </w:rPr>
            </w:pPr>
            <w:r>
              <w:rPr>
                <w:rFonts w:ascii="Arial" w:cs="Arial" w:eastAsia="Arial" w:hAnsi="Arial"/>
                <w:sz w:val="18"/>
                <w:szCs w:val="18"/>
                <w:b w:val="1"/>
                <w:bCs w:val="1"/>
                <w:color w:val="auto"/>
              </w:rPr>
              <w:t>Rush Truck Leasing</w:t>
            </w:r>
          </w:p>
        </w:tc>
        <w:tc>
          <w:tcPr>
            <w:tcW w:w="178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9"/>
              </w:rPr>
              <w:t>Standalone or in a</w:t>
            </w:r>
          </w:p>
        </w:tc>
      </w:tr>
      <w:tr>
        <w:trPr>
          <w:trHeight w:val="234"/>
        </w:trPr>
        <w:tc>
          <w:tcPr>
            <w:tcW w:w="268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Location</w:t>
            </w:r>
          </w:p>
        </w:tc>
        <w:tc>
          <w:tcPr>
            <w:tcW w:w="1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Franchise</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Rush Truck Center</w:t>
            </w: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r>
        <w:trPr>
          <w:trHeight w:val="197"/>
        </w:trPr>
        <w:tc>
          <w:tcPr>
            <w:tcW w:w="2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Indiana</w:t>
            </w:r>
          </w:p>
        </w:tc>
        <w:tc>
          <w:tcPr>
            <w:tcW w:w="17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Indianapolis</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Gary</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color w:val="auto"/>
              </w:rPr>
              <w:t>Missouri</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 Louis</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St. Peters</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Carolina</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Charlotte</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Mexico</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Albuquerque</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Nevada</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Las Vegas</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Ohio</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Cincinnati</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Cleveland</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Columbus</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Dayton</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color w:val="auto"/>
              </w:rPr>
              <w:t>Oklahoma</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Oklahoma City</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color w:val="auto"/>
              </w:rPr>
              <w:t>Tennessee</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Nashville</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color w:val="auto"/>
              </w:rPr>
              <w:t>Texas</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Austin</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El Paso</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Fort Worth</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Houston</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Lubbock</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San Antonio</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Tyler</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color w:val="auto"/>
              </w:rPr>
              <w:t>Virginia</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Richmond</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2680" w:type="dxa"/>
            <w:vAlign w:val="bottom"/>
          </w:tcPr>
          <w:p>
            <w:pPr>
              <w:ind w:left="180"/>
              <w:spacing w:after="0"/>
              <w:rPr>
                <w:sz w:val="20"/>
                <w:szCs w:val="20"/>
                <w:color w:val="auto"/>
              </w:rPr>
            </w:pPr>
            <w:r>
              <w:rPr>
                <w:rFonts w:ascii="Arial" w:cs="Arial" w:eastAsia="Arial" w:hAnsi="Arial"/>
                <w:sz w:val="18"/>
                <w:szCs w:val="18"/>
                <w:color w:val="auto"/>
              </w:rPr>
              <w:t>Norfolk</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Utah</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30"/>
        </w:trPr>
        <w:tc>
          <w:tcPr>
            <w:tcW w:w="2680" w:type="dxa"/>
            <w:vAlign w:val="bottom"/>
          </w:tcPr>
          <w:p>
            <w:pPr>
              <w:ind w:left="180"/>
              <w:spacing w:after="0"/>
              <w:rPr>
                <w:sz w:val="20"/>
                <w:szCs w:val="20"/>
                <w:color w:val="auto"/>
              </w:rPr>
            </w:pPr>
            <w:r>
              <w:rPr>
                <w:rFonts w:ascii="Arial" w:cs="Arial" w:eastAsia="Arial" w:hAnsi="Arial"/>
                <w:sz w:val="18"/>
                <w:szCs w:val="18"/>
                <w:color w:val="auto"/>
              </w:rPr>
              <w:t>Salt Lake City</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7"/>
              </w:rPr>
              <w:t>Idealease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r>
    </w:tbl>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to the locations in the above table, Rush Truck Leasing also provides full-service maintenance on customers’ vehicles at several of our customers’ facilities.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Financial and Insurance Products. </w:t>
      </w:r>
      <w:r>
        <w:rPr>
          <w:rFonts w:ascii="Arial" w:cs="Arial" w:eastAsia="Arial" w:hAnsi="Arial"/>
          <w:sz w:val="18"/>
          <w:szCs w:val="18"/>
          <w:color w:val="auto"/>
        </w:rPr>
        <w:t>At our Rush Truck Centers, we offer third-party financing to assist customers in purchasing new and used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vehicles. Additionally, we sell, as agent through our insurance agency, a complete line of property and casualty insurance, including collision and liability insurance on commercial vehicles, cargo insurance and credit life insurance.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Other Businesses. </w:t>
      </w:r>
      <w:r>
        <w:rPr>
          <w:rFonts w:ascii="Arial" w:cs="Arial" w:eastAsia="Arial" w:hAnsi="Arial"/>
          <w:sz w:val="18"/>
          <w:szCs w:val="18"/>
          <w:color w:val="auto"/>
        </w:rPr>
        <w:t>Perfection Equipment offers installation of equipment, equipment repair, parts installation, and paint and body repair at our</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 in Oklahoma City. Perfection Equipment specializes in up-fitting trucks used by oilfield service providers and other specialized service providers.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World Wide Tires stores operate in two locations in Texas. World Wide Tires primarily sells tires for use on commercial vehicles.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Custom Vehicle Solutions operates at locations in Denton, Texas and Greencastle, Pennsylvania. Custom Vehicle Solutions provides new vehicle pre-delivery inspections, truck modifications, natural gas fuel system installations, body and chassis upfitting and component installation.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Momentum Fuel Technologies manufactures compressed natural gas fuel systems and related component parts for commercial vehicles at its facility in Roanoke, Texas.</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Industry” for a description of our industry and the markets in which we operate.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Operating Strategy. </w:t>
      </w:r>
      <w:r>
        <w:rPr>
          <w:rFonts w:ascii="Arial" w:cs="Arial" w:eastAsia="Arial" w:hAnsi="Arial"/>
          <w:sz w:val="18"/>
          <w:szCs w:val="18"/>
          <w:color w:val="auto"/>
        </w:rPr>
        <w:t>Our strategy is to operate an integrated nationwide dealership network that provides service solutions to the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industry. Our strategy includes the following key elements:</w:t>
      </w:r>
    </w:p>
    <w:p>
      <w:pPr>
        <w:spacing w:after="0" w:line="170" w:lineRule="exact"/>
        <w:rPr>
          <w:sz w:val="20"/>
          <w:szCs w:val="20"/>
          <w:color w:val="auto"/>
        </w:rPr>
      </w:pPr>
    </w:p>
    <w:p>
      <w:pPr>
        <w:jc w:val="both"/>
        <w:ind w:left="980" w:hanging="324"/>
        <w:spacing w:after="0" w:line="276"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Management by Dealership Units</w:t>
      </w:r>
      <w:r>
        <w:rPr>
          <w:rFonts w:ascii="Arial" w:cs="Arial" w:eastAsia="Arial" w:hAnsi="Arial"/>
          <w:sz w:val="17"/>
          <w:szCs w:val="17"/>
          <w:color w:val="auto"/>
        </w:rPr>
        <w:t>. At each of our dealerships, we operate one or more of the following departments: new commercial vehicle sales, used commercial vehicle sales, financial services, parts, service or body shop. Our general managers measure and manage the operations of each dealership according to the specific departments operating at that location. We believe that this system enhances the profitability of all aspects of a dealership and increases our overall operating margins. Operating goals for each department at each of our dealerships are established annually and managers are rewarded for performance.</w:t>
      </w:r>
    </w:p>
    <w:p>
      <w:pPr>
        <w:spacing w:after="0" w:line="172" w:lineRule="exact"/>
        <w:rPr>
          <w:rFonts w:ascii="Arial" w:cs="Arial" w:eastAsia="Arial" w:hAnsi="Arial"/>
          <w:sz w:val="17"/>
          <w:szCs w:val="17"/>
          <w:color w:val="auto"/>
        </w:rPr>
      </w:pPr>
    </w:p>
    <w:p>
      <w:pPr>
        <w:jc w:val="both"/>
        <w:ind w:left="980" w:hanging="324"/>
        <w:spacing w:after="0" w:line="276"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One-Stop Centers</w:t>
      </w:r>
      <w:r>
        <w:rPr>
          <w:rFonts w:ascii="Arial" w:cs="Arial" w:eastAsia="Arial" w:hAnsi="Arial"/>
          <w:sz w:val="17"/>
          <w:szCs w:val="17"/>
          <w:color w:val="auto"/>
        </w:rPr>
        <w:t>. We have developed our larger commercial vehicle dealerships as “one-stop centers” that offer an integrated approach to meeting customer needs. We provide service, parts and collision repair, new and used commercial vehicles sales, leasing and rental, plus financial services including finance and insurance. We believe that this full-service strategy also helps to mitigate cyclical economic fluctuations because our parts, service and body shop operations (referred to herein collectively as "Aftermarket Products and Services") at our dealerships generally tend to be less volatile than our new and used commercial vehicle sales.</w:t>
      </w:r>
    </w:p>
    <w:p>
      <w:pPr>
        <w:spacing w:after="0" w:line="172" w:lineRule="exact"/>
        <w:rPr>
          <w:rFonts w:ascii="Arial" w:cs="Arial" w:eastAsia="Arial" w:hAnsi="Arial"/>
          <w:sz w:val="17"/>
          <w:szCs w:val="17"/>
          <w:color w:val="auto"/>
        </w:rPr>
      </w:pPr>
    </w:p>
    <w:p>
      <w:pPr>
        <w:jc w:val="both"/>
        <w:ind w:left="980" w:hanging="324"/>
        <w:spacing w:after="0" w:line="276"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Aftermarket Products and Services</w:t>
      </w:r>
      <w:r>
        <w:rPr>
          <w:rFonts w:ascii="Arial" w:cs="Arial" w:eastAsia="Arial" w:hAnsi="Arial"/>
          <w:sz w:val="17"/>
          <w:szCs w:val="17"/>
          <w:color w:val="auto"/>
        </w:rPr>
        <w:t>. Our aftermarket capabilities include a wide range of services and products, including a fleet of mobile service units, mobile technicians who work in our customers’ facilities, a proprietary line of parts and accessories, factory-certified service for alternative fuel vehicles and assembly service for specialized bodies and equipment. We believe that offering a variety of Aftermarket Products and Services at our dealerships and other locations allows us to meet the expanding needs of our customers. We continually strive to leverage our dealership facilities to offer more products and services to our customers.</w:t>
      </w:r>
    </w:p>
    <w:p>
      <w:pPr>
        <w:spacing w:after="0" w:line="17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Branding Program</w:t>
      </w:r>
      <w:r>
        <w:rPr>
          <w:rFonts w:ascii="Arial" w:cs="Arial" w:eastAsia="Arial" w:hAnsi="Arial"/>
          <w:sz w:val="18"/>
          <w:szCs w:val="18"/>
          <w:color w:val="auto"/>
        </w:rPr>
        <w:t>. We employ a branding program for our new vehicle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i w:val="1"/>
          <w:iCs w:val="1"/>
          <w:color w:val="auto"/>
        </w:rPr>
        <w:t xml:space="preserve">Growth Strategy. </w:t>
      </w:r>
      <w:r>
        <w:rPr>
          <w:rFonts w:ascii="Arial" w:cs="Arial" w:eastAsia="Arial" w:hAnsi="Arial"/>
          <w:sz w:val="17"/>
          <w:szCs w:val="17"/>
          <w:color w:val="auto"/>
        </w:rPr>
        <w:t>Through our strategic expansion and acquisition initiatives, we have grown to operate a large, multistate, full-service network</w:t>
      </w:r>
      <w:r>
        <w:rPr>
          <w:rFonts w:ascii="Arial" w:cs="Arial" w:eastAsia="Arial" w:hAnsi="Arial"/>
          <w:sz w:val="17"/>
          <w:szCs w:val="17"/>
          <w:i w:val="1"/>
          <w:iCs w:val="1"/>
          <w:color w:val="auto"/>
        </w:rPr>
        <w:t xml:space="preserve"> </w:t>
      </w:r>
      <w:r>
        <w:rPr>
          <w:rFonts w:ascii="Arial" w:cs="Arial" w:eastAsia="Arial" w:hAnsi="Arial"/>
          <w:sz w:val="17"/>
          <w:szCs w:val="17"/>
          <w:color w:val="auto"/>
        </w:rPr>
        <w:t>of commercial vehicle dealerships. As described below, we intend to continue to grow our business by expanding our product and service offerings, through acquisitions in new geographic areas and by opening new dealerships to enable us to better serve our customers.</w:t>
      </w:r>
    </w:p>
    <w:p>
      <w:pPr>
        <w:spacing w:after="0" w:line="166" w:lineRule="exact"/>
        <w:rPr>
          <w:sz w:val="20"/>
          <w:szCs w:val="20"/>
          <w:color w:val="auto"/>
        </w:rPr>
      </w:pPr>
    </w:p>
    <w:p>
      <w:pPr>
        <w:jc w:val="both"/>
        <w:ind w:left="980" w:hanging="324"/>
        <w:spacing w:after="0" w:line="25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Expansion of Product and Service Offerings</w:t>
      </w:r>
      <w:r>
        <w:rPr>
          <w:rFonts w:ascii="Arial" w:cs="Arial" w:eastAsia="Arial" w:hAnsi="Arial"/>
          <w:sz w:val="18"/>
          <w:szCs w:val="18"/>
          <w:color w:val="auto"/>
        </w:rPr>
        <w:t>. We intend to continue to expand our product lines within our dealerships by adding product categories and service capabilities that are both complementary to our existing product lines and well suited to our operating model. We will continue to take advantage of technological advances to the vehicles we sell that provide us with the opportunity to offer vehicle owners more aftermarket options and the ability to maximize the performance of vehicles in their fleets using telematics and other technologies.</w:t>
      </w:r>
    </w:p>
    <w:p>
      <w:pPr>
        <w:spacing w:after="0" w:line="188"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Expansion Into New Geographic Areas</w:t>
      </w:r>
      <w:r>
        <w:rPr>
          <w:rFonts w:ascii="Arial" w:cs="Arial" w:eastAsia="Arial" w:hAnsi="Arial"/>
          <w:sz w:val="17"/>
          <w:szCs w:val="17"/>
          <w:color w:val="auto"/>
        </w:rPr>
        <w:t>. We plan to continue to expand our dealership network by acquiring existing dealerships or opening new dealerships in areas of the U.S. where we do not already have dealerships. We believe the geographic diversity of our Rush Truck Center network has significantly expanded our customer base while reducing the effects of local economic cycles.</w:t>
      </w:r>
    </w:p>
    <w:p>
      <w:pPr>
        <w:spacing w:after="0" w:line="165"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Open New Rush Truck Centers in Existing Areas of Operation</w:t>
      </w:r>
      <w:r>
        <w:rPr>
          <w:rFonts w:ascii="Arial" w:cs="Arial" w:eastAsia="Arial" w:hAnsi="Arial"/>
          <w:sz w:val="18"/>
          <w:szCs w:val="18"/>
          <w:color w:val="auto"/>
        </w:rPr>
        <w:t>. We continually evaluate opportunities to increase our market presence by adding new Rush Truck Centers within our current franchises’ areas of operation.</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118" w:right="57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Our Dealerships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Rush Truck Centers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Rush Truck Centers are responsible for sales of new and used commercial vehicles, as well as related parts and services.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u w:val="single" w:color="auto"/>
          <w:color w:val="auto"/>
        </w:rPr>
        <w:t>Aftermarket Products and Services</w:t>
      </w:r>
      <w:r>
        <w:rPr>
          <w:rFonts w:ascii="Arial" w:cs="Arial" w:eastAsia="Arial" w:hAnsi="Arial"/>
          <w:sz w:val="17"/>
          <w:szCs w:val="17"/>
          <w:color w:val="auto"/>
        </w:rPr>
        <w:t>. Revenues from Aftermarket Products and Services accounted for approximately $1,471.3 million, or 31.2%, of our total revenues for 2017, and 64.7% of our gross profit. Our Aftermarket Products and Services enhance our sales function and are a source of recurring revenue. Rush Truck Centers carry a wide variety of commercial vehicle parts in inventory. Certain Rush Truck Centers also feature fully equipped service and body shop facilities, the combination and configuration of which varies by location, capable of handling a broad range of repairs on most commercial vehicles. Each Rush Truck Center is a warranty service center for the commercial vehicle manufacturers represented at that location, if any, and most are also authorized service centers for other vehicle component manufacturers, including Cummins, Eaton, Caterpillar and Allison. We also have mobile service technicians and technicians who staff our customers’ facilities upon request.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service departments perform warranty and non-warranty repairs on commercial vehicles. The cost of warranty work is generally reimbursed by the applicable manufacturer at retail commercial rates. Warranty related parts and service revenues accounted for approximately $123.4 million, or 2.6%, of our total revenues for 2017. Additionally, we provide a wide array of services, including assembly service for specialized truck bodies and truck mounted equipment. Our goal is to provide our customers any service that they need related to their commercial vehicles.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part of our leasing and rental operations, we also enter into contracts to provide full-service maintenance on some customers’ vehicles. We had 1,189 vehicles under contract maintenance as of December 31, 2017, and 1,233 vehicles under contract maintenance as of December 31, 2016. The full-service maintenance revenues and retail service revenues are included as Aftermarket Products and Service revenues on our Consolidated Statements of Income.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New Commercial Vehicle Sales</w:t>
      </w:r>
      <w:r>
        <w:rPr>
          <w:rFonts w:ascii="Arial" w:cs="Arial" w:eastAsia="Arial" w:hAnsi="Arial"/>
          <w:sz w:val="18"/>
          <w:szCs w:val="18"/>
          <w:color w:val="auto"/>
        </w:rPr>
        <w:t>. New commercial vehicle sales represent the largest portion of our revenues, accounting for approximately $2,701.5 million, or 57.3%, of our total revenues in 2017. Of this total, new Class 8 heavy-duty truck sales accounted for approximately $1,817.3 million, or 38.6%, of our total revenues for 2017, and 67.3% of our new commercial vehicle revenues for 2017.</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Our Rush Truck Centers that sell new and used Class 8 heavy-duty trucks manufactured by Peterbilt or International may also sell medium-duty and light-duty commercial vehicles. Certain Rush Truck Centers sell medium-duty commercial vehicles manufactured by Peterbilt, Hino, Isuzu, Ford, International or Mitsubishi Fuso, buses manufactured by Blue Bird, IC BUS or Elkhart and light-duty commercial vehicles manufactured by Ford (see Part I, Item 1, “General – </w:t>
      </w:r>
      <w:r>
        <w:rPr>
          <w:rFonts w:ascii="Arial" w:cs="Arial" w:eastAsia="Arial" w:hAnsi="Arial"/>
          <w:sz w:val="17"/>
          <w:szCs w:val="17"/>
          <w:i w:val="1"/>
          <w:iCs w:val="1"/>
          <w:color w:val="auto"/>
        </w:rPr>
        <w:t>Rush Truck Centers</w:t>
      </w:r>
      <w:r>
        <w:rPr>
          <w:rFonts w:ascii="Arial" w:cs="Arial" w:eastAsia="Arial" w:hAnsi="Arial"/>
          <w:sz w:val="17"/>
          <w:szCs w:val="17"/>
          <w:color w:val="auto"/>
        </w:rPr>
        <w:t>” for information on which brands we sell at each Rush Truck Center). New medium-duty commercial vehicle sales, excluding new bus sales, accounted for approximately $718.4 million, or 15.2%, of our total revenues for 2017, and 26.6% of our new commercial vehicle revenues for 2017. New light-duty commercial vehicle sales accounted for approximately $64.0 million, or 1.4%, of our total revenues for 2017, and 2.4% of our new commercial vehicle revenues for 2017. New bus sales accounted for approximately $88.1 million, or 1.9%, of our total revenues for 2017, and 3.3% of our new commercial vehicle revenues for 2017.</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significant portion of our new commercial vehicle sales are to customers with large fleets of commercial vehicles. Because of the size and geographic scope of our Rush Truck Center network, our strong relationships with our fleet customers and our ability to manage large quantities of used commercial vehicle trade-ins, we are able to successfully market and sell to fleet customers nationwide. We believe that we have a competitive advantage over most other dealerships because we can absorb multi-unit trade-ins often associated with fleet sales and effectively disperse the used commercial vehicles for resale throughout our dealership network. We believe that the broad range of products and services we offer to purchasers of commercial vehicles at the time of purchase and post-purchase results in a high level of customer loyalty.</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Used Commercial Vehicle Sales</w:t>
      </w:r>
      <w:r>
        <w:rPr>
          <w:rFonts w:ascii="Arial" w:cs="Arial" w:eastAsia="Arial" w:hAnsi="Arial"/>
          <w:sz w:val="18"/>
          <w:szCs w:val="18"/>
          <w:color w:val="auto"/>
        </w:rPr>
        <w:t>. Used commercial vehicle sales accounted for approximately $291.5 million, or 6.2%, of our total revenues for 2017. We sell used commercial vehicles at most of our Rush Truck Centers and also at our non-franchised used commercial vehicle facilities. We believe that we are well positioned to market used commercial vehicles due to our ability to recondition them for resale utilizing the service and body shop departments of our Rush Truck Centers and our ability to move used commercial vehicles between our dealerships as customer demand warrants. The majority of our used commercial vehicle inventory consists of commercial vehicles taken as trade-ins from new commercial vehicle customers or retired from our lease and rental fleet, but we also supplement our used commercial vehicle inventory by purchasing used commercial vehicles from third parties for resale, as market conditions warrant.</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u w:val="single" w:color="auto"/>
          <w:color w:val="auto"/>
        </w:rPr>
        <w:t>Truck Leasing and Rental</w:t>
      </w:r>
      <w:r>
        <w:rPr>
          <w:rFonts w:ascii="Arial" w:cs="Arial" w:eastAsia="Arial" w:hAnsi="Arial"/>
          <w:sz w:val="17"/>
          <w:szCs w:val="17"/>
          <w:color w:val="auto"/>
        </w:rPr>
        <w:t>. Truck leasing and rental revenues accounted for approximately $217.4 million, or 4.6%, of our total revenues for 2017. At our Rush Truck Leasing locations, we engage in full-service truck leasing through PacLease and Idealease. Rental trucks are also generally serviced at our facilities. We had 7,993 vehicles in our lease and rental fleet, including cranes, as of December 31, 2017, compared to 7,841 vehicles as of December 31, 2016. Generally, we sell trucks that have been retired from our lease and rental fleet through our used commercial vehicles sales operations. Historically, we have realized gains on the sale of used lease and rental trucks.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New and Used Commercial Vehicle Financing</w:t>
      </w:r>
      <w:r>
        <w:rPr>
          <w:rFonts w:ascii="Arial" w:cs="Arial" w:eastAsia="Arial" w:hAnsi="Arial"/>
          <w:sz w:val="18"/>
          <w:szCs w:val="18"/>
          <w:color w:val="auto"/>
        </w:rPr>
        <w:t>. Our Rush Truck Centers have personnel responsible for arranging third-party financing for our product offerings. Generally, commercial vehicle finance contracts involve an installment contract, which is secured by the commercial vehicle financed, and require a down payment, with the remaining balance generally financed over a two-year to seven-year period. The majority of these finance contracts are sold to third parties without recourse to us. We provide an allowance for repossession losses and early repayment penalties that we may incur under these finance contracts.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Insurance Products</w:t>
      </w:r>
      <w:r>
        <w:rPr>
          <w:rFonts w:ascii="Arial" w:cs="Arial" w:eastAsia="Arial" w:hAnsi="Arial"/>
          <w:sz w:val="18"/>
          <w:szCs w:val="18"/>
          <w:color w:val="auto"/>
        </w:rPr>
        <w:t>. The sale of financial and insurance products accounted for approximately $18.0 million, or 0.4%, of our total revenues for 2017. Finance and insurance revenues have minimal direct costs and therefore, contribute a disproportionate share to our operating profits. We sell, as agent, a complete line of property and casualty insurance to commercial vehicle owners. Our agency, which operates at locations around the United States outside of our Rush Truck Centers, is licensed to sell truck liability, collision and comprehensive, workers’ compensation, cargo, and credit life insurance coverage offered by a number of leading insurance companies. Our renewal rate in 2017 was approximately 87%. We also have licensed insurance agents at several Rush Truck Centers.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established history of operations in the commercial vehicle business has resulted in a strong customer base that is diverse in terms of geography, industry and scale of operations. Our customers include regional and national truck fleets, corporations, local and state governments and owner operators. During 2017, no single customer accounted for more than 10% of our sales by dollar volume. We generally promote our products and related services through direct customer contact by our sales personnel, advertisements in trade magazines and online and attendance at industry shows.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Management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Personnel. </w:t>
      </w:r>
      <w:r>
        <w:rPr>
          <w:rFonts w:ascii="Arial" w:cs="Arial" w:eastAsia="Arial" w:hAnsi="Arial"/>
          <w:sz w:val="16"/>
          <w:szCs w:val="16"/>
          <w:color w:val="auto"/>
        </w:rPr>
        <w:t>Each of our facilities is typically managed by a general manager who oversees the operations, personnel and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location, subject to the direction of a regional manager and personnel at our corporate headquarters. Additionally, each full-service Rush Truck Center is typically staffed by a sales manager, parts manager, service manager, body shop manager, sales representatives, parts employees and other service and make-ready employees, as appropriate, given the services offered. The sales staff of each Rush Truck Center is compensated on a salary plus commission, or a commission only basis, while managers receive a combination of salary and performance bonus. We believe that our employees are among the highest paid in the industry, which enables us to attract and retain qualified personnel.</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been successful in retaining our senior management, regional managers and general managers. To promote communication and efficiency in operating standards, regional managers and members of senior management attend company-wide strategy sessions each year. In addition, management personnel attend various industry-sponsored leadership and management seminars and receive continuing education on the products we distribute.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Compliance with Policies. </w:t>
      </w:r>
      <w:r>
        <w:rPr>
          <w:rFonts w:ascii="Arial" w:cs="Arial" w:eastAsia="Arial" w:hAnsi="Arial"/>
          <w:sz w:val="18"/>
          <w:szCs w:val="18"/>
          <w:color w:val="auto"/>
        </w:rPr>
        <w:t>Each Rush Truck Center is audited regularly for compliance with corporate policies and procedures. These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audits objectively measure dealership performance with respect to corporate expectations in the management and administration of sales, commercial vehicle inventory, parts inventory, parts sales, service sales, body shop sales, corporate policy compliance, human resources compliance and environmental and safety compliance matters.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Purchasing and Suppliers. </w:t>
      </w:r>
      <w:r>
        <w:rPr>
          <w:rFonts w:ascii="Arial" w:cs="Arial" w:eastAsia="Arial" w:hAnsi="Arial"/>
          <w:sz w:val="18"/>
          <w:szCs w:val="18"/>
          <w:color w:val="auto"/>
        </w:rPr>
        <w:t>Because of our size, we benefit from volume purchases at favorable prices that permit us to achieve a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position in the industry. We purchase our commercial vehicle inventory and proprietary parts and accessories directly from the applicable vehicle manufacturer, wholesale distributors, or other sources that provide the most favorable pricing. Most purchasing commitments are negotiated by personnel at our corporate headquarters. Historically, we have been able to negotiate favorable pricing levels and terms, which enable us to offer competitive prices for our products.</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40" w:firstLine="648"/>
        <w:spacing w:after="0" w:line="308" w:lineRule="auto"/>
        <w:rPr>
          <w:sz w:val="20"/>
          <w:szCs w:val="20"/>
          <w:color w:val="auto"/>
        </w:rPr>
      </w:pPr>
      <w:r>
        <w:rPr>
          <w:rFonts w:ascii="Arial" w:cs="Arial" w:eastAsia="Arial" w:hAnsi="Arial"/>
          <w:sz w:val="17"/>
          <w:szCs w:val="17"/>
          <w:i w:val="1"/>
          <w:iCs w:val="1"/>
          <w:color w:val="auto"/>
        </w:rPr>
        <w:t xml:space="preserve">Commercial Vehicle Inventory Management. </w:t>
      </w:r>
      <w:r>
        <w:rPr>
          <w:rFonts w:ascii="Arial" w:cs="Arial" w:eastAsia="Arial" w:hAnsi="Arial"/>
          <w:sz w:val="17"/>
          <w:szCs w:val="17"/>
          <w:color w:val="auto"/>
        </w:rPr>
        <w:t>We utilize our management information systems to monitor the inventory level of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vehicles at each of our dealerships and transfer new and used commercial vehicle inventory among Rush Truck Centers as needed.</w:t>
      </w:r>
    </w:p>
    <w:p>
      <w:pPr>
        <w:spacing w:after="0" w:line="147"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i w:val="1"/>
          <w:iCs w:val="1"/>
          <w:color w:val="auto"/>
        </w:rPr>
        <w:t xml:space="preserve">Parts Distribution and Inventory Management. </w:t>
      </w:r>
      <w:r>
        <w:rPr>
          <w:rFonts w:ascii="Arial" w:cs="Arial" w:eastAsia="Arial" w:hAnsi="Arial"/>
          <w:sz w:val="17"/>
          <w:szCs w:val="17"/>
          <w:color w:val="auto"/>
        </w:rPr>
        <w:t>We utilize a parts inventory tracking system that allows for the prompt transfer of parts</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among various Rush Truck Centers. The transfer of inventory reduces delays in delivery, helps maximize inventory turns and assists in controlling problems created by overstock and understock situations. Our network is linked to our major suppliers for purposes of ordering parts and managing parts inventory levels. Automated reordering and communication systems allow us to maintain proper parts inventory levels and permit us to have parts inventory delivered to our locations, or directly to customers, typically within 24 hours of an order being placed.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On December 14, 2017, we acquired certain assets of Transwest San Diego, LLC, which included a Ford truck franchise in San Diego, California. The transaction was valued at approximately $2.2 million, with the purchase price paid in cash.</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May 27, 2016, we acquired certain assets of Transwest Truck Center Las Vegas, LLC, which included a Ford truck franchise in Las Vegas, Nevada. The transaction was valued at approximately $0.8 million, with the purchase price paid in cash.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There is, and will continue to be, significant competition both within our current markets and in new markets we may enter. We anticipate that competition between us and other dealership groups will continue to increase in our current markets and on a national level based on the following:</w:t>
      </w:r>
    </w:p>
    <w:p>
      <w:pPr>
        <w:spacing w:after="0" w:line="124"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keep customers’ vehicles operational, which is dependent on the accessibility of dealership locations;</w:t>
      </w:r>
    </w:p>
    <w:p>
      <w:pPr>
        <w:spacing w:after="0" w:line="25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dealership locations representing the manufacturers that we represent and other manufacturers, which impacts manufacturers’ ability to provide more consistent, higher quality service in a timely manner across their dealership networks;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value, quality and design of the products sold;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attention to customer service (including technical service).</w:t>
      </w:r>
    </w:p>
    <w:p>
      <w:pPr>
        <w:spacing w:after="0" w:line="252"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Our dealerships compete with dealerships representing other manufacturers including commercial vehicles manufactured by Mack, Freightliner, Kenworth, Volvo, and Western Star. We believe that our dealerships are able to compete with manufacturer-owned dealers, other franchised dealership groups, independent service centers, parts wholesalers, commercial vehicle wholesalers, rental service companies and industrial auctioneers in distributing our products and providing service because of the following: the overall quality and reputation of the products we sell; the “Rush” brand name recognition and reputation for quality service; the geographic scope of our dealership network; the breadth of commercial vehicles offered in our dealership network; and our ability to provide comprehensive Aftermarket Products and Services, as well as financing, insurance and other customer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Dealership Agreements</w:t>
      </w:r>
    </w:p>
    <w:p>
      <w:pPr>
        <w:spacing w:after="0" w:line="229"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i w:val="1"/>
          <w:iCs w:val="1"/>
          <w:color w:val="auto"/>
        </w:rPr>
        <w:t xml:space="preserve">Peterbilt. </w:t>
      </w:r>
      <w:r>
        <w:rPr>
          <w:rFonts w:ascii="Arial" w:cs="Arial" w:eastAsia="Arial" w:hAnsi="Arial"/>
          <w:sz w:val="18"/>
          <w:szCs w:val="18"/>
          <w:color w:val="auto"/>
        </w:rPr>
        <w:t>We have entered into nonexclusive dealership agreements with Peterbilt that authorize us to act as a dealer of Peterbilt heavy- and</w:t>
      </w:r>
      <w:r>
        <w:rPr>
          <w:rFonts w:ascii="Arial" w:cs="Arial" w:eastAsia="Arial" w:hAnsi="Arial"/>
          <w:sz w:val="18"/>
          <w:szCs w:val="18"/>
          <w:i w:val="1"/>
          <w:iCs w:val="1"/>
          <w:color w:val="auto"/>
        </w:rPr>
        <w:t xml:space="preserve"> </w:t>
      </w:r>
      <w:r>
        <w:rPr>
          <w:rFonts w:ascii="Arial" w:cs="Arial" w:eastAsia="Arial" w:hAnsi="Arial"/>
          <w:sz w:val="18"/>
          <w:szCs w:val="18"/>
          <w:color w:val="auto"/>
        </w:rPr>
        <w:t>medium-duty trucks. Our Peterbilt areas of responsibility currently encompass areas in the states of Alabama, Arizona, California, Colorado, Florida, Kentucky, New Mexico, Nevada, Oklahoma, Tennessee and Texas. These dealership agreements currently have terms expiring between June 2018 and March 2019 and impose certain operational obligations and financial requirements upon us and our dealerships. Our dealership agreements with Peterbilt may be terminated by Peterbilt in the event that the aggregate voting power of W. Marvin Rush, W.M. “Rusty” Rush, other members of the Rush family and certain executives of the Company decreases below 22%. Sales of new Peterbilt commercial vehicles accounted for approximately 37.4% of our total revenues for 2017.</w:t>
      </w:r>
    </w:p>
    <w:p>
      <w:pPr>
        <w:spacing w:after="0" w:line="1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118" w:right="55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We have entered into nonexclusive dealership agreements with Navistar that authorize us to act as a dealer of International heavy-and medium-duty trucks and, in certain markets, IC buses. Our Navistar areas of responsibility currently encompass areas in the states of Georgia, Idaho, Illinois, Indiana, Missouri, North Carolina, Ohio, Utah and Virginia. These dealership agreements currently have terms expiring between July 2018 and May 2023 and impose certain operational obligations and financial requirements upon us and our dealerships. Sales of new International commercial vehicles accounted for approximately 9.2% of our total revenues for 2017.</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Other Commercial Vehicle Suppliers. </w:t>
      </w:r>
      <w:r>
        <w:rPr>
          <w:rFonts w:ascii="Arial" w:cs="Arial" w:eastAsia="Arial" w:hAnsi="Arial"/>
          <w:sz w:val="17"/>
          <w:szCs w:val="17"/>
          <w:color w:val="auto"/>
        </w:rPr>
        <w:t>In addition to our dealership agreements with Peterbilt and Navistar, various Rush Truck Centers have</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into dealership agreements with other commercial vehicle manufacturers, including Blue Bird, Micro Bird and Mitsubishi Fuso, which currently have terms expiring between March 2018 and November 2018 and Ford, Hino and Isuzu, which have perpetual terms. These dealership agreements impose operating requirements upon us and require consent from the affected supplier for the sale or transfer of our franchise. Sales of new non-Peterbilt and non-International commercial vehicles accounted for approximately 10.8% of our total revenues for 2017.</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termination or nonrenewal of our dealership agreements must follow certain guidelines established by both state and federal legislation designed to protect motor vehicle dealers from arbitrary termination or nonrenewal of franchise agreements. The federal Automobile Dealers Day in Court Act and other similar state laws generally provide that the termination or nonrenewal of a motor vehicle dealership agreement must be done in “good faith” and upon a showing of “good cause” by the manufacturer for such termination or nonrenewal, as such terms have been defined by statute and interpreted in case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Floor Plan Financing</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Most of our commercial vehicle purchases are made on terms requiring payment to the manufacturer within 15 days or less from the date the commercial vehicles are invoiced from the factory. We finance the majority of all new commercial vehicle inventory and the loan value of our used commercial vehicle inventory under a credit agreement (the “Floor Plan Credit Agreement”) with BMO Harris Bank N.A. The Floor Plan Credit Agreement includes an aggregate loan commitment of $875.0 million. Borrowings under the Floor Plan Credit Agreement bear interest at an annual rate equal to (A) the greater of (i) zero and (ii) three month LIBOR rate, determined on the last day of the prior month, plus (B) 1.51% and are payable monthly. In addition, we are required to pay a monthly working capital fee equal to 0.16% per annum multiplied by the amount of voluntary prepayments of new and used inventory loans. Loans under the Floor Plan Credit Agreement for the purchase of used inventory are limited to $150.0 million. We may terminate the Floor Plan Credit Agreement at any time, although if we do so we must pay a prepayment processing fee equal to: (i) 1.0% of the aggregate revolving loan commitments if such termination occurs prior to July 1, 2018; or (ii) $500,000 if such termination occurs after July 1, 2018 and prior to June 30, 2019, subject to specified limited exceptions. On December 31, 2017, we had approximately $656.1 million outstanding under the Floor Plan Credit Agreement. The average daily outstanding borrowings under the Floor Plan Credit Agreement were $558.4 million during the year ended December 31, 2017. Periodically,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7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however, the prime rate is defined to be a minimum of 3.75%. As of December 31, 2017, the interest rate on the wholesale financing agreement was 5.25% before considering the applicable incentives. As of December 31, 2017, we had an outstanding balance of approximately $82.0 million under the Ford Motor Credit Company wholesale financing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manufacturers we represent provide retail purchasers of their products with a limited warranty against defects in materials and workmanship, excluding certain specified components that are separately warranted by the suppliers of such components. We provide a warranty on our proprietary line of parts and related service. We also provide an extended warranty beyond the manufacturer’s warranty on new Blue Bird school buses that we sell in the State of Texas, as required by state law.</w:t>
      </w:r>
    </w:p>
    <w:p>
      <w:pPr>
        <w:spacing w:after="0" w:line="1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generally sell used commercial vehicles in “as is” condition without a manufacturer’s warranty, although manufacturers sometimes will provide a limited warranty on their used products if such products have been properly reconditioned prior to resale or if the manufacturer’s warranty on such product is transferable and has not expired. We do not provide any warranty on used commercial vehicles.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trademarks and trade names of the manufacturers we represent,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following names used in this document: “Rush Enterprises,” “Rush Truck Center” and “Momentum Fuel Technologies.”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31, 2017, we had 6,825 employees.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entered into collective bargaining agreements covering certain employees in Joliet, Illinois, which will expire on May 5, 2018, Carol Stream, Illinois, which will expire on May 4, 2019 and Chicago, Illinois, which will expire on May 8, 2021.</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strikes, work stoppages or slowdowns during the negotiations of the foregoing collective bargaining agreements or at any time in the Company’s history, although no assurances can be given that such actions will not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Aftermarket Products and Services operations historically have experienced higher sales volumes in the second and third quarters.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December 31, 2017, our backlog of commercial vehicle orders was approximately $1,074.4 million, compared to a backlog of commercial vehicle orders of approximately $830.3 million on December 31, 2016.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December 31, 2017, and we expect to fill the majority of our backlog orders during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Standards and Other Governmental Regulations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body shop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model years 2021 through 2027. We do not believe that these rules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 investment in our common stock is subject to certain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adversely affected. If this were to happen, the value of our common stock could decline significantly, and you could lose all or part of your investment. This report is qualified in its entirety by these risk factors.</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upon PACCAR for the supply of Peterbilt trucks and parts, the sale of which generates the majority of our revenues.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At certain Rush Truck Centers, we operate as a dealer of Peterbilt trucks and parts pursuant to dealership agreements with Peterbilt, a division of PACCAR. We have no control over the management or operation of Peterbilt or PACCAR. During 2017, the majority of our revenues resulted from sales of trucks purchased from Peterbilt and parts purchased from PACCAR Parts. Due to our dependence on PACCAR and Peterbilt, we believe that our long-term success depends, in large part, on the following:</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dealership agreements with Peterbilt;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manufacture and delivery of competitively-priced, high quality Peterbilt trucks in quantities sufficient to meet our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overall success of PACCAR and Peterbilt;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PACCAR’s continuation of its Peterbilt division;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maintenance of goodwill associated with the Peterbilt brand, which can be adversely affected by decisions made by PACCAR, Peterbilt and the owners of other Peterbilt dealerships.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negative change in any of the preceding, or a change in control of PACCAR, could have a material adverse effect on our operations, revenues and profitability.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are dependent upon Navistar for the supply of International trucks and parts and IC buses and parts, the sale of which generate a significant portion of our revenues.</w:t>
      </w:r>
    </w:p>
    <w:p>
      <w:pPr>
        <w:spacing w:after="0" w:line="170"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At certain Rush Truck Centers, we operate as a dealer of International trucks and parts and IC buses and parts pursuant to dealership agreements with International and IC Bus, each of which are divisions of Navistar. We have no control over the management or operation of International, IC Bus or Navistar. During 2017, a significant portion of our revenues resulted from sales of trucks purchased from International, buses purchased from IC Bus and parts purchased from Navistar. Due to our dependence on Navistar, International and IC Bus, we believe that our long-term success depends, in large part, on the following:</w:t>
      </w:r>
    </w:p>
    <w:p>
      <w:pPr>
        <w:spacing w:after="0" w:line="18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dealership agreements with International and IC Bus;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manufacture and delivery of competitively-priced, high quality International trucks and IC buses in quantities sufficient to meet our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overall success of Navistar;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maintenance of goodwill associated with the International and IC Bus brands, which can be adversely affected by decisions made by Navistar and the owners of other International and IC Bus dealerships.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negative change in any of the preceding, or a change in control of Navistar, could have a material adverse effect on our operations, revenues and profitability.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dealership agreements may be terminable upon a change of control and we cannot control whether our controlling shareholder and management maintain their current ownership positions.</w:t>
      </w:r>
    </w:p>
    <w:p>
      <w:pPr>
        <w:spacing w:after="0" w:line="170"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7"/>
          <w:szCs w:val="17"/>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the following constitute a change of control: (i) with respect to the election of directors, the aggregate voting power held by W. Marvin Rush, W. M. “Rusty” Rush, Barbara Rush, Robin M. Rush, David C. Orf, James Thor, Martin A. Naegelin, Scott Anderson, Derrek Weaver, Steven Keller, Corey Lowe and Rich Ryan (collectively, the “Dealer Principals”) decreases below 22% (such persons controlled 36.8% of the aggregate voting power with respect to the election of directors as of December 31, 2017); or (ii) any person or entity other than the Dealer Principals and their respective associates, or any person or entity who has been approved in writing by PACCAR, owns common stock with a greater percentage of the voting power with respect to the election of our directors than the Dealer Principals and their respective associates, in the aggregate, or any person other than W. Marvin Rush, W. M. “Rusty” Rush, Robin M. Rush or any person who has been approved in writing by PACCAR holds the office of Chairman of the Board, President or Chief Executive Officer of the Company. We have no control over the transfer or disposition by W. Marvin Rush, W.M. “Rusty” Rush, or by either of their estates, of their common stock. If W. Marvin Rush or W.M. “Rusty” Rush were to sell their Class B Common Stock or bequest their Class B Common Stock to a person or entity other than the Dealer Principles, or if their estates are required to liquidate their Class B Common Stock that they own directly or indirectly, to pay estate taxes or otherwise, the change of control provisions of the Peterbilt dealership agreements may be triggered, which would give Peterbilt the right to terminate our dealership agreements. If our dealership agreements with Peterbilt are terminated, we will lose the right to purchase Peterbilt products and operate as an authorized Peterbilt dealer, which would have a material adverse effect on our operations, revenues and profitability.</w:t>
      </w:r>
    </w:p>
    <w:p>
      <w:pPr>
        <w:sectPr>
          <w:pgSz w:w="11900" w:h="16838" w:orient="portrait"/>
          <w:cols w:equalWidth="0" w:num="1">
            <w:col w:w="11080"/>
          </w:cols>
          <w:pgMar w:left="240" w:top="118" w:right="579" w:bottom="1440" w:gutter="0" w:footer="0" w:header="0"/>
        </w:sectPr>
      </w:pPr>
    </w:p>
    <w:p>
      <w:pPr>
        <w:spacing w:after="0" w:line="18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118" w:right="57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dealership agreements are non-exclusive and have relatively short terms which could result in nonrenewal or imposition of less favorable terms upon renewal.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dealership agreements generally do not provide us with exclusive dealerships in any of the areas of responsibility assigned in each dealer agreement. The manufacturers we represent could elect to create additional dealers in our areas of responsibility in the future, subject to restrictions imposed by state laws. While dealership agreements typically restrict dealers from operating franchised sales or service facilities outside their areas of responsibility, such agreements do not restrict sales or marketing activity outside the areas of responsibility. Accordingly, we engage in sales and other marketing activities outside our assigned areas of responsibility and other dealers engage in similar activities within our areas of responsibility.</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dealership agreements with the manufacturers we represent have current terms expiring between March 2018 and May 2023. Upon expiration of each agreement, we must negotiate a renewal. Management expects that, consistent with in some cases decades of past practice, each of our dealership agreements will be renewed or otherwise extended before its termination date, provided that we do not breach any of the material terms of such agreement.</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Management attempts to mitigate the risk that any manufacturer would not renew a dealership agreement by providing superior representation of each brand that we represent in each of our areas of responsibility. We deliver superior representation to our manufacturers by continuously investing substantial capital into our dealership locations, marketing and personnel. Senior members of our management team also communicate with management of the manufacturers that we represent on a regular basis, which we believe allows us to identify any potentially problematic issues as early as possible so that we can begin working on solutions that are mutually agreeable. In addition to the proactive steps that management takes, the risks that our dealership agreements will not be renewed are also mitigated by dealer protection laws that exist in each of the states that our dealerships are located. Many of these state dealer franchise laws restrict manufacturers’ ability to refuse to renew dealership agreements or to impose new terms upon renewal. However, to the extent such laws did allow for nonrenewal or the imposition of new terms, the relatively short terms would give manufacturers the opportunity to exercise such rights. Any nonrenewal or imposition of less favorable terms upon renewal could have an adverse impact on our business and in the case of the Peterbilt or Navistar dealership agreements, would have an adverse impact on our business.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state dealer laws are repealed or weakened, our dealerships will be more susceptible to termination, nonrenewal or renegotiation of their dealership agreements.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on our vehicle dealership agreements for a substantial portion of our revenues and profitability. State dealer laws generally provide that a manufacturer may not terminate or refuse to renew a dealership agreement unless it has first provided the dealer with written notice setting forth good cause and stating the grounds for termination or nonrenewal. Vehicle manufacturers’ lobbying efforts may lead to the repeal or revision of state motor vehicle dealer laws. If motor vehicle dealer laws are repealed or amended in the states in which we operate dealerships, the manufacturers we represent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 our vehicle dealership agreements. Termination or nonrenewal of our vehicle dealership agreements would have a material adverse effect on our operations, revenues and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required to obtain additional financing to maintain adequate inventory levels.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requires new and used commercial vehicle inventories held for sale to be maintained at dealer locations in order to facilitate immediate sales to customers on demand. We generally purchase new and used commercial vehicle inventories with the assistance of floor plan financing agreements. Our primary floor plan financing agreement, the Floor Plan Credit Agreement, expires on June 30, 2019 and may be terminated without cause upon 120 days’ notice.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on commercially reasonable terms.</w:t>
      </w:r>
    </w:p>
    <w:p>
      <w:pPr>
        <w:spacing w:after="0" w:line="1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interest rates could have a material adverse effect on our profitability.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Floor Plan Credit Agreement and some of our other debt are subject to variable interest rates. Therefore, our interest expense would rise with any increase in interest rates. A rise in interest rates may also have the effect of depressing demand in the interest rate sensitive aspects of our business, particularly new and used commercial vehicle sales, because many of our customers finance such purchases. As a result, a rise in interest rates may have the effect of simultaneously increasing our costs and reducing our revenues, which could materially affect our business, financial condition and results of operations. See “Quantitative and Qualitative Disclosures about Market Risk” for a discussion regarding our interest rate sensitivity.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in the carrying value of goodwill and other indefinite-lived intangible assets could negatively affect our operating results.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 substantial amount of goodwill on our balance sheet as a result of acquisitions we have completed. Approximately 99% of this goodwill is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weak economic activity, adverse changes in the regulatory environment, any matters that impact the ability of the manufacturers we represent to provide us with commercial vehicles or parts, issues with our franchise rights, or other factors leading to reductions in expected long-term sales or profitability. Determination of the fair value of a reporting unit includes developing estimates that are highly subjective and incorporate calculations that are sensitive to minor changes in underlying assumptions. Changes in these assumptions or a change in the Company’s reportable segments could result in an impairment charge in the future, which could have a significant adverse impact on our reported earnings. See “Management’s Discussion and Analysis of Financial Condition and Results of Operations — Critical Accounting Policies and Estimates — Goodwill” for more information regarding the potential impact of changes in assumptions.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a number of economic risks.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New and used commercial vehicle retail sales tend to experience periods of decline when general economic conditions worsen. We may experience sustained periods of decreased commercial vehicle sales in the future. Any decline or change of this type could materially affect our business, financial condition and results of operations. In addition, adverse regional economic and competitive conditions in the geographic markets in which we operate could materially adversely affect our business, financial condition and results of operations. Our new commercial vehicle sales volume therefore may differ from industry sales fluctuations.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Economic conditions and the other factors described above also may materially adversely impact our sales of parts and repair services, and finance and insurance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lose key personnel or are unable to attract additional qualified personnel, our business could be adversely affected because we rely on the industry knowledge and relationships of our key personnel.</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that our success depends significantly upon the efforts and abilities of our executive management and key employees. Additionally, our business is dependent upon our ability to continue to attract and retain qualified personnel, such as executive officers, managers and dealership personnel. The loss of the services of one or more members of our senior management team could have a material adverse effect on us and materially impair the efficiency and productivity of our operations. In addition, the loss of any of our key employees or the failure to attract additional qualified executive officers, managers and dealership personnel could have a material adverse effect on our business and may materially impact the ability of our dealerships to conduct their operations in accordance with our business strategy.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depend on relationships with the manufacturers we represent and component suppliers for sales incentives, discounts and similar programs which are material to our operations.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depend on the manufacturers we represent and component suppliers for sales incentives, discounts, warranties and other programs that are intended to promote the sales of their commercial vehicles or our use of their components in the vehicles we sell. Most of the incentives and discounts are individually negotiated and not always the same as those made available to commercial vehicle manufacturers or our competitors. These incentives and discounts are material to our operations. A reduction or discontinuation of a commercial vehicle manufacturer’s or component supplier’s incentive program could have a material adverse effect on our profitability.</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dependent on the ongoing success of the manufacturers we represent and adverse conditions affecting the manufacturers we represent may negatively impact our revenues and profitability.</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each of our dealerships is dependent on the manufacturers represented at each dealership. Our ability to sell new vehicles that satisfy our customers’ demands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our customer. We generally have significant receivables from vehicle manufacturers and component suppliers for warranty and service work performed for our customers. In addition, we rely on vehicle manufacturers and component suppliers to varying extents for product training, marketing materials, and other items for our stores. Our business, results of operations, and financial condition could be materially adversely affected as a result of any event that has a material adverse effect on the vehicle manufacturers or component suppliers we represent.</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manufacturers we represent may be adversely impacted by economic downturns, significant declines in the sales of their new vehicles,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Actions taken in response to continued operational losses by manufacturers we represent, including bankruptcy or reorganizations, could have a material adverse effect on our sales volumes and profitability. In addition, such actions could lead to the impairment of one or more of our franchise rights, inventories, fixed assets and other related assets, which in turn could have a material adverse effect on our financial condition and results of operations. For example, General Motors made the decision to terminate its medium-duty GMC truck production and wind-down our medium-duty GMC truck franchises in 2009, which forced us to take a significant pre-tax asset impairment charge.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dollar amount of our backlog, as stated at any given time, is not necessarily indicative of our future earnings.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December 31, 2017, our backlog of new commercial vehicle orders was approximately $1,074.4 million. Our backlog is determined quarterly by multiplying the number of new commercial vehicles for each particular type of commercial vehicle ordered by a customer at our Rush Truck Centers by the recent average selling price for that type of commercial vehicle. We only include confirmed orders in our backlog. However, such orders are subject to cancellation. In the event of order cancellation, we have no contractual right to the total revenues reflected in our backlog.</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Reductions in backlog due to cancellation by a customer or for other reasons will adversely affect, potentially to a material extent, the revenue and profit we actually receive from orders projected in our backlog. If we were to experience significant cancellations of orders in our backlog, our financial condition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growth strategies may be unsuccessful if we are unable to successfully execute our strategic initiatives or identify and complete future acquisitions.</w:t>
      </w:r>
    </w:p>
    <w:p>
      <w:pPr>
        <w:spacing w:after="0" w:line="2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Over the past few years, we have spent significant resources and efforts attempting to grow and enhance our Aftermarket Products and Services business and increase profitability through new business process management initiatives. These efforts require timely and continued investment in technology, facilities, personnel and financial and management systems and controls. We may not be successful in implementing all of the processes that are necessary to support any of our growth initiatives, which could result in our expenses increasing disproportionately to our incremental revenues, causing our operating margins and profitability to be adversely affected.</w:t>
      </w:r>
    </w:p>
    <w:p>
      <w:pPr>
        <w:spacing w:after="0" w:line="17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Historically, we have achieved a significant portion of our growth through acquisitions and we will continue to consider potential acquisitions on a selective basis. There can be no assurance that we will be able to identify suitable acquisition opportunities in the future or that we will be able to consummate any such transactions on terms and conditions acceptable to us. Moreover, there can be no assurance that we will obtain manufacturers’ consents to acquisitions of additional franchises.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dealerships are subject to federal, state and local environmental regulations that may result in claims and liabilities, which could be material.</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subject to the following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spacing w:after="0" w:line="1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also have liability in connection with materials that were sent to third party recycling, treatment, or disposal facilities under federal and state statutes. Applicable laws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 environmental laws and regulations are complex and subject to change.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to our information technology systems and breaches in data security could adversely affect our business.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rely upon our information technology systems to manage all aspects of our business, including processing and recording sales to, and payments from, customers, managing inventory, communicating with manufacturers and vendors and financial reporting. Any inability to manage these systems, including with respect to matters related to system and data security, privacy, reliability, compliance, performance and access, as well as any inability of these systems to fulfill their intended purpose within our business, could have an adverse effect on our business. In addition, in the ordinary course of business, we collect and store sensitive data and information, including our proprietary business information and that of our customers, suppliers and business partners, as well as personally identifiable information about our employees. Despite the security measures we have in place, our facilities and systems, and those of our third-party service providers, could be vulnerable to security breaches, computer viruses, lost or misplaced data, programming errors, human errors, acts of vandalism or other events. Any security breach or event resulting in the misappropriation, loss, or other unauthorized disclosure of confidential information, whether by us directly or our third-party service providers, could adversely affect our business operations, sales, reputation with current and potential customers, associates or vendors and result in litigation or regulatory actions, all of which could have a material adverse effect on our business and reputation.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disasters and adverse weather events can disrupt our business.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Some of our dealerships are located in regions of the United States where natural disasters and severe weather events (such as hurricanes, earthquakes, fires, floods, tornadoes and hail storms) may disrupt our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we have substantial insurance to cover this risk, we may be exposed to uninsured or underinsured losses that could have a material adverse effect on our business, financial condition, results of operations or cash flows.</w:t>
      </w:r>
    </w:p>
    <w:p>
      <w:pPr>
        <w:spacing w:after="0" w:line="17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controlled by two shareholders and their affiliates.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Collectively, W. Marvin Rush and W. M. “Rusty” Rush and their affiliates own approximately 0.6% of our issued and outstanding shares of Class A Common Stock and 43.5% of our issued and outstanding Class B Common Stock. W. Marvin Rush and W.M. “Rusty” Rush collectively control approximately 35.0% of the aggregate voting power of our outstanding shares and voting power which is substantially more than any other person or group. The interests of W. Marvin Rush and W.M. “Rusty” Rush may not be consistent with the interests of all shareholders, or each other. As a result of such ownership, W. Marvin Rush and W.M. “Rusty” Rush have the power to effectively control the Company, including the election of directors, the determination of matters requiring shareholder approval and other matters pertaining to corporate governance.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dealership agreements could discourage another company from acquiring us.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dealership agreements with Peterbilt impose ownership requirements on certain officers of the Company. All of our dealership agreements include restrictions on the sale or transfer of the underlying franchises. These ownership requirements and restrictions may prevent or deter prospective acquirers from acquiring control of us and, therefore, may adversely impact the value of our common stock.</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W. Marvin Rush and W.M. “Rusty” Rush have granted Peterbilt a right of first refusal to purchase their respective shares of common stock in the event that they desire to transfer in excess of 100,000 shares in any 12-month period to any person other than an immediate family member, an associate or another Dealer Principal. However, in the case of W. Marvin Rush, certain shares of his Class B Common Stock of the Company are exempt from his rights of first refusal agreement. These rights of first refusal, the number of shares owned by W. Marvin Rush and W.M. “Rusty” Rush and their affiliates, the requirement in our dealership agreements that the Dealer Principals retain a controlling interest in us, the restrictions on the sale or transfer of our franchises contained in our dealer agreements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Actions by our shareholders or prospective shareholders that would violate any of the above restrictions on our dealership agreements are generally outside of our control. If we are unable to renegotiate these restrictions, we may be forced to terminate or sell one or more of our dealerships, which could have a material adverse effect on us. These restrictions may also inhibit our ability to raise required capital or to issue our stock as consideration for future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has limited voting power.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Our Class B Common Stock has a low average daily trading volume. As a result, sales of our Class B Common Stock could cause the market price of our Class B Common Stock to drop, and it may be difficult for a stockholder to liquidate its position in our Class B Common Stock quickly without adversely affecting the market price of such shares.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market price of our Class B Common Stock has historically been lower than the market price of our Class A Common Stock. The volume of trading in our Class B Common Stock varies greatly and may often be light. As of December 31, 2017, the three-month average daily trading volume of our Class B Common Stock was approximately 12,900 shares, with several days having a trading volume below 5,000 shares. If any large shareholder were to begin selling shares in the market,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spacing w:after="0" w:line="1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corporate headquarters are located in New Braunfels, Texas. As of December 2017, we also own or lease numerous facilities used in our operations in the following states: Alabama, Arizona, California, Colorado, Florida, Georgia, Idaho, Illinois, Indiana, Kansas, Kentucky, Missouri, New Mexico, Nebraska, Nevada, North Carolina, Ohio, Oklahoma, Pennsylvania, Tennessee, Texas, Utah and Virginia.</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 hangar in New Braunfels, Texas for the corporate aircraft. We also own and operate a guest ranch of approximately 9,500 acres near Cotulla, Texas, which is used for client development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trades on The NASDAQ Global Select Market</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under the symbols RUSHA and RUSHB.</w:t>
      </w:r>
    </w:p>
    <w:p>
      <w:pPr>
        <w:spacing w:after="0" w:line="124"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The following table sets forth the high and low sales prices for the Class A Common Stock and Class B Common Stock for the fiscal periods indicated and as quoted on The NASDAQ Global Select Market</w:t>
      </w:r>
      <w:r>
        <w:rPr>
          <w:rFonts w:ascii="Arial" w:cs="Arial" w:eastAsia="Arial" w:hAnsi="Arial"/>
          <w:sz w:val="30"/>
          <w:szCs w:val="30"/>
          <w:color w:val="auto"/>
          <w:vertAlign w:val="superscript"/>
        </w:rPr>
        <w:t>SM</w:t>
      </w:r>
      <w:r>
        <w:rPr>
          <w:rFonts w:ascii="Arial" w:cs="Arial" w:eastAsia="Arial" w:hAnsi="Arial"/>
          <w:sz w:val="18"/>
          <w:szCs w:val="18"/>
          <w:color w:val="auto"/>
        </w:rPr>
        <w:t>.</w:t>
      </w:r>
    </w:p>
    <w:p>
      <w:pPr>
        <w:spacing w:after="0" w:line="4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2016</w:t>
            </w: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Class A Common Stock</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Low</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Low</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Second Quarter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Fourth Quarter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Class B Common Stock</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First Quarter</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33.32</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28.99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22.08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Third Quarter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February 12, 2018, there were approximately 23 record holders of Class A Common Stock and approximately 30 record holders of Class B Common Stock.</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We did not pay dividends during the fiscal year ended December 31, 2017, or the fiscal year ended December 31, 2016. Our Board of Directors intends to retain any earnings to support operations, repurchase shares of our common stock and to finance strategic initiatives. Any future determination as to the payment of dividends will be at the discretion of our Board of Directors and will depend on our financial condition, results of operations, capital requirements and such other factors as the Board of Directors deems relevant.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we have not sold any securities in the last three years that were not registered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repurchase activity for the fourth quarter of 2017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Part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Price Paid</w:t>
            </w:r>
          </w:p>
        </w:tc>
        <w:tc>
          <w:tcPr>
            <w:tcW w:w="26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Publicly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c>
          <w:tcPr>
            <w:tcW w:w="1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Per Share</w:t>
            </w:r>
          </w:p>
        </w:tc>
        <w:tc>
          <w:tcPr>
            <w:tcW w:w="26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(1)(2)(3)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or Programs (3)</w:t>
            </w:r>
          </w:p>
        </w:tc>
        <w:tc>
          <w:tcPr>
            <w:tcW w:w="100" w:type="dxa"/>
            <w:vAlign w:val="bottom"/>
          </w:tcPr>
          <w:p>
            <w:pPr>
              <w:spacing w:after="0"/>
              <w:rPr>
                <w:sz w:val="20"/>
                <w:szCs w:val="20"/>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October 1</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October 31, 2017</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30,765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7,747,329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7"/>
              </w:rPr>
              <w:t>November 1</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November 30, 2017</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59,930</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46.91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59,930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4,934,255</w:t>
            </w:r>
          </w:p>
        </w:tc>
      </w:tr>
      <w:tr>
        <w:trPr>
          <w:trHeight w:val="216"/>
        </w:trPr>
        <w:tc>
          <w:tcPr>
            <w:tcW w:w="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December 1</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December 31, 2017</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37,627,810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37,627,810</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left="660" w:right="100" w:hanging="652"/>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represent Class B Common Stock repurchased by the Company.</w:t>
      </w:r>
    </w:p>
    <w:p>
      <w:pPr>
        <w:spacing w:after="0" w:line="9" w:lineRule="exact"/>
        <w:rPr>
          <w:rFonts w:ascii="Arial" w:cs="Arial" w:eastAsia="Arial" w:hAnsi="Arial"/>
          <w:sz w:val="18"/>
          <w:szCs w:val="18"/>
          <w:color w:val="auto"/>
        </w:rPr>
      </w:pPr>
    </w:p>
    <w:p>
      <w:pPr>
        <w:jc w:val="both"/>
        <w:ind w:left="660" w:right="80" w:hanging="652"/>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repurchased shares under a stock repurchase program announced on November 30, 2016, which authorized the repurchase of up to $40.0 million of its shares of Class A Common Stock and/or Class B Common Stock. The Company repurchased $35.1 million of its shares of Class B Common Stock under this stock repurchase program prior to its expiration on November 30, 2017. The Company announced a new $40.0 million stock program on November 30, 2017, which authorizes the repurchase of up to $40.0 million of its shares of Class A Common Stock and/or Class B Common Stock and will expire on November 29, 2018.</w:t>
      </w:r>
    </w:p>
    <w:p>
      <w:pPr>
        <w:spacing w:after="0" w:line="1" w:lineRule="exact"/>
        <w:rPr>
          <w:rFonts w:ascii="Arial" w:cs="Arial" w:eastAsia="Arial" w:hAnsi="Arial"/>
          <w:sz w:val="17"/>
          <w:szCs w:val="17"/>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30,765 shares of Class B Common Stock at an average price paid per share of $45.01.</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59,930 shares of Class B Common Stock at an average price paid per share of $46.91.</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49,947 shares of Class B Common Stock at an average price paid per share of $47.46.</w:t>
      </w:r>
    </w:p>
    <w:p>
      <w:pPr>
        <w:spacing w:after="0" w:line="21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Information regarding the Company’s equity compensation plans is incorporated by reference from Item 12, “Security Ownership of Certain Beneficial Owners and Management and Related Shareholder Matters,” of this annual report on Form 10-K, and should be considered an integral part of this Item 5.</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graph shows the cumulative 5-Year total return as of December 31, 2017, of a $100 investment in the Company’s common stock made on December 31, 2012 (with dividends reinvested), as compared with similar investments based on (i) the cumulative total returns of the S&amp;P 500 Index (with dividends reinvested) and (ii) the cumulative total returns of a market-weighted Peer Group Index composed of the common stock of PACCAR, Inc., Werner Enterprises, Inc., Penske Automotive Group, Inc. and Lithia Motors, Inc., assuming reinvestment of dividends. The market-weighted Peer Group Index values were calculated from the beginning of the performance period. The historical stock price performance shown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268605</wp:posOffset>
            </wp:positionV>
            <wp:extent cx="4802505" cy="254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02505"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December 31,</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2014</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Rush Enterprises, Inc.</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145.32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158.66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S&amp;P 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132.39</w:t>
            </w:r>
          </w:p>
        </w:tc>
        <w:tc>
          <w:tcPr>
            <w:tcW w:w="300" w:type="dxa"/>
            <w:vAlign w:val="bottom"/>
          </w:tcPr>
          <w:p>
            <w:pPr>
              <w:spacing w:after="0"/>
              <w:rPr>
                <w:sz w:val="18"/>
                <w:szCs w:val="18"/>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150.51</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152.59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170.84</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138.70</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162.83</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166.07</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or the Exchange Act.</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right="360" w:firstLine="648"/>
        <w:spacing w:after="0" w:line="255" w:lineRule="auto"/>
        <w:rPr>
          <w:sz w:val="20"/>
          <w:szCs w:val="20"/>
          <w:color w:val="auto"/>
        </w:rPr>
      </w:pPr>
      <w:r>
        <w:rPr>
          <w:rFonts w:ascii="Arial" w:cs="Arial" w:eastAsia="Arial" w:hAnsi="Arial"/>
          <w:sz w:val="18"/>
          <w:szCs w:val="18"/>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our future financial position or results of operations due primarily to acquisitions and discontinued operations which occurred during the periods presented. See Note 15 to the Company’s Consolidated Financial Statements for a discussion of such acquisitions. The selected financial data presented below should be read in conjunction with our other financial information included elsewhere herein.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9"/>
          </w:tcPr>
          <w:p>
            <w:pPr>
              <w:jc w:val="right"/>
              <w:ind w:right="480"/>
              <w:spacing w:after="0"/>
              <w:rPr>
                <w:sz w:val="20"/>
                <w:szCs w:val="20"/>
                <w:color w:val="auto"/>
              </w:rPr>
            </w:pPr>
            <w:r>
              <w:rPr>
                <w:rFonts w:ascii="Arial" w:cs="Arial" w:eastAsia="Arial" w:hAnsi="Arial"/>
                <w:sz w:val="18"/>
                <w:szCs w:val="18"/>
                <w:b w:val="1"/>
                <w:bCs w:val="1"/>
                <w:color w:val="auto"/>
                <w:w w:val="90"/>
              </w:rPr>
              <w:t>(in thousands, except per share amounts)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INCOME STATEMENT DATA</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2,993,015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2,640,019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3,360,808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3,195,873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1,471,266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1,332,356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1,382,447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1,315,694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988,317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217,356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199,867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Finance and insurance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17,988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21,150</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19,988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15,461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4,713,882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4,214,614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4,979,733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4,727,356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3,384,705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3,883,946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3,496,602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4,194,786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3,971,310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2,812,691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829,936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718,012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784,947</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756,046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631,053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587,778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619,268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573,670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50,069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51,261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43,859</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40,786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assets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148,709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80,728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121,276</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141,741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13,473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136,399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66,449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107,803</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130,543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41,750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172,129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40,582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66,053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79,957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Earnings per common share - Basic:</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 Diluted:</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40,271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40,980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40,603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41,093</w:t>
            </w: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40,894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40,506</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94"/>
              </w:rPr>
              <w:t>Year Ended December 31,</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70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Unit vehicle sales −</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vehicles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25,696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23,627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29,780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19,931</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Used vehicles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7,060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7,008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7,922</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7,893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6,405</w:t>
            </w:r>
          </w:p>
        </w:tc>
      </w:tr>
      <w:tr>
        <w:trPr>
          <w:trHeight w:val="20"/>
        </w:trPr>
        <w:tc>
          <w:tcPr>
            <w:tcW w:w="4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unit vehicles sales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32,756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30,635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37,702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35,352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26,336</w:t>
            </w: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rPr>
              <w:t>Truck lease and rental units (including units under contract</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maintenance and crane units)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9,182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9,074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9,145</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8,073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6,315</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Working capital</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202,891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118,318</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79,549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152,517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1,033,294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840,304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1,061,198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1,024,104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 assets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2,890,139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2,603,047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2,852,008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2,675,875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2,151,521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778,561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646,945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854,758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845,977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611,528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604,003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647,755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578,254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Capital lease obligations, including current portion</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83,141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84,493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83,765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57,250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1,040,373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862,825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844,897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764,339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665,381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340" w:firstLine="648"/>
        <w:spacing w:after="0" w:line="273" w:lineRule="auto"/>
        <w:rPr>
          <w:sz w:val="20"/>
          <w:szCs w:val="20"/>
          <w:color w:val="auto"/>
        </w:rPr>
      </w:pPr>
      <w:r>
        <w:rPr>
          <w:rFonts w:ascii="Arial" w:cs="Arial" w:eastAsia="Arial" w:hAnsi="Arial"/>
          <w:sz w:val="17"/>
          <w:szCs w:val="17"/>
          <w:color w:val="auto"/>
        </w:rPr>
        <w:t>We are a full-service, integrated retailer of commercial vehicles and related services. We operate one segment - the Truck Segment. The Truck Segment operates a network of commercial vehicle dealerships primarily under the name “Rush Truck Centers.” Most Rush Truck Centers are a franchised dealer for commercial vehicles manufactured by Peterbilt, International, Hino, Ford, Isuzu, Mitsubishi Fuso, IC Bus or Blue Bird. Through our strategically located network of Rush Truck Centers, we provide one-stop service for the needs of our commercial vehicle customers. We offer an integrated approach to meeting customer needs by providing service, parts and collision repair in addition to new and used commercial vehicle sales and leasing, insurance and financial services, vehicle upfitting, CNG fuel systems and vehicle telematics products.</w:t>
      </w:r>
    </w:p>
    <w:p>
      <w:pPr>
        <w:spacing w:after="0" w:line="178"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Our goal is to continue to serve as the premier service solutions provider to the end-users of commercial vehicles. Our strategic efforts to achieve this goal include continuously expanding our portfolio of Aftermarket Products and Services, broadening the diversity of our commercial vehicle product offerings and extending our network of Rush Truck Centers. Our commitment to provide innovative solutions to service our customers’ needs continues to drive our strong Aftermarket Products and Services revenues.</w:t>
      </w:r>
    </w:p>
    <w:p>
      <w:pPr>
        <w:spacing w:after="0" w:line="187" w:lineRule="exact"/>
        <w:rPr>
          <w:sz w:val="20"/>
          <w:szCs w:val="20"/>
          <w:color w:val="auto"/>
        </w:rPr>
      </w:pPr>
    </w:p>
    <w:p>
      <w:pPr>
        <w:jc w:val="both"/>
        <w:ind w:right="360" w:firstLine="648"/>
        <w:spacing w:after="0" w:line="257" w:lineRule="auto"/>
        <w:rPr>
          <w:sz w:val="20"/>
          <w:szCs w:val="20"/>
          <w:color w:val="auto"/>
        </w:rPr>
      </w:pPr>
      <w:r>
        <w:rPr>
          <w:rFonts w:ascii="Arial" w:cs="Arial" w:eastAsia="Arial" w:hAnsi="Arial"/>
          <w:sz w:val="18"/>
          <w:szCs w:val="18"/>
          <w:color w:val="auto"/>
        </w:rPr>
        <w:t>Our Aftermarket Products and Services include a wide range of capabilities and products such as providing parts, service and collision repair at certain of our Rush Truck Centers, a fleet of mobile service units, technicians who work in our customers’ facilities, a proprietary line of commercial vehicle parts and accessories, vehicle upfitting, a broad range of diagnostic and analysis capabilities, a suite of telematics products, factory-certified service for alternative fuel vehicles and assembly service for specialized bodies and equipment. Aftermarket Products and Services accounted for 64.7% of our total gross profits in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of operations for the year ended December 31, 2017 are summarized below as follows:</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gross revenues totaled $4,713.9 million in 2017, an 11.8% increase from gross revenues of $4,214.6 million in 2016.</w:t>
      </w:r>
    </w:p>
    <w:p>
      <w:pPr>
        <w:spacing w:after="0" w:line="252"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increased $111.9 million, or 15.6%, in 2017, compared to 2016. Gross profit as a percentage of sales increased to 17.6% in 2017, from 17.0% in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8 heavy-duty unit sales, which accounted for 6.6% of the total U.S. market, increased 21.0% in 2017 over 2016.</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2017 Class 4-7 medium-duty unit sales, which accounted for 4.5% of the total U.S. market, decreased 1.6% over 2016. Light-duty truck unit sales decreased 0.9% compared to 2016.</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Aftermarket Products and Services revenues were $1,471.3 million in 2017, compared to $1,332.4 million in 2016.</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Selling, General and Administrative expenses increased $43.3 million, or 7.4%, in 2017, compared to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Outlook</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According to A.C.T. Research Co., LLC (“A.C.T. Research”), a commercial vehicle industry data and forecasting service provider, U. S. Class 8 retail sales are estimated to total 247,000 units in 2018, a 25.2% increase compared to 197,226 units in 2017. We expect our market share of Class 8 commercial vehicle sales to range between 5.7% to 6.2% in 2018.</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According to A.C.T. Research, U. S. Class 4 through 7 retail sales are estimated to total 244,750 units in 2018, up 1.1% over 2017. We believe our Class 4 through 7 commercial vehicle sales will remain stable through 2018.</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continue to make progress on strategic initiatives to increase our Aftermarket Products and Services revenue. We believe our Aftermarket Products and Services revenue will increase 9% to 10% in 2018, compared to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i w:val="1"/>
          <w:iCs w:val="1"/>
          <w:color w:val="auto"/>
        </w:rPr>
        <w:t xml:space="preserve">Absorption Ratio. </w:t>
      </w:r>
      <w:r>
        <w:rPr>
          <w:rFonts w:ascii="Arial" w:cs="Arial" w:eastAsia="Arial" w:hAnsi="Arial"/>
          <w:sz w:val="18"/>
          <w:szCs w:val="18"/>
          <w:color w:val="auto"/>
        </w:rPr>
        <w:t>Management uses several performance metrics to evaluate the performance of our commercial vehicle dealerships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Rush Truck Centers’ “absorption ratio” to be of critical importance. Absorption ratio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121.0% absorption ratio for the year ended December 31, 2017 and 112.2% absorption ratio for the year ended December 31,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commercial vehicles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118" w:right="57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was tested for impairment during the fourth quarter of 2017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generally would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 xml:space="preserve">In March 2016, the Financial Accounting Standards Board (“FASB”) issued ASU No. 2016-09, </w:t>
      </w:r>
      <w:r>
        <w:rPr>
          <w:rFonts w:ascii="Arial" w:cs="Arial" w:eastAsia="Arial" w:hAnsi="Arial"/>
          <w:sz w:val="17"/>
          <w:szCs w:val="17"/>
          <w:i w:val="1"/>
          <w:iCs w:val="1"/>
          <w:color w:val="auto"/>
        </w:rPr>
        <w:t>“Improvements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Accounting (Topic 718),” </w:t>
      </w:r>
      <w:r>
        <w:rPr>
          <w:rFonts w:ascii="Arial" w:cs="Arial" w:eastAsia="Arial" w:hAnsi="Arial"/>
          <w:sz w:val="17"/>
          <w:szCs w:val="17"/>
          <w:color w:val="auto"/>
        </w:rPr>
        <w:t>which changed the accounting for certain aspects of share-based payments to employees. We adopted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on January 1, 2017. The new guidance requires excess tax benefits and tax deficiencies to be recorded in the income statement when the awards vest or are settled. We recorded excess tax benefits of $5.3 million in the year ended December 31, 2017, which was recorded in our Consolidated Statements of Income. In addition, cash flows related to excess tax benefits will no longer be separately classified as a financing activity apart from other income tax cash flows. The standard also allows us to repurchase more of an employee’s shares for tax withholding purposes without triggering liability accounting, clarifies that all cash payments made on an employee’s behalf for withheld shares should be presented as a financing activity on our cash flows statement, and provides an accounting policy election to account for forfeitures as they occur. We did not elect to make an accounting policy change to recognize forfeitures as they occur and will continue to estimate forfeitures. We adopted the amendments related to ASU 2016-09 prospectively and prior periods have not been adjusted.</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is intended to increase the transparency and comparability among organizations by recognizing lease assets and lease liabilities on the balance sheet and disclosing key information about leasing arrangements. In order to meet that objective, the new standard requires recognition of the assets and liabilities that arise from leases. A lessee will be required to recognize on the balance sheet the assets and liabilities for leases with lease terms of more than 12 months. The new standard is effective for public companies for fiscal years beginning after December 15, 2018, and interim periods within those years, with early adoption permitted. We will adopt ASU 2016-02 on January 1, 2019. We are in the process of evaluating the effect that adopting this standard will have on our financial statements and related disclosures. We currently expect that most of our operating lease commitments will be subject to the new standard and recognized as right-of-use assets and operating lease liabilities upon our adoption of ASU 2016-02, which will increase our total assets and total liabilities that we report relative to such amounts prior to adoption.</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which amended the accounting standards for revenue recognition. ASU 2014-09 is based on principles that govern the recognition of revenue at an amount an entity expects to be entitled to when products are transferred to customers. ASU 2014-09 will be effective for us beginning in our first quarter of 2018. The ASU provides two transition methods: (i) retrospectively to each prior reporting period presented; or (ii) modified retrospectively with the cumulative effect of initially applying this ASU recognized at the date of initial application. We adopted ASU 2014-09 on January 1, 2018 and will use the modified retrospective method.</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2016, we established a cross-functional team with representatives from our major revenue streams to review our current accounting policies and practices, assess the effect of the standard on our revenue contracts and identify potential differences. Our revenues are primarily generated from the sale of finished products to customers. Those sales predominantly contain a single delivery element and revenue for such sales is recognized when the customer obtains control of the finished product or service. The team has identified our material revenue streams to be the sale of new and used commercial vehicles; arrangement of associated commercial vehicle financing and insurance contracts; the performance of commercial vehicle repair services; and the sale of commercial vehicle parts. The implementation team evaluated the additional disclosure requirements of ASU 2014-09, as well as the adequacy of our underlying accounting and financial reporting systems and processes necessary to support the recognition and disclosure requirements. We do not expect the adoption of ASU 2014-09 to materially impact our consolidated financial statements.</w:t>
      </w:r>
    </w:p>
    <w:p>
      <w:pPr>
        <w:spacing w:after="0" w:line="16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discussion and analysis includes our historical results of operations for 2017, 2016 and 2015. The following table sets forth for the years indicated certain financial data as a percentage of total revenues:</w:t>
      </w:r>
    </w:p>
    <w:p>
      <w:pPr>
        <w:spacing w:after="0" w:line="166"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gridSpan w:val="2"/>
          </w:tcPr>
          <w:p>
            <w:pPr>
              <w:spacing w:after="0"/>
              <w:rPr>
                <w:sz w:val="18"/>
                <w:szCs w:val="18"/>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8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r>
              <w:rPr>
                <w:rFonts w:ascii="Arial" w:cs="Arial" w:eastAsia="Arial" w:hAnsi="Arial"/>
                <w:sz w:val="18"/>
                <w:szCs w:val="18"/>
                <w:b w:val="1"/>
                <w:bCs w:val="1"/>
                <w:color w:val="auto"/>
              </w:rPr>
              <w:t>%</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Aftermarket products and services sales</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31.2</w:t>
            </w: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31.6</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Finance and insurance</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revenues</w:t>
            </w:r>
          </w:p>
        </w:tc>
        <w:tc>
          <w:tcPr>
            <w:tcW w:w="10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Cost of products sold</w:t>
            </w:r>
          </w:p>
        </w:tc>
        <w:tc>
          <w:tcPr>
            <w:tcW w:w="10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82.4</w:t>
            </w: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83.0</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Interest expense, net</w:t>
            </w:r>
          </w:p>
        </w:tc>
        <w:tc>
          <w:tcPr>
            <w:tcW w:w="10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r>
              <w:rPr>
                <w:rFonts w:ascii="Arial" w:cs="Arial" w:eastAsia="Arial" w:hAnsi="Arial"/>
                <w:sz w:val="18"/>
                <w:szCs w:val="18"/>
                <w:b w:val="1"/>
                <w:bCs w:val="1"/>
                <w:color w:val="auto"/>
              </w:rPr>
              <w:t>%</w:t>
            </w: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ratio for the years indicated (revenue in millions):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8"/>
              </w:rPr>
              <w:t>% Change</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center"/>
              <w:ind w:left="310"/>
              <w:spacing w:after="0" w:line="191" w:lineRule="exact"/>
              <w:rPr>
                <w:sz w:val="20"/>
                <w:szCs w:val="20"/>
                <w:color w:val="auto"/>
              </w:rPr>
            </w:pPr>
            <w:r>
              <w:rPr>
                <w:rFonts w:ascii="Arial" w:cs="Arial" w:eastAsia="Arial" w:hAnsi="Arial"/>
                <w:sz w:val="18"/>
                <w:szCs w:val="18"/>
                <w:b w:val="1"/>
                <w:bCs w:val="1"/>
                <w:color w:val="auto"/>
                <w:w w:val="89"/>
              </w:rPr>
              <w:t>2017</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89"/>
              </w:rPr>
              <w:t>2016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center"/>
              <w:ind w:left="310"/>
              <w:spacing w:after="0"/>
              <w:rPr>
                <w:sz w:val="20"/>
                <w:szCs w:val="20"/>
                <w:color w:val="auto"/>
              </w:rPr>
            </w:pPr>
            <w:r>
              <w:rPr>
                <w:rFonts w:ascii="Arial" w:cs="Arial" w:eastAsia="Arial" w:hAnsi="Arial"/>
                <w:sz w:val="18"/>
                <w:szCs w:val="18"/>
                <w:b w:val="1"/>
                <w:bCs w:val="1"/>
                <w:color w:val="auto"/>
                <w:w w:val="79"/>
              </w:rPr>
              <w:t>vs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79"/>
              </w:rPr>
              <w:t>vs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8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89"/>
              </w:rPr>
              <w:t>2016</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New heavy-duty vehicles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13,083</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10,816</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16,874</w:t>
            </w:r>
          </w:p>
        </w:tc>
        <w:tc>
          <w:tcPr>
            <w:tcW w:w="8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10,952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11,135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11,241</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New light-duty vehicles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1,661</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1,676</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1,665</w:t>
            </w:r>
          </w:p>
        </w:tc>
        <w:tc>
          <w:tcPr>
            <w:tcW w:w="8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new vehicle unit sales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25,696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23,627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29,780</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Used vehicles sales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7,060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7,922</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New heavy-duty vehicles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1,817.3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1,455.8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2,133.2</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806.5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811.7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808.9</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New light-duty vehicles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64.0</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63.6</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60.2</w:t>
            </w:r>
          </w:p>
        </w:tc>
        <w:tc>
          <w:tcPr>
            <w:tcW w:w="8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new vehicle revenue</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2,687.8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2,331.1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3,002.3</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338.7</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Other vehicle revenue:(1)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-29.7%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Dealership absorption ratio:</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20" w:right="5260" w:hanging="4640"/>
        <w:spacing w:after="0" w:line="624" w:lineRule="auto"/>
        <w:tabs>
          <w:tab w:leader="none" w:pos="1276"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sales of truck bodies, trailers and other new equipment.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118" w:right="47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21"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28.3%</w:t>
            </w: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64.7</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67.0</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w:t>
            </w: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9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operate in the commercial vehicle market. There has historically been a high correlation between new product sales in the commercial vehicle market and the rate of change in U.S. industrial production and the U.S. gross domestic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Heavy-Duty Truck Market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U.S. retail heavy-duty truck market is affected by a number of factors, including general economic conditions, fuel prices, other methods of transportation, environmental and other government regulation, interest rate fluctuations and customer business cycles. Unit sales of new commercial vehicles have historically been subject to substantial cyclical variation based on general economic conditions. According to data published by A.C.T. Research, over the last 10 years, total U.S. retail sales of new Class 8 trucks have ranged from a low of approximately 97,000 in 2009 to a high of approximately 253,000 in 2015. Class 8 trucks are defined by the American Automobile Association as trucks with a minimum gross vehicle weight rating above 33,000 pounds.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Typically, Class 8 trucks are assembled by manufacturers utilizing certain components that may be manufactured by other companies, including engines, transmissions, axles, wheels and other components. As commercial vehicles and certain commercial vehicle components have become increasingly complex, the ability to provide service for commercial vehicles has become an increasingly competitive factor in the industry. The ability to provide such service requires a significant capital investment in diagnostic and other equipment, parts inventory and highly trained service personnel. EPA and DOT regulatory guidelines for service processes, including body shop, paint work and waste disposal, require sophisticated equipment to ensure compliance with environmental and safety standards. Differentiation between commercial vehicle dealers has become less dependent on price competition and is increasingly based on a dealer’s ability to offer a wide variety of services to their clients in a timely manner to minimize vehicle downtime. Such services include the following: efficient, conveniently located and easily accessible commercial vehicle service centers with an adequate supply of replacement parts; financing for commercial vehicle purchases; leasing and rental programs; and the ability to accept multiple unit trade-ins related to large fleet purchases. We believe our one-stop center concept and the size and geographic diversity of our dealership network gives us a competitive advantage in providing these services.</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A.C.T. Research currently estimates approximately 247,000 new Class 8 trucks will be sold in the United States in 2018, compared to approximately 197,226 new Class 8 trucks sold in 2017. A.C.T. Research currently forecasts sales of new Class 8 trucks in the U.S. to be approximately 228,000 in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Medium-Duty Truck Market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of our Rush Truck Centers sell medium-duty commercial vehicles manufactured by Peterbilt, International, Hino, Ford, Mitsubishi Fuso or Isuzu, and provide parts and service for medium-duty commercial vehicles. Medium-duty commercial vehicles are principally used in short-haul, local markets as delivery vehicles; they typically operate locally and generally do not leave their service areas overnight. We also sell light-duty vehicles (Class 3 and under) at several of our Ford dealerships.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A.C.T. Research currently forecasts sales of new Class 4 through 7 commercial vehicles in the U.S. to be approximately 244,750 in 2018, compared to 242,089 in 2017. A.C.T. Research currently forecasts sales of new Class 4 through 7 commercial vehicles in the U.S. to be approximately 251,650 in 2019.</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$497.2 million, or 11.8%, in 2017, compared to 2016.</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Aftermarket Products and Services revenues increased $138.9 million, or 10.4%, in 2017, compared to 2016. This increase was primarily due to strong general economic conditions, an increase in our heavy-duty truck sales, which generally require upfitting and other pre-delivery services, and an increase in the number of service technicians we employ. We expect our Aftermarket Products and Services revenues to increase 9% to 10% in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from sales of new and used commercial vehicles increased $353.0 million, or 13.4%, in 2017, compared to 2016.</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sold 13,083 heavy-duty trucks in 2017, a 21.0% increase compared to 10,816 heavy-duty trucks in 2016. Our heavy-duty new truck sales in 2017 increased due to strong growth in truck sales to customers in industries we support, including refuse, energy and construction. According to A.C.T. Research, U.S. Class 8 retail sales totaled 197,226 in 2017, an increase of approximately 0.2%, compared to 2016. Our share of the U.S. Class 8 commercial vehicle sales market increased to approximately 6.6% in 2017, from 5.5% in 2016. We expect our U.S. Class 8 commercial vehicle sales market share to range between 5.7% and 6.2% in 2018. This market share percentage would result in the sale of approximately 14,000 to 15,300 of Class 8 commercial vehicles in 2018, based on A.C.T. Research’s current U.S. retail sales estimate of 247,000 units.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sold 10,952 medium-duty commercial vehicles, including 1,004 buses, in 2017, a 1.6% decrease compared to 11,135 medium-duty commercial vehicles, including 1,132 buses, in 2016. According to A.C.T. Research, U.S. Class 4 through 7 retail sales totaled 242,089 in 2017, an increase of approximately 7.0%, compared to 2016. In 2017, we achieved a 4.5% share of the Class 4 through 7 market in the U.S. We expect our market share to range between 4.5% and 5.5% of the U.S. Class 4 through 7 commercial vehicle sales in 2018. This market share percentage would result in the sale of approximately 11,000 to 13,400 of Class 4 through 7 commercial vehicles in 2018, based on A.C.T. Research’s current U.S. retail sales estimates of 244,750 units.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1,661 light-duty vehicles in 2017, a 0.9% decrease compared to 1,676 light-duty vehicles in 2016. We expect to sell approximately 1,700 light-duty vehicles in 2018.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7,060 used commercial vehicles in 2017, a 0.7% increase compared to 7,008 used commercial vehicles in 2016. We expect to sell approximately 7,500 to 8,500 used commercial vehicles in 2018.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Commercial vehicle lease and rental revenues increased $9.2 million, or 4.4%, in 2017, compared to 2016. We expect lease and rental revenue to increase 5% to 10% during 2018, compared to 2017.</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Finance and insurance revenues decreased $0.6 million, or 3.2%, in 2017, compared to 2016. We expect finance and insurance revenue to fluctuate proportionately with our new and used commercial vehicle sales in 2018. Finance and insurance revenues have limited direct costs and, therefore, contribute a disproportionate share of our operating profits.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Other income decreased $1.2 million, or 8.0% in 2017, compared to 2016. Other income consists primarily of the gain on sale realized on trucks from the lease and rental fleet, document fees related to commercial vehicle sales and income from Central California Truck and Trailer Sales, LLC (“CCTTS”), our joint venture that operates non-franchised used commercial vehicle sales facilities in California and Arizona.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Gross profit increased $111.7 million, or 15.6%, in 2017, compared to 2016. Gross profit as a percentage of sales increased to 17.6% in 2017, from 17.0% in 2016. The increase in gross profit as a percentage of sales is a result of increased gross margins in our Aftermarket Products and Services business, commercial vehicle sales and truck lease and rental sales.</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Gross margins from our Aftermarket Products and Services operations increased to 36.5% in 2017, from 36.1% in 2016. Gross profit for Aftermarket Products and Services increased to $536.9 million in 2017, from $480.9 million in 2016. Historically, parts operations’ gross margins range from 27% to 28% and service and body shop operations range from 67% to 68%. Gross profits from parts sales represented 56.6% of total gross profit for Aftermarket Products and Services operations in 2017 and 55.8% in 2016. Service and body shop operations represented 43.4% of total gross profit for Aftermarket Products and Services operations in 2017 and 44.2% 2016. We expect blended gross margins on Aftermarket Products and Services operations to range from 36.0% to 36.5% in 2018.</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margins on Class 8 commercial vehicle sales increased to 7.8% in 2017, from 7.0% in 2016. This increase is attributable to the sales mix in 2017, which consisted of a lower percentage of sales to large fleet customers than in 2016. In 2018, we expect overall gross margins from Class 8 commercial vehicle sales of approximately 7.0% to 7.5%. We recorded a net charge to cost of sales of $8,500 to increase our new heavy-duty commercial vehicle valuation allowance in 2017, compared to $3.2 million in 2016.</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margins on medium-duty commercial vehicle sales remained flat at 6.0% in 2017, compared to 2016. For 2018, we expect overall gross margins from Class 4 through 7 commercial vehicle sales of approximately 5.7% to 6.2%, but this will largely depend upon the mix of purchasers and types of vehicles sold. We recorded a net charge to cost of sales of $1.9 million to increase our new medium-duty commercial vehicle valuation allowance in 2017, compared to $1.1 million in 2016.</w:t>
      </w:r>
    </w:p>
    <w:p>
      <w:pPr>
        <w:spacing w:after="0" w:line="187"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Gross margins on used commercial vehicle sales increased to 10.5% in 2017, from 8.1% in 2016. This increase is primarily related to the stabilization of used truck values in 2017. We expect margins on used commercial vehicles to range between 8.5% and 10.0% during 2018. We recorded a net charge to cost of sales of $3.8 million to increase our used commercial vehicle valuation allowance in 2017, compared to $5.1 million in 2016.</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Gross margins from commercial vehicle lease and rental sales increased to 15.8% in 2017, from 12.5% in 2016. This increase is primarily related to increased rental fleet utilization and improvement in the performance of our full service leases. We expect gross margins from lease and rental sales of approximately 16.0% to 17.5% during 2018. Our policy is to depreciate our lease and rental fleet using a straight 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Selling, General and Administrative (“SG&amp;A”) expenses increased $43.3 million, or 7.4%, in 2017, compared to 2016. SG&amp;A expenses as a percentage of total revenues decreased to 13.4% in 2017, from 14.0% in 2016. SG&amp;A expenses as a percentage of total revenues have recently ranged from 12.1% to 14.7%. In general, when new and used commercial vehicle revenues decrease as a percentage of total revenues, SG&amp;A expenses as a percentage of total revenues will be at, or exceed, the higher end of this range. For 2018, we expect SG&amp;A expenses as a percentage of total revenues to range from 13.5% to 14.5% and the selling portion of SG&amp;A expenses to be approximately 25.0% to 30.0% of new and used commercial vehicle gross profit.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 decreased $1.2 million, or 2.3%, in 2017, compared to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interest expense decreased $1.9 million, or 13.6%, in 2017, compared to 2016. Net interest expense in 2018 will depend on inventory levels, interest rate fluctuations and the amount of cash available to make prepayments on our floor plan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Income before income taxes increased $70.0 million, or 105.3%, in 2017, compared to 2016, as a result of the factors described above.</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taxes decreased $61.6 million in 2017, compared to 2016. On December 22, 2017, the United States Congress enacted comprehensive tax legislation commonly referred to as the Tax Cuts and Jobs Act (the "Tax Act"). The Company incurred a one-time income tax benefit of $82.9 million in 2017 as a result of the Tax Act, primarily related to the revaluation of certain deferred tax assets and liabilities due to the reduction of the U.S. corporate tax rate from 35% to 21%.</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ASU No.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requires excess tax benefits and tax deficiencies to be recorded in the income statement when equity awards issued pursuant to our equity compensation plans vest or are settled. We recorded a $5.3 million tax benefit related to excess tax benefits in 2017, which reduced income tax expense.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provided for taxes at a 38.25% effective rate in 2017, compared to an effective rate of 38.9% in 2016. We expect our effective tax rate to be approximately 25% to 26% of pretax income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decreased $765.1 million, or 15.4%, in 2016, compared to 2015.</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Aftermarket Products and Services revenues decreased $50.1 million, or 3.6%, in 2016, compared to 2015. This decrease was primarily due to softness in the energy sector, consolidation of Navistar dealership locations in the second quarter of 2016 and an industry-wide decrease in parts sales according to McKay &amp; Company, a marketing research and management consulting firm.</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Revenues from sales of new and used commercial vehicles decreased $720.8 million, or 21.4%, in 2016, compared to 2015. Our Class 8 new commercial vehicle sales in 2016 were severely impacted by a significantly weaker Class 8 commercial vehicle market.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sold 10,816 heavy-duty trucks in 2016, a 35.9% decrease compared to 16,874 heavy-duty trucks in 2015. Our heavy-duty new truck sales in 2016 were impacted by a significantly weaker commercial vehicle market and decreased sales to some of our largest fleet customers. According to A.C.T. Research, U.S. Class 8 retail sales totaled 196,901 in 2016, a decrease of approximately 22.2%, compared to 2015. Our share of the U.S. Class 8 commercial vehicle sales market decreased to approximately 5.5% in 2016, from 6.7% in 2015.</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sold 11,135 medium-duty commercial vehicles, including 1,132 buses, in 2016, a 0.9% decrease compared to 11,241 medium-duty commercial vehicles, including 1,140 buses, in 2015. According to A.C.T. Research, U.S. Class 4 through 7 retail sales totaled 226,258 in 2016, an increase of approximately 3.7%, compared to 2015. In 2016, we achieved a 4.9% share of the Class 4 through 7 market in the U.S.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sold 1,676 light-duty vehicles in 2016, a 0.7% increase compared to 1,665 light-duty vehicles in 2015.</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7,008 used commercial vehicles in 2016, an 11.5% decrease compared to 7,922 used commercial vehicles in 2015. This decrease was primarily the result of an oversupply of used Class 8 trucks for sale across the U.S. as a result of decreased demand.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Commercial vehicle lease and rental revenues increased $8.3 million, or 4.1%, in 2016, compared to 2015.</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Finance and insurance revenues decreased $2.6 million, or 12.1%, in 2016, compared to 2015. The decrease in finance and insurance revenue was primarily a result of the decrease in new and used commercial vehicle sales in 2016. Finance and insurance revenues have limited direct costs and, therefore, contribute a disproportionate share of our operating profits.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remained flat at $15.5 million in 2016 when compared to 2015. Other income consists primarily of the gain on sale realized on trucks from the lease and rental fleet, document fees related to commercial vehicle sales and income from CCTTS, our joint venture that operates non-franchised used commercial vehicle sales facilities in California and Arizona.</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Gross profit decreased $66.9 million, or 8.5%, in 2016, compared to 2015. This decrease was primarily the result of decreased sales of new and used Class 8 commercial vehicles in 2016. Gross profit as a percentage of sales increased to 17.0% in 2016, from 15.8% in 2015. This increase in gross profit as a percentage of sales was the result of a change in our product sales mix. Commercial vehicle sales, a lower margin revenue item, decreased as a percentage of total revenues to 62.6% in 2016, from 67.5% in 2015. Aftermarket Products and Services revenues, a higher margin revenue item, increased as a percentage of total revenues to 31.6% in 2016, from 27.8% in 2015.</w:t>
      </w:r>
    </w:p>
    <w:p>
      <w:pPr>
        <w:spacing w:after="0" w:line="173"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Gross margins from our Aftermarket Products and Services operations decreased to 36.1% in 2016, from 36.4% in 2015. Gross profit for Aftermarket Products and Services decreased to $480.9 million in 2016, from $503.3 million in 2015. Historically, parts operations’ gross margins range from 27% to 28% and service and body shop operations range from 67% to 68%. Gross profits from parts sales represented 55.8% of total gross profit for Aftermarket Products and Services operations in 2016 and 55.5% in 2015. Service and body shop operations represented 44.2% of total gross profit for Aftermarket Products and Services operations in 2016 and 44.5% 2015.</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Gross margins on Class 8 commercial vehicle sales increased to 7.0% in 2016, from 6.5% in 2015. This increase is attributable to the sales mix in 2016, which consisted of fewer sales to large fleet customers. We recorded a net charge to cost of sales of $3.2 million to increase our new heavy-duty commercial vehicle valuation allowance in 2016, compared to $1.5 million in 2015.</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Gross margins on medium-duty commercial vehicle sales increased to 6.0% in 2016, from 5.9% in 2015. We recorded a net charge to cost of sales of $1.1 million to increase our new medium-duty commercial vehicle valuation allowance in 2016, compared to $1.9 million in 2015.</w:t>
      </w:r>
    </w:p>
    <w:p>
      <w:pPr>
        <w:spacing w:after="0" w:line="147"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Gross margins on used commercial vehicle sales decreased to 8.1% in 2016, from 9.6% in 2015. This decrease was primarily related to a significant decline in used commercial vehicle values caused by the oversupply of used Class 8 commercial vehicles for sale across the United States as a result of decreased demand. We recorded a net charge to cost of sales of $5.1 million to increase our used commercial vehicle valuation allowance in 2016, compared to $4.7 million in 2015.</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Gross margins from commercial vehicle lease and rental sales increased to 12.5% in 2016, from 11.5% in 2015. Our policy is to depreciate our lease and rental fleet using a straight 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SG&amp;A expenses decreased $31.5 million, or 5.1%, in 2016, compared to 2015. SG&amp;A expenses as a percentage of total revenues increased to 14.0% in 2016, from 12.4% in 2015. SG&amp;A expenses as a percentage of total revenues have recently ranged from 12.1% to 14.7%. In general, when new and used commercial vehicle revenues decrease as a percentage of total revenues, SG&amp;A expenses as a percentage of total revenues will be at, or exceed, the higher end of this range.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 increased $7.4 million, or 16.9%, in 2016, compared to 2015. This increase was primarily due to the construction of new dealerships and existing dealership expansions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increased $0.8 million, or 6.0%, in 2016, compared to 2015.</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decreased $41.4 million, or 38.4%, in 2016, compared to 2015, as a result of the factors described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taxes decreased $15.9 million in 2016, compared to 2015. We provided for taxes at a 38.9% effective rate in 2016, compared to an effective rate of 38.73% in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December 31, 2017, we had working capital of approximately $202.9 million, including $124.5 million in cash, available to fund our operations. We believe that these funds are sufficient to meet our operating requirements for at least the next twelve months. We utilize our excess cash on hand to pay down outstanding borrowings under our Floor Plan Credit Agreement, and the resulting interest earned is recognized as an offset to our gross interest expense under the credit agreement.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at December 31, 2017, however, $11.9 million was pledged to secure various letters of credit related to self-insurance products, leaving $5.6 million available for future borrowings as of December 31, 2017.</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March 21, 2017, we entered into a working capital facility with BMO Harris (the “Working Capital Facility”). The Working Capital Facility includes up to $100 million of revolving credit loans to the Company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March 21, 2020 and (ii) the date on which all commitments under the Floor Plan Working Capital Facility shall have terminated, whether as a result of the occurrence of the Commitment Termination Date (as defined in the Floor Plan Working Capital Facility) or otherwise. There were no advances outstanding under the Working Capital Facility as of December 31, 2017.</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long-term real estate debt and floor plan financing agreements and the Working Capital Facility require us to satisfy various financial ratios such as the debt-to-worth ratio, leverage ratio and the fixed charge coverage ratio and certain requirements for tangible net worth and GAAP net worth. As of December 31, 2017,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to purchase or lease commercial vehicles worth approximately $165.0 million to $190.0 million for our leasing operations during 2018, depending on customer demand, all of which will be financed. We also expect to make capital expenditures for recurring items such as computers, shop tools and equipment and vehicles of approximately $20.0 million to $25.0 million during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currently constructing a facility in Denton, Texas with a remaining cost of $8.6 million. The construction project will continue through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On November 30, 2017, we announced that our Board of Directors authorized the repurchase, from time to time, of up to an aggregate of $40.0 million shares of Class A Common Stock and/or Class B Common Stock.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The stock repurchase program expires on November 29, 2018, and may be suspended or discontinued at any time.</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other material commitments for capital expenditures as of December 31, 2017.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and cash equivalents increased by $42.5 million during the year ended December 31, 2017, compared to the year ended December 31, 2016, and increased by $17.2 million during the year ended December 31, 2016, compared to the year ended December 31, 2015. The major components of these changes are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2017, operating activities resulted in net cash provided by operations of $152.7 million. Net cash provided by operating activities primarily consisted of $172.1 million in net income, as well as non-cash adjustments related to depreciation and amortization of $158.0 million, deferred income tax benefit of $62.2 million and stock-based compensation of $15.6 million. Cash used in operating activities included an aggregate of $130.8 million net change in operating assets and liabilities. Included in the net change in operating assets and liabilities were cash inflows of $19.4 million from the net increase in borrowings on floor plan (trade), $21.1 million from the increases in accounts payable and accrued liabilities, and $8.9 million from the increase in customer deposits which were offset by cash outflows of $29.4 million from an increase in accounts receivable, $147.5 million from the increase in inventory, $3.2 million from the increase in other current assets. The majority of commercial vehicle inventory is financed through our floor plan credit agreements.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2016, operating activities resulted in net cash provided by operations of $521.2 million. Net cash provided by operating activities primarily consisted of $40.6 million in net income, as well as non-cash adjustments related to depreciation and amortization of $157.6 million, impairment of assets of $8.2 million, deferred income taxes of $8.3 million and stock-based compensation of $12.9 million. See Note 20 of the Notes to Consolidated Financial Statements for a detailed discussion of the impairment of assets. Cash used in operating activities included an aggregate of $295.0 million net change in operating assets and liabilities. Included in the net change in operating assets and liabilities were cash inflows of $1.7 million from a decrease in accounts receivable, $291.8 million from decreases in inventory, $31.7 million from the decrease in other current assets and $4.0 million from the net increase in borrowings on floor plan (trade), which were offset by cash outflows of $4.0 million from a decrease in customer deposits, and $22.6 million from decreases in accounts payable and accrued liabilities.</w:t>
      </w:r>
    </w:p>
    <w:p>
      <w:pPr>
        <w:spacing w:after="0" w:line="179"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however, the prime rate is defined to be a minimum of 3.75%. As of December 31, 2017, the interest rate on the wholesale financing agreement was 5.25% before considering the applicable incentives. As of December 31, 2017, we had an outstanding balance of approximately $82.0 million under the Ford Motor Credit Company wholesale financing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2017, cash used in investing activities was $206.6 million. Cash flows used in investing activities consist primarily of cash used for capital expenditures. Capital expenditures of $211.8 million consisted primarily of $55.9 million for purchases of property and equipment and improvements to our existing dealership facilities and $155.9 million for additional units for our rental and leasing operations. Purchases of additional units for our rental and leasing operations are directly offset by borrowings of long-term debt. We expect to purchase or lease commercial vehicles worth approximately $165.0 million to $190.0 million for our leasing operations in 2018, depending on customer demand, all of which will be financed. During 2018, we expect to make capital expenditures for recurring items such as computers, shop equipment and vehicles of $20.0 million to $25.0 million.</w:t>
      </w:r>
    </w:p>
    <w:p>
      <w:pPr>
        <w:spacing w:after="0" w:line="1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2016, cash used in investing activities was $189.4 million. Cash flows used in investing activities consist primarily of cash used for capital expenditures. Capital expenditures of $197.0 million consisted primarily of $67.0 million for purchases of property and equipment and improvements to our existing dealership facilities and $130.0 million for additional units for the rental and leasing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flows provided by financing activities include borrowings and repayments of long-term debt and net payments of floor plan notes payable. During 2017, we used $96.3 million for financing activities. The cash outflows consisted primarily of $157.5 million used for principal repayments of long-term debt and capital lease obligations, $112.3 million used for net payments on floor plan notes payable (non-trade), and $33.8 million used to purchase 974,690 shares of Rush Class B common stock during 2017. These cash outflows were partially offset by borrowings of $152.6 million of long-term debt for the purchase of additional units for our rental and leasing operations and $23.3 million from the issuance of shares related to equity compensation plans.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2016, we used $314.6 million for financing activities. The cash outflows consisted primarily of $188.4 million used for principal repayments of long-term debt and capital lease obligations, $211.8 million used for net payments on floor plan notes payable (non-trade), and $43.5 million used to purchase 934,171 shares of Rush Class A common stock and 1,033,834 shares of Rush Class B common stock during 2016. These cash outflows were partially offset by borrowings of $121.2 million of long-term debt and $8.3 million from the issuance of shares related to equity compensation plans. The borrowings of long-term debt were related to purchasing units for the rental and leasing operations.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Most of our commercial vehicle purchases are made on terms requiring payment to the manufacturer within 15 days or less from the date the commercial vehicles are invoiced from the factory. We financed the majority of all new commercial vehicle inventory and the loan value of our used commercial vehicle inventory under the Floor Plan Credit Agreement. The Floor Plan Credit Agreement includes an aggregate loan commitment of $875.0 million. Borrowings under the Floor Plan Credit Agreement bear interest at an annual rate equal to (A) the greater of (i) zero and (ii) three month LIBOR rate, determined on the last day of the prior month, plus (B) 1.51% and are payable monthly. In addition, we are required to pay a monthly working capital fee equal to 0.16% per annum multiplied by the amount of voluntary prepayments of new and used inventory loans. Loans under the Floor Plan Credit Agreement for the purchase of used inventory are limited to $150.0 million. We may terminate the Floor Plan Credit Agreement at any time, although if we do so we must pay a prepayment processing fee equal to 1.0% of the aggregate revolving loan commitments if such termination occurs on or prior to July 1, 2018 or $500,000 if such termination occurs after July 1, 2018 and prior to June 30, 2019, subject to specified limited exceptions. On December 31, 2017, we had approximately $656.1 million outstanding under the Floor Plan Credit Agreement. The average daily outstanding borrowings under the Floor Plan Credit Agreement were $558.4 million during the year ended December 31, 2017.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If the commercial vehicle is not sold within the interest-free period, we then finance the commercial vehicle under the Floor Plan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Cyclicality</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97,000 in 2009, to a high of approximately 253,000 in 2015.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20" w:right="40" w:firstLine="648"/>
        <w:spacing w:after="0" w:line="279" w:lineRule="auto"/>
        <w:rPr>
          <w:sz w:val="20"/>
          <w:szCs w:val="20"/>
          <w:color w:val="auto"/>
        </w:rPr>
      </w:pPr>
      <w:r>
        <w:rPr>
          <w:rFonts w:ascii="Arial" w:cs="Arial" w:eastAsia="Arial" w:hAnsi="Arial"/>
          <w:sz w:val="17"/>
          <w:szCs w:val="17"/>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 A summary of our operating lease obligations by fiscal year is included in the “Contractual Obligations” section below.</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certain contractual obligations that will impact both our short and long-term liquidity. At December 31, 2017, such obligations were as follows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Payments Due by Period</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240" w:type="dxa"/>
            <w:vAlign w:val="bottom"/>
          </w:tcPr>
          <w:p>
            <w:pPr>
              <w:spacing w:after="0"/>
              <w:rPr>
                <w:sz w:val="16"/>
                <w:szCs w:val="16"/>
                <w:color w:val="auto"/>
              </w:rPr>
            </w:pPr>
          </w:p>
        </w:tc>
        <w:tc>
          <w:tcPr>
            <w:tcW w:w="100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90"/>
              <w:spacing w:after="0" w:line="191" w:lineRule="exact"/>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7"/>
              </w:rPr>
              <w:t>More than</w:t>
            </w:r>
          </w:p>
        </w:tc>
        <w:tc>
          <w:tcPr>
            <w:tcW w:w="100" w:type="dxa"/>
            <w:vAlign w:val="bottom"/>
          </w:tcPr>
          <w:p>
            <w:pPr>
              <w:spacing w:after="0"/>
              <w:rPr>
                <w:sz w:val="16"/>
                <w:szCs w:val="16"/>
                <w:color w:val="auto"/>
              </w:rPr>
            </w:pPr>
          </w:p>
        </w:tc>
      </w:t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year</w:t>
            </w:r>
          </w:p>
        </w:tc>
        <w:tc>
          <w:tcPr>
            <w:tcW w:w="24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w:t>
            </w:r>
          </w:p>
        </w:tc>
        <w:tc>
          <w:tcPr>
            <w:tcW w:w="26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 years</w:t>
            </w:r>
          </w:p>
        </w:tc>
      </w:tr>
      <w:tr>
        <w:trPr>
          <w:trHeight w:val="210"/>
        </w:trPr>
        <w:tc>
          <w:tcPr>
            <w:tcW w:w="3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(in thousands)</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 (1)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611,527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145,139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284,985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146,084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35,319</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Capital lease obligations(2)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83,141</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17,119</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36,093</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23,377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6,552</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42,624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9,519</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15,256</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Floor plan debt obligation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778,561</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778,561</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obligations (4)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79,219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44,374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25,841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Purchase obligations (5)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1,607,435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1,004,243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327,320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183,925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57,849</w:t>
            </w: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 to Note 8 of Notes to Consolidated Financial Statements.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 to Note 10 of Notes to Consolidated Financial Statements. Amounts include interest.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 to Note 10 of Notes to Consolidated Financial Statements.</w:t>
      </w:r>
    </w:p>
    <w:p>
      <w:pPr>
        <w:spacing w:after="0" w:line="225" w:lineRule="exact"/>
        <w:rPr>
          <w:rFonts w:ascii="Arial" w:cs="Arial" w:eastAsia="Arial" w:hAnsi="Arial"/>
          <w:sz w:val="18"/>
          <w:szCs w:val="18"/>
          <w:color w:val="auto"/>
        </w:rPr>
      </w:pPr>
    </w:p>
    <w:p>
      <w:pPr>
        <w:jc w:val="both"/>
        <w:ind w:firstLine="8"/>
        <w:spacing w:after="0" w:line="264" w:lineRule="auto"/>
        <w:tabs>
          <w:tab w:leader="none" w:pos="7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computing interest expense, we used our weighted average interest rate outstanding on fixed rate debt to estimate our interest expense on fixed rate debt. We used our weighted average variable interest rate on outstanding variable rate debt at December 31, 2017, and added 0.25 percent per year to estimate our interest expense on variable rate debt.</w:t>
      </w:r>
    </w:p>
    <w:p>
      <w:pPr>
        <w:spacing w:after="0" w:line="181" w:lineRule="exact"/>
        <w:rPr>
          <w:rFonts w:ascii="Arial" w:cs="Arial" w:eastAsia="Arial" w:hAnsi="Arial"/>
          <w:sz w:val="18"/>
          <w:szCs w:val="18"/>
          <w:color w:val="auto"/>
        </w:rPr>
      </w:pPr>
    </w:p>
    <w:p>
      <w:pPr>
        <w:jc w:val="both"/>
        <w:ind w:firstLine="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 obligations represent non-cancelable contractual obligations at December 31, 2017, related to our construction contract for a facility in Denton, Texas and our contract with SAP America, Inc. with respect to the software license agreement for the Enterprise Resource Planning software platform (“ERP Platform”) that we 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We are exposed to market risk through interest rates related to our floor plan financing agreements, the Working Capital Facility, variable rate real estate debt and discount rates related to finance sales. The majority of floor plan debt and variable rate real estate debt is based on LIBOR. As of December 31, 2017, we had floor plan borrowings and variable interest rate real estate debt of approximately $874.7 million. Assuming an increase or decrease in LIBOR of 100 basis points, annual interest expense could correspondingly increase or decrease by approximately $8.7 million.</w:t>
      </w:r>
    </w:p>
    <w:p>
      <w:pPr>
        <w:spacing w:after="0" w:line="154"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In the past, we invested in interest-bearing short-term investments consisting of investment-grade auction rate securities classified as available-for-sale. Auctions for investment grade securities held by us have failed. The auction rate securities continue to pay interest in accordance with the terms of the underlying security; however, liquidity will be limited until there is a successful auction or until such time as other markets for these investments develop. As of December 31, 2017, we hold auction rate securities, with underlying tax-exempt municipal bonds that mature in 2030, that have a fair value of $6.4 million. Given the current market conditions in the auction rate securities market, if we determine that the fair value of these securities temporarily decreases by an additional 10%, our equity could correspondingly decrease by approximately $640,000. If it is determined that the fair value of these securities is other-than-temporarily impaired by 10%, we could record a loss on our Consolidated Statements of Income of approximately $640,000. For further discussion of the risks related to our auction rate securities, see Note 9 – Financial Instruments and Fair Value of the Notes to Consolidated Financial Statements.</w:t>
      </w:r>
    </w:p>
    <w:p>
      <w:pPr>
        <w:spacing w:after="0" w:line="18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Report of Independent Registered Public Accounting Firm</w:t>
              </w:r>
            </w:hyperlink>
          </w:p>
        </w:tc>
        <w:tc>
          <w:tcPr>
            <w:tcW w:w="5200" w:type="dxa"/>
            <w:vAlign w:val="bottom"/>
            <w:gridSpan w:val="7"/>
          </w:tcPr>
          <w:p>
            <w:pPr>
              <w:spacing w:after="0"/>
              <w:rPr>
                <w:sz w:val="17"/>
                <w:szCs w:val="17"/>
                <w:color w:val="auto"/>
              </w:rPr>
            </w:pP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42</w:t>
            </w:r>
          </w:p>
        </w:tc>
      </w:tr>
      <w:tr>
        <w:trPr>
          <w:trHeight w:val="412"/>
        </w:trPr>
        <w:tc>
          <w:tcPr>
            <w:tcW w:w="20" w:type="dxa"/>
            <w:vAlign w:val="bottom"/>
          </w:tcPr>
          <w:p>
            <w:pPr>
              <w:spacing w:after="0"/>
              <w:rPr>
                <w:sz w:val="24"/>
                <w:szCs w:val="24"/>
                <w:color w:val="auto"/>
              </w:rPr>
            </w:pPr>
          </w:p>
        </w:tc>
        <w:tc>
          <w:tcPr>
            <w:tcW w:w="9420" w:type="dxa"/>
            <w:vAlign w:val="bottom"/>
            <w:gridSpan w:val="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Report of Independent Registered Public Accounting Firm on Internal Control over Financial Reporting</w:t>
              </w:r>
            </w:hyperlink>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74</w:t>
            </w:r>
          </w:p>
        </w:tc>
      </w:tr>
      <w:tr>
        <w:trPr>
          <w:trHeight w:val="412"/>
        </w:trPr>
        <w:tc>
          <w:tcPr>
            <w:tcW w:w="20" w:type="dxa"/>
            <w:vAlign w:val="bottom"/>
          </w:tcPr>
          <w:p>
            <w:pPr>
              <w:spacing w:after="0"/>
              <w:rPr>
                <w:sz w:val="24"/>
                <w:szCs w:val="24"/>
                <w:color w:val="auto"/>
              </w:rPr>
            </w:pPr>
          </w:p>
        </w:tc>
        <w:tc>
          <w:tcPr>
            <w:tcW w:w="7480" w:type="dxa"/>
            <w:vAlign w:val="bottom"/>
            <w:tcBorders>
              <w:top w:val="single" w:sz="8" w:color="0000EE"/>
            </w:tcBorders>
            <w:gridSpan w:val="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Balance Sheets as of December 31, 2017 and 2016</w:t>
              </w:r>
            </w:hyperlink>
          </w:p>
        </w:tc>
        <w:tc>
          <w:tcPr>
            <w:tcW w:w="1940" w:type="dxa"/>
            <w:vAlign w:val="bottom"/>
            <w:gridSpan w:val="3"/>
          </w:tcPr>
          <w:p>
            <w:pPr>
              <w:spacing w:after="0"/>
              <w:rPr>
                <w:sz w:val="24"/>
                <w:szCs w:val="24"/>
                <w:color w:val="auto"/>
              </w:rPr>
            </w:pP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43</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Income for the Years Ended December 31, 2017, 2016 and 2015</w:t>
              </w:r>
            </w:hyperlink>
          </w:p>
        </w:tc>
        <w:tc>
          <w:tcPr>
            <w:tcW w:w="2760" w:type="dxa"/>
            <w:vAlign w:val="bottom"/>
            <w:gridSpan w:val="5"/>
          </w:tcPr>
          <w:p>
            <w:pPr>
              <w:spacing w:after="0"/>
              <w:rPr>
                <w:sz w:val="24"/>
                <w:szCs w:val="24"/>
                <w:color w:val="auto"/>
              </w:rPr>
            </w:pP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44</w:t>
            </w:r>
          </w:p>
        </w:tc>
      </w:tr>
      <w:tr>
        <w:trPr>
          <w:trHeight w:val="412"/>
        </w:trPr>
        <w:tc>
          <w:tcPr>
            <w:tcW w:w="20" w:type="dxa"/>
            <w:vAlign w:val="bottom"/>
          </w:tcPr>
          <w:p>
            <w:pPr>
              <w:spacing w:after="0"/>
              <w:rPr>
                <w:sz w:val="24"/>
                <w:szCs w:val="24"/>
                <w:color w:val="auto"/>
              </w:rPr>
            </w:pPr>
          </w:p>
        </w:tc>
        <w:tc>
          <w:tcPr>
            <w:tcW w:w="9420" w:type="dxa"/>
            <w:vAlign w:val="bottom"/>
            <w:gridSpan w:val="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Statements of Comprehensive Income for the Years Ended December 31, 2017, 2016 and 2015</w:t>
              </w:r>
            </w:hyperlink>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45</w:t>
            </w:r>
          </w:p>
        </w:tc>
      </w:tr>
      <w:tr>
        <w:trPr>
          <w:trHeight w:val="412"/>
        </w:trPr>
        <w:tc>
          <w:tcPr>
            <w:tcW w:w="20" w:type="dxa"/>
            <w:vAlign w:val="bottom"/>
          </w:tcPr>
          <w:p>
            <w:pPr>
              <w:spacing w:after="0"/>
              <w:rPr>
                <w:sz w:val="24"/>
                <w:szCs w:val="24"/>
                <w:color w:val="auto"/>
              </w:rPr>
            </w:pPr>
          </w:p>
        </w:tc>
        <w:tc>
          <w:tcPr>
            <w:tcW w:w="76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Shareholders’ Equity for the Years Ended December 31, 2017, 2016 and 2015</w:t>
              </w:r>
            </w:hyperlink>
          </w:p>
        </w:tc>
        <w:tc>
          <w:tcPr>
            <w:tcW w:w="18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46</w:t>
            </w:r>
          </w:p>
        </w:tc>
      </w:tr>
      <w:tr>
        <w:trPr>
          <w:trHeight w:val="412"/>
        </w:trPr>
        <w:tc>
          <w:tcPr>
            <w:tcW w:w="20" w:type="dxa"/>
            <w:vAlign w:val="bottom"/>
          </w:tcPr>
          <w:p>
            <w:pPr>
              <w:spacing w:after="0"/>
              <w:rPr>
                <w:sz w:val="24"/>
                <w:szCs w:val="24"/>
                <w:color w:val="auto"/>
              </w:rPr>
            </w:pPr>
          </w:p>
        </w:tc>
        <w:tc>
          <w:tcPr>
            <w:tcW w:w="69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Cash Flows for the Years Ended December 31, 2017, 2016 and 2015</w:t>
              </w:r>
            </w:hyperlink>
          </w:p>
        </w:tc>
        <w:tc>
          <w:tcPr>
            <w:tcW w:w="2460" w:type="dxa"/>
            <w:vAlign w:val="bottom"/>
            <w:gridSpan w:val="4"/>
          </w:tcPr>
          <w:p>
            <w:pPr>
              <w:spacing w:after="0"/>
              <w:rPr>
                <w:sz w:val="24"/>
                <w:szCs w:val="24"/>
                <w:color w:val="auto"/>
              </w:rPr>
            </w:pP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47</w:t>
            </w:r>
          </w:p>
        </w:tc>
      </w:tr>
      <w:tr>
        <w:trPr>
          <w:trHeight w:val="412"/>
        </w:trPr>
        <w:tc>
          <w:tcPr>
            <w:tcW w:w="20" w:type="dxa"/>
            <w:vAlign w:val="bottom"/>
          </w:tcPr>
          <w:p>
            <w:pPr>
              <w:spacing w:after="0"/>
              <w:rPr>
                <w:sz w:val="24"/>
                <w:szCs w:val="24"/>
                <w:color w:val="auto"/>
              </w:rPr>
            </w:pPr>
          </w:p>
        </w:tc>
        <w:tc>
          <w:tcPr>
            <w:tcW w:w="9420" w:type="dxa"/>
            <w:vAlign w:val="bottom"/>
            <w:gridSpan w:val="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Notes to Consolidated Financial Statements</w:t>
              </w:r>
            </w:hyperlink>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48</w:t>
            </w:r>
          </w:p>
        </w:tc>
      </w:tr>
      <w:tr>
        <w:trPr>
          <w:trHeight w:val="453"/>
        </w:trPr>
        <w:tc>
          <w:tcPr>
            <w:tcW w:w="2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3520" w:type="dxa"/>
            <w:vAlign w:val="bottom"/>
            <w:gridSpan w:val="3"/>
          </w:tcPr>
          <w:p>
            <w:pPr>
              <w:jc w:val="right"/>
              <w:ind w:right="88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the Board of Directors of Rush Enterprises,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the accompanying consolidated balance sheets of Rush Enterprises, Inc. and subsidiaries (the Company) as of December 31, 2017 and 2016, and the related consolidated statements of income, comprehensive income, shareholders’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5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March 1,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 and Per Share Amounts)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124,541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183,875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receivable affiliate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1,033,294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840,304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1,159,595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291,391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290,191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2,890,139</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2,603,047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Floor plan notes payable</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778,561</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646,945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 directly associated with assets held for sale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Trade accounts payable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107,906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97,844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deposits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96,132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83,974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1,172,207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466,389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472,503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Preferred stock, par value $.01 per share; 1,000,000 shares authorized; 0 shares outstanding in 2017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2016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authorized; 31,345,116 Class A shares and 8,469,247 Class B shares outstanding in 2017; and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30,007,088 Class A shares and 9,245,447 Class B shares outstanding in 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1"/>
              </w:rPr>
              <w:t>Treasury stock, at cost: 934,171 class A shares and 4,625,181 class B shares in 2017 and 934,171 class A</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shares and 3,650,491 class B shares in 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(120,682)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(86,882)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Accumulated other comprehensive loss, net of tax</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1,040,373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862,825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2,890,139</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2,603,047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New and used commercial vehicle sales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2,993,015</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2,640,019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3,360,808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1,471,266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1,332,356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217,356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208,154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199,867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14,257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15,503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4,713,882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4,214,614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4,979,733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2,766,461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2,463,124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3,138,754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934,394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851,438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879,141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183,091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182,040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Total cost of products sold</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3,883,946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3,496,602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4,194,786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829,936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718,012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631,053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587,778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619,268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148,709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80,728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(13,201)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(14,900)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 expense,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Income before taxes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136,399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66,449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172,129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40,582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Earnings per common 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172,129</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40,582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comprehensive income before tax and net of reclassification adjustments: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interest rate swaps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Change in fair value of available-for-sale securities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tax</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 expense related to components of other comprehensive income</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172,415</w:t>
            </w:r>
          </w:p>
        </w:tc>
        <w:tc>
          <w:tcPr>
            <w:tcW w:w="1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40,601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 Thousands)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4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Common Stock</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80" w:type="dxa"/>
            <w:vAlign w:val="bottom"/>
            <w:gridSpan w:val="3"/>
          </w:tcPr>
          <w:p>
            <w:pPr>
              <w:jc w:val="center"/>
              <w:ind w:left="670"/>
              <w:spacing w:after="0"/>
              <w:rPr>
                <w:sz w:val="20"/>
                <w:szCs w:val="20"/>
                <w:color w:val="auto"/>
              </w:rPr>
            </w:pPr>
            <w:r>
              <w:rPr>
                <w:rFonts w:ascii="Arial" w:cs="Arial" w:eastAsia="Arial" w:hAnsi="Arial"/>
                <w:sz w:val="18"/>
                <w:szCs w:val="18"/>
                <w:color w:val="auto"/>
                <w:w w:val="84"/>
              </w:rPr>
              <w:t>Shares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center"/>
              <w:ind w:right="90"/>
              <w:spacing w:after="0"/>
              <w:rPr>
                <w:sz w:val="20"/>
                <w:szCs w:val="20"/>
                <w:color w:val="auto"/>
              </w:rPr>
            </w:pPr>
            <w:r>
              <w:rPr>
                <w:rFonts w:ascii="Arial" w:cs="Arial" w:eastAsia="Arial" w:hAnsi="Arial"/>
                <w:sz w:val="18"/>
                <w:szCs w:val="18"/>
                <w:color w:val="auto"/>
                <w:w w:val="88"/>
              </w:rPr>
              <w:t>$0.01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40" w:type="dxa"/>
            <w:vAlign w:val="bottom"/>
            <w:gridSpan w:val="5"/>
          </w:tcPr>
          <w:p>
            <w:pPr>
              <w:jc w:val="right"/>
              <w:ind w:right="76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Par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Paid-In</w:t>
            </w: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Treasury</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Retained</w:t>
            </w:r>
          </w:p>
        </w:tc>
        <w:tc>
          <w:tcPr>
            <w:tcW w:w="1360" w:type="dxa"/>
            <w:vAlign w:val="bottom"/>
            <w:gridSpan w:val="4"/>
          </w:tcPr>
          <w:p>
            <w:pPr>
              <w:ind w:left="120"/>
              <w:spacing w:after="0"/>
              <w:rPr>
                <w:sz w:val="20"/>
                <w:szCs w:val="20"/>
                <w:color w:val="auto"/>
              </w:rPr>
            </w:pPr>
            <w:r>
              <w:rPr>
                <w:rFonts w:ascii="Arial" w:cs="Arial" w:eastAsia="Arial" w:hAnsi="Arial"/>
                <w:sz w:val="18"/>
                <w:szCs w:val="18"/>
                <w:color w:val="auto"/>
                <w:w w:val="96"/>
              </w:rPr>
              <w:t>Comprehensive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rPr>
              <w:t>Class A</w:t>
            </w:r>
          </w:p>
        </w:tc>
        <w:tc>
          <w:tcPr>
            <w:tcW w:w="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0"/>
              </w:rPr>
              <w:t>Class B</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Capital</w:t>
            </w: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December 31, 2014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29,889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272,486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(41,904)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533,793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(460)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764,339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options exercised and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stock awards (including tax</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 of $337)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1,933</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related to stock options,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restricted shares and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employee stock purchase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plan</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12,384</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restricted share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awards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under employee stock</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7"/>
              </w:rPr>
              <w:t>Other comprehensive income</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December 31, 2015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30,304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288,294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(43,368)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599,846</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844,897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options exercised and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stock awards (including tax</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 of $294)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6,152</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related to stock options,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restricted shares and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employee stock purchase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plan</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12,875</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12,875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restricted share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awards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under employee stock</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2,531</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(43,514)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7"/>
              </w:rPr>
              <w:t>Other comprehensive income</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December 31, 2016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30,007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309,127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(86,882)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640,428</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862,825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options exercised and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awards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22,355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related to stock options,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restricted shares and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employee stock purchase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plan</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15,606</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15,606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restricted share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awards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(1,518)</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under employee stock</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repurchases</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7"/>
              </w:rPr>
              <w:t>Other comprehensive income</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172,129</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5"/>
              </w:rPr>
              <w:t>Balance, December 31, 2017</w:t>
            </w:r>
          </w:p>
        </w:tc>
        <w:tc>
          <w:tcPr>
            <w:tcW w:w="11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31,345</w:t>
            </w: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8,469</w:t>
            </w:r>
          </w:p>
        </w:tc>
        <w:tc>
          <w:tcPr>
            <w:tcW w:w="2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454</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348,044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(120,682)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812,557</w:t>
            </w:r>
          </w:p>
        </w:tc>
        <w:tc>
          <w:tcPr>
            <w:tcW w:w="3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1,040,373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172,129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40,582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157,951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157,627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(gain) on sale of property and equipment,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Loss on impairment of assets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8,247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8"/>
              </w:rPr>
              <w:t>Stock-based compensation expense related to employee stock options and</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employee stock purchases</w:t>
            </w: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15,606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12,875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(Benefit) provision for deferred income tax expense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(62,203)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8,331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Excess tax expense from stock-based compensation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(29,424)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inventories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291,773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24,155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Draws (payments) on floor plan notes payable – trade, net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19,355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3,989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Change in accrued expenses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12,158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152,737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521,170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(196,965)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12,494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7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(206,563)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(189,410)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(436,234)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Draws (payments) on floor plan notes payable – non-trade, net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112,261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(211,802)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152,563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121,188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(145,038)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(164,940)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(154,685)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w w:val="92"/>
              </w:rPr>
              <w:t>Proceeds from issuance of shares relating to employee stock options and employee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stock purchases</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23,327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8,260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expense from stock-based compensation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Common stock repurchased</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(33,800)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(43,514)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78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96,341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(314,581)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82,368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82,026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64,847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191,463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124,541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82,026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year for: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34,149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37,904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Income taxes paid (refunded), net</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31,323</w:t>
            </w:r>
          </w:p>
        </w:tc>
        <w:tc>
          <w:tcPr>
            <w:tcW w:w="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(10,939)</w:t>
            </w:r>
          </w:p>
        </w:tc>
        <w:tc>
          <w:tcPr>
            <w:tcW w:w="4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16,126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ind w:left="160"/>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Assets acquired under capital leases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24,207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ORGANIZATION AND OPERATIONS</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Rush Enterprises, Inc. (the “Company”) was incorporated in 1965 under the laws of the State of Texas. The Company operates a network of commercial vehicle dealerships that primarily sell commercial vehicles manufactured by Peterbilt, International, Hino,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financing, leasing and rental, and insurance products.</w:t>
      </w:r>
    </w:p>
    <w:p>
      <w:pPr>
        <w:spacing w:after="0" w:line="200" w:lineRule="exact"/>
        <w:rPr>
          <w:sz w:val="20"/>
          <w:szCs w:val="20"/>
          <w:color w:val="auto"/>
        </w:rPr>
      </w:pPr>
    </w:p>
    <w:p>
      <w:pPr>
        <w:spacing w:after="0" w:line="231" w:lineRule="exact"/>
        <w:rPr>
          <w:sz w:val="20"/>
          <w:szCs w:val="20"/>
          <w:color w:val="auto"/>
        </w:rPr>
      </w:pPr>
    </w:p>
    <w:p>
      <w:pPr>
        <w:ind w:right="7360" w:firstLine="8"/>
        <w:spacing w:after="0" w:line="501" w:lineRule="auto"/>
        <w:tabs>
          <w:tab w:leader="none" w:pos="81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Principles of Consolidation</w:t>
      </w: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presented herein include the accounts of Rush Enterprises, Inc. together with its consolidated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Estimates in Financial Statements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generally consist of cash and other money market instruments. The Company considers all highly liquid investments with an original maturity of ninety days or less to be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Doubtful Receivables and Repossession Losses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provides an allowance for doubtful receivables and repossession losses after considering historical loss experience and other factors that might affect the collection of accounts receivable and the ability of customers to meet their obligations on finance contracts sold by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commercial vehicle inventory and by the first-in, first-out method for parts and accessories. An allowance is provided when it is anticipated that cost will exceed net realizable value less a reasonable profit margin.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underlying assets and is amortized over the estimated useful life of such assets. The Company capitalized interest of approximately $85,500 related to major capital projects during 2017. The cost, accumulated depreciation and amortization and estimated useful lives are summarized as follows (in thousands):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8"/>
                <w:szCs w:val="18"/>
                <w:color w:val="auto"/>
                <w:w w:val="92"/>
              </w:rPr>
              <w:t>Estimated Life</w:t>
            </w:r>
          </w:p>
        </w:tc>
      </w:tr>
      <w:tr>
        <w:trPr>
          <w:trHeight w:val="230"/>
        </w:trPr>
        <w:tc>
          <w:tcPr>
            <w:tcW w:w="4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0"/>
                <w:szCs w:val="20"/>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(Years)</w:t>
            </w:r>
          </w:p>
        </w:tc>
        <w:tc>
          <w:tcPr>
            <w:tcW w:w="100" w:type="dxa"/>
            <w:vAlign w:val="bottom"/>
          </w:tcPr>
          <w:p>
            <w:pPr>
              <w:spacing w:after="0"/>
              <w:rPr>
                <w:sz w:val="20"/>
                <w:szCs w:val="20"/>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129,805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126,123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404,679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377,070</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26,765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Machinery and shop equipment</w:t>
            </w: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65,694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67,558</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computers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73,912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81,158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73,156</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 vehicles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894,905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832,661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8,043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11,921</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(514,929)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(453,521)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48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1,159,595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1,135,805</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depreciation expense of $140.3 million and amortization expense of $17.6 million for the year ended December 31, 2017, depreciation expense of $140.6 million and amortization expense of $17.0 million for the year ended December 31, 2016 and depreciation expense of $131.8 million and amortization expense of $13.1 million for the year ended December 31, 2015.</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the Company had $79.8 million in lease and rental vehicles under various capital leases included in property and equipment, net of accumulated amortization of $38.7 million. The Company recorded depreciation and amortization expense of $107.9 million related to lease and rental vehicles in lease and rental cost of products sold for the year ended December 31, 2017, $106.3 million for the year ended December 31, 2016 and $101.1 million for the year ended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the excess of the purchase price over the fair value of identifiable net assets acquired in business combinations accounted for under the purchase method. The Company tests goodwill for impairment annually during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The Company has deemed its reporting unit to be the Truck Segment, as all components of the Truck Segment are similar.</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and comparing the hypothetical implied fair value of the reporting unit’s goodwill to the carrying amount of that goodwill. If the carrying amount of the reporting unit’s goodwill exceeds the hypothetical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impairment write down was required in the fourth quarter of 2017. However, the Company cannot predict the occurrence of certain events that might adversely affect the reported value of goodwill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change in the carrying amount of goodwill for the Company for the years ended December 31, 2017 and 2016 (in thousands):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2016</w:t>
            </w:r>
          </w:p>
        </w:tc>
        <w:tc>
          <w:tcPr>
            <w:tcW w:w="3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285,041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Acquisitions and adjustments</w:t>
            </w:r>
          </w:p>
        </w:tc>
        <w:tc>
          <w:tcPr>
            <w:tcW w:w="27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2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Acquisition</w:t>
            </w:r>
          </w:p>
        </w:tc>
        <w:tc>
          <w:tcPr>
            <w:tcW w:w="27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3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291,391</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9" w:name="page50"/>
    <w:bookmarkEnd w:id="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capitalized costs of the Company’s Enterprise Resource Planning software platform (“ERP Platform”) of $31.9 million, including capitalized interest, are recorded on the Consolidated Balance Sheet in Other Assets, net of accumulated amortization of $20.0 million. The ERP Platform is being amortized over a period of 15 years.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expense relating to the ERP Platform, which is recognized in depreciation and amortization expense in the Consolidated Statements of Income, was $3.4 million for the year ended December 31, 2017, $3.4 million for the year ended December 31, 2016, and $3.3 million for the year ended December 31, 2015. See Note 21 - Subsequent Event, for further discussion on the replacement of the major components of the ERP Platform.</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at December 31, 2017 and December 31, 2016,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impairment write down was required in the fourth quarter of 2017. The Company cannot predict the occurrence of certain events that might adversely affect the reported value of manufacturer franchise rights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determining its provision for income taxes, the Company uses an annual effective income tax rate based on annual income, permanent differences between book and tax income, and statutory income tax rates. The effective income tax rate also reflects its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income tax returns are periodically audited by U.S. federal, state and local tax authorities. These audits include questions regarding the Company’s tax filing positions, including the timing and amount of deductions. At any time, multiple tax years are subject to audit by the various tax authorities. In evaluating the tax benefits associated with the Company’s various tax filing positions, the Company records a tax benefit for uncertain tax positions. A number of years may elapse before a particular matter for which the Company has established a liability is audited and effectively settled. The Company adjusts its liability for unrecognized tax benefits in the period in which it determines the issue is effectively settled with the tax authorities, the statute of limitations expires for the relevant taxing authority to examine the tax position, or when more information becomes available. The Company includes its liability for unrecognized tax benefits, including accrued interest, in accrued liabilities on the Company’s Consolidated Balance Sheet and in income tax expense in the Company’s Consolidated Statements of Income. Unfavorable settlement of any particular issue would require use of the Company’s cash and a charge to income tax expense. Favorable resolution would be recognized as a reduction to income tax expense at the time of resolution.</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Additionally, despite the Company’s belief that its tax return positions are consistent with applicable tax law, management expects that certain positions may be challenged by taxing authorities. Settlement of any challenge can result in no change, a complete disallowance, or some partial adjustment reached through negotiations. The Company records interest and penalties, if any, related to federal and state unrecognized tax benefits in income tax expense.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Policies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Income on the sale of a vehicle is recognized when the Company and a customer execute a purchase contract, delivery has occurred and there are no significant uncertainties related to financing or the purchase price is paid by the customer. The Company generally sells any finance contracts it may enter into with customers to finance the purchase of commercial vehicles to third parties. These finance contracts are sold by the Company both with and without recourse. A majority of the Company’s finance contracts are sold without recourse. Finance income is recognized by the Company upon the sale of such finance contracts, net of a provision for estimated repossession losses and early repayment penalties.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Lease and rental revenue is recognized over the period of the related lease or rental agreement. Contingent rental revenue is recognized when it is earned. Aftermarket Products and Services revenue is earned at the time the Company sells the parts to its customers or at the time the Company completes, and the customer accepts, the service work order related to service provided to the customer’s vehicle.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Sales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Company’s new and used commercial vehicle operations and its parts operations, cost of sales consists primarily of the Company’s actual purchase price, less any applicable manufacturers’ incentives, for new and used commercial vehicles and parts. For the Company’s service and body shop operations, technician labor cost is the primary component of cost of sales. For the Company’s rental and leasing operations, cost of sales consists primarily of depreciation and amortization, rent, maintenance costs and interest expense on the lease and rental fleet owned and leased by the Company. There are no costs of sales associated with the Company’s finance and insurance revenue or other 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Assessed by a Governmental Authority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accounts for sales taxes assessed by a governmental authority, that are directly imposed on a revenue-producing transaction, on a net (excluded from revenues)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Selling, general and administrative expenses consist primarily of incentive based compensation for sales, finance and general management personnel, salaries for administrative personnel and expenses for rent, marketing, insurance, utilities, research and development and other general operating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applies the provisions of ASC topic 718-10, “Compensation – Stock Compensation,” which requires the measurement and recognition of compensation expense for all share-based payment awards made to employees and directors including grants of employee stock options, restricted stock units, restricted stock awards and employee stock purchases under the Employee Stock Purchase Plan based on estimated fair values.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Compensation expense for all share-based payment awards is recognized using the straight-line single-option method. Stock-based compensation expense is recognized based on awards expected to vest. Accordingly, stock based compensation expense has been reduced for estimated forfeitures. Forfeitures are estimated at the time of grant and revised, if necessary, in subsequent periods if actual forfeitures differ from those estimates.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determination of fair value of share-based payment awards on the date of grant using an option-pricing model is affected by the Company’s stock price as well as assumptions regarding a number of highly complex and subjective variables. These variables include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characteristics that are significantly different from traded options and because changes in the subjective assumptions can materially affect the estimated value, in management’s opinion, the existing valuation models may not provide an accurate measure of the fair value that value may not be indicative of the fair value observed in a market transaction between a willing buyer and a willing seller.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volatility</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33.54%</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35.63%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Weighted-average stock volatility</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33.54%</w:t>
            </w:r>
          </w:p>
        </w:tc>
        <w:tc>
          <w:tcPr>
            <w:tcW w:w="9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35.63%</w:t>
            </w: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40.90%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9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Weighted-average fair value of stock options granted</w:t>
            </w:r>
          </w:p>
        </w:tc>
        <w:tc>
          <w:tcPr>
            <w:tcW w:w="14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12.33</w:t>
            </w:r>
          </w:p>
        </w:tc>
        <w:tc>
          <w:tcPr>
            <w:tcW w:w="260" w:type="dxa"/>
            <w:vAlign w:val="bottom"/>
          </w:tcPr>
          <w:p>
            <w:pPr>
              <w:spacing w:after="0"/>
              <w:rPr>
                <w:sz w:val="20"/>
                <w:szCs w:val="20"/>
                <w:color w:val="auto"/>
              </w:rPr>
            </w:pP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6.54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11.27</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Advertising costs are expensed as incurred. Advertising and marketing expense was $9.5 million for 2017, $6.8 million for 2016 and $8.8 million for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and marketing expense is included in selling, general and administrative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Internal Use Software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accounting policy with respect to accounting for computer software developed or obtained for internal use is consistent with ASC topic 350-40, which provides guidance on accounting for the costs of computer software developed or obtained for internal use and identifies characteristics of internal-use software. The Company has capitalized software costs, including capitalized interest, of approximately $31.9 million at December 31, 2017, net of accumulated amortization of $20.0 million, and had $33.0 million, net of accumulated amortization of $16.5 million at December 31,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partially self-insured for a portion of the claims related to its property and casualty insurance programs. Accordingly, the Company is required to estimate expected losses to be incurred. The Company engages a third-party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various financial instruments that it must measure at fair value on a recurring basis, including certain available for sale securities and derivatives. See Note 9 – Financial Instruments and Fair Value of the Notes to Consolidated Financial Statements, for further information. The Company also applies the provisions of fair value measurement to various nonrecurring measurements for its financial and nonfinancial assets and liabilities.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Level 3 includes unobservable inputs that reflect the Company’s assumptions about what factors market participants would use in pricing the asset or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develops these inputs based on the best information available, including its own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uses the acquisition method of accounting for the recognition of assets acquired and liabilities assumed through acquisitions at their estimated fair values as of the date of acquisition. Any excess consideration transferred over the estimated fair values of the identifiable net assets acquired is recorded as goodwill. While the Company uses its best estimates and assumptions to measure the fair value of the identifiable assets acquired and liabilities assumed at the acquisition date, the estimates are inherently uncertain and subject to refinement. As a result, during the measurement period, which is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any subsequent adjustments are recorded to the Consolidated Statements of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“Improvements to Employee Share-Based Payment Accounting (Topic</w:t>
      </w:r>
      <w:r>
        <w:rPr>
          <w:rFonts w:ascii="Arial" w:cs="Arial" w:eastAsia="Arial" w:hAnsi="Arial"/>
          <w:sz w:val="17"/>
          <w:szCs w:val="17"/>
          <w:color w:val="auto"/>
        </w:rPr>
        <w:t xml:space="preserve"> 718</w:t>
      </w:r>
      <w:r>
        <w:rPr>
          <w:rFonts w:ascii="Arial" w:cs="Arial" w:eastAsia="Arial" w:hAnsi="Arial"/>
          <w:sz w:val="17"/>
          <w:szCs w:val="17"/>
          <w:i w:val="1"/>
          <w:iCs w:val="1"/>
          <w:color w:val="auto"/>
        </w:rPr>
        <w:t>),”</w:t>
      </w:r>
      <w:r>
        <w:rPr>
          <w:rFonts w:ascii="Arial" w:cs="Arial" w:eastAsia="Arial" w:hAnsi="Arial"/>
          <w:sz w:val="17"/>
          <w:szCs w:val="17"/>
          <w:color w:val="auto"/>
        </w:rPr>
        <w:t xml:space="preserve"> which changed the accounting for certain aspects of share-based payments to employees. The Company adopted the standard on January 1, 2017. The guidance requires excess tax benefits and tax deficiencies to be recorded in the income statement when the awards vest or are settled. The Company recorded excess tax benefits of $5.3 million in the year ended December 31, 2017, which was recorded in the Consolidated Statements of Income and Comprehensive Income. In addition, cash flows related to excess tax benefits are no longer separately classified as a financing activity apart from other income tax cash flows. The standard also allows the Company to repurchase more of an employee’s shares for tax withholding purposes without triggering liability accounting, clarifies that all cash payments made on an employee’s behalf for withheld shares should be presented as a financing activity on its cash flows statement, and provides an accounting policy election to account for forfeitures as they occur. The Company did not elect to make an accounting policy change to recognize forfeitures as they occur and will continue to estimate forfeitures. The Company adopted the amendments related to ASU 2016-09 prospectively and prior periods have not been adjusted.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2016, the FASB issued ASU No. 2016-02, “</w:t>
      </w:r>
      <w:r>
        <w:rPr>
          <w:rFonts w:ascii="Arial" w:cs="Arial" w:eastAsia="Arial" w:hAnsi="Arial"/>
          <w:sz w:val="18"/>
          <w:szCs w:val="18"/>
          <w:i w:val="1"/>
          <w:iCs w:val="1"/>
          <w:color w:val="auto"/>
        </w:rPr>
        <w:t>Leases (Topic</w:t>
      </w:r>
      <w:r>
        <w:rPr>
          <w:rFonts w:ascii="Arial" w:cs="Arial" w:eastAsia="Arial" w:hAnsi="Arial"/>
          <w:sz w:val="18"/>
          <w:szCs w:val="18"/>
          <w:color w:val="auto"/>
        </w:rPr>
        <w:t xml:space="preserve"> 842</w:t>
      </w:r>
      <w:r>
        <w:rPr>
          <w:rFonts w:ascii="Arial" w:cs="Arial" w:eastAsia="Arial" w:hAnsi="Arial"/>
          <w:sz w:val="18"/>
          <w:szCs w:val="18"/>
          <w:i w:val="1"/>
          <w:iCs w:val="1"/>
          <w:color w:val="auto"/>
        </w:rPr>
        <w:t>),</w:t>
      </w:r>
      <w:r>
        <w:rPr>
          <w:rFonts w:ascii="Arial" w:cs="Arial" w:eastAsia="Arial" w:hAnsi="Arial"/>
          <w:sz w:val="18"/>
          <w:szCs w:val="18"/>
          <w:color w:val="auto"/>
        </w:rPr>
        <w:t>” which is intended to increase the transparency and comparability among organizations by recognizing lease assets and lease liabilities on the balance sheet and disclosing key information about leasing arrangements. In order to meet that objective, the new standard requires recognition of the assets and liabilities that arise from leases. A lessee will be required to recognize on the balance sheet the assets and liabilities for leases with lease terms of more than 12 months. The new standard is effective for public companies for fiscal years beginning after December 15, 2018, and interim periods within those years, with early adoption permitted. The Company will adopt ASU 2016-02 on January 1, 2019. The Company is in the process of evaluating the effect that adopting this standard will have on its financial statements and related disclosures. The Company currently expects that most of its operating lease commitments will be subject to the new standard and recognized as right-of-use assets and operating lease liabilities upon its adoption of ASU 2016-02, which will increase its total assets and total liabilities that we report relative to such amounts prior to adoption.</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2014, the FASB issued ASU No. 2014-09, “</w:t>
      </w:r>
      <w:r>
        <w:rPr>
          <w:rFonts w:ascii="Arial" w:cs="Arial" w:eastAsia="Arial" w:hAnsi="Arial"/>
          <w:sz w:val="16"/>
          <w:szCs w:val="16"/>
          <w:i w:val="1"/>
          <w:iCs w:val="1"/>
          <w:color w:val="auto"/>
        </w:rPr>
        <w:t>Revenue from Contracts with Customers (Topic</w:t>
      </w:r>
      <w:r>
        <w:rPr>
          <w:rFonts w:ascii="Arial" w:cs="Arial" w:eastAsia="Arial" w:hAnsi="Arial"/>
          <w:sz w:val="16"/>
          <w:szCs w:val="16"/>
          <w:color w:val="auto"/>
        </w:rPr>
        <w:t xml:space="preserve"> 606</w:t>
      </w:r>
      <w:r>
        <w:rPr>
          <w:rFonts w:ascii="Arial" w:cs="Arial" w:eastAsia="Arial" w:hAnsi="Arial"/>
          <w:sz w:val="16"/>
          <w:szCs w:val="16"/>
          <w:i w:val="1"/>
          <w:iCs w:val="1"/>
          <w:color w:val="auto"/>
        </w:rPr>
        <w:t>)</w:t>
      </w:r>
      <w:r>
        <w:rPr>
          <w:rFonts w:ascii="Arial" w:cs="Arial" w:eastAsia="Arial" w:hAnsi="Arial"/>
          <w:sz w:val="16"/>
          <w:szCs w:val="16"/>
          <w:color w:val="auto"/>
        </w:rPr>
        <w:t>,” which amended the accounting standards for revenue recognition. ASU 2014-09 is based on principles that govern the recognition of revenue at an amount an entity expects to be entitled to when products are transferred to customers. ASU 2014-09 will be effective for the Company beginning in its first quarter of 2018. The ASU provides two transition methods: (i) retrospectively to each prior reporting period presented; or (ii) modified retrospectively with the cumulative effect of initially applying this ASU recognized at the date of initial application. The Company adopted ASU 2014-09 on January 1, 2018 and is using the modified retrospective method.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revenues are primarily generated from the sale of finished products to customers. Those sales predominantly contain a single delivery element and revenue for such sales is recognized when the customer obtains control. The team has identified the Company’s material revenue streams to be the sale of new and used commercial vehicles; arrangement of associated commercial vehicle financing and insurance contracts; the performance of commercial vehicle repair services; and the sale of commercial vehicle parts. The Company does not expect the adoption to materially impact its consolidated financial statements.</w:t>
      </w:r>
    </w:p>
    <w:p>
      <w:pPr>
        <w:spacing w:after="0" w:line="200" w:lineRule="exact"/>
        <w:rPr>
          <w:sz w:val="20"/>
          <w:szCs w:val="20"/>
          <w:color w:val="auto"/>
        </w:rPr>
      </w:pPr>
    </w:p>
    <w:p>
      <w:pPr>
        <w:spacing w:after="0" w:line="231" w:lineRule="exact"/>
        <w:rPr>
          <w:sz w:val="20"/>
          <w:szCs w:val="20"/>
          <w:color w:val="auto"/>
        </w:rPr>
      </w:pPr>
    </w:p>
    <w:p>
      <w:pPr>
        <w:jc w:val="both"/>
        <w:ind w:right="8160" w:firstLine="8"/>
        <w:spacing w:after="0" w:line="563" w:lineRule="auto"/>
        <w:tabs>
          <w:tab w:leader="none" w:pos="81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SUPPLIER CONCENTRATION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Major Suppliers and Dealership Agreements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entered into dealership agreements with various manufacturers of commercial vehicles and buses (“Manufacturers”). These agreements are nonexclusive agreements that allow the Company to stock, sell at retail and service commercial vehicles and sell parts from the Manufacturers in the Company’s defined market. The agreements allow the Company to use the Manufacturers’ names, trade symbols and intellectual property and expire as follows:</w:t>
      </w:r>
    </w:p>
    <w:p>
      <w:pPr>
        <w:spacing w:after="0" w:line="187" w:lineRule="exact"/>
        <w:rPr>
          <w:sz w:val="20"/>
          <w:szCs w:val="20"/>
          <w:color w:val="auto"/>
        </w:rPr>
      </w:pPr>
    </w:p>
    <w:tbl>
      <w:tblPr>
        <w:tblLayout w:type="fixed"/>
        <w:tblInd w:w="1900" w:type="dxa"/>
        <w:tblCellMar>
          <w:top w:w="0" w:type="dxa"/>
          <w:left w:w="0" w:type="dxa"/>
          <w:bottom w:w="0" w:type="dxa"/>
          <w:right w:w="0" w:type="dxa"/>
        </w:tblCellMar>
      </w:tblPr>
      <w:tr>
        <w:trPr>
          <w:trHeight w:val="230"/>
        </w:trPr>
        <w:tc>
          <w:tcPr>
            <w:tcW w:w="33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Manufacturer</w:t>
            </w:r>
          </w:p>
        </w:tc>
        <w:tc>
          <w:tcPr>
            <w:tcW w:w="28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Dates</w:t>
            </w:r>
          </w:p>
        </w:tc>
      </w:tr>
      <w:tr>
        <w:trPr>
          <w:trHeight w:val="210"/>
        </w:trPr>
        <w:tc>
          <w:tcPr>
            <w:tcW w:w="33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Peterbilt</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June 2018 through March 2019</w:t>
            </w:r>
          </w:p>
        </w:tc>
      </w:tr>
      <w:tr>
        <w:trPr>
          <w:trHeight w:val="216"/>
        </w:trPr>
        <w:tc>
          <w:tcPr>
            <w:tcW w:w="3360" w:type="dxa"/>
            <w:vAlign w:val="bottom"/>
          </w:tcPr>
          <w:p>
            <w:pPr>
              <w:jc w:val="center"/>
              <w:ind w:left="30"/>
              <w:spacing w:after="0"/>
              <w:rPr>
                <w:sz w:val="20"/>
                <w:szCs w:val="20"/>
                <w:color w:val="auto"/>
              </w:rPr>
            </w:pPr>
            <w:r>
              <w:rPr>
                <w:rFonts w:ascii="Arial" w:cs="Arial" w:eastAsia="Arial" w:hAnsi="Arial"/>
                <w:sz w:val="18"/>
                <w:szCs w:val="18"/>
                <w:color w:val="auto"/>
                <w:w w:val="92"/>
              </w:rPr>
              <w:t>International</w:t>
            </w:r>
          </w:p>
        </w:tc>
        <w:tc>
          <w:tcPr>
            <w:tcW w:w="2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July 2018 through May 2023</w:t>
            </w:r>
          </w:p>
        </w:tc>
      </w:tr>
      <w:tr>
        <w:trPr>
          <w:trHeight w:val="216"/>
        </w:trPr>
        <w:tc>
          <w:tcPr>
            <w:tcW w:w="33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Isuzu</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3360" w:type="dxa"/>
            <w:vAlign w:val="bottom"/>
          </w:tcPr>
          <w:p>
            <w:pPr>
              <w:jc w:val="center"/>
              <w:ind w:left="30"/>
              <w:spacing w:after="0"/>
              <w:rPr>
                <w:sz w:val="20"/>
                <w:szCs w:val="20"/>
                <w:color w:val="auto"/>
              </w:rPr>
            </w:pPr>
            <w:r>
              <w:rPr>
                <w:rFonts w:ascii="Arial" w:cs="Arial" w:eastAsia="Arial" w:hAnsi="Arial"/>
                <w:sz w:val="18"/>
                <w:szCs w:val="18"/>
                <w:color w:val="auto"/>
                <w:w w:val="97"/>
              </w:rPr>
              <w:t>Hino</w:t>
            </w:r>
          </w:p>
        </w:tc>
        <w:tc>
          <w:tcPr>
            <w:tcW w:w="2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33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Ford</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3360" w:type="dxa"/>
            <w:vAlign w:val="bottom"/>
          </w:tcPr>
          <w:p>
            <w:pPr>
              <w:jc w:val="center"/>
              <w:ind w:left="50"/>
              <w:spacing w:after="0"/>
              <w:rPr>
                <w:sz w:val="20"/>
                <w:szCs w:val="20"/>
                <w:color w:val="auto"/>
              </w:rPr>
            </w:pPr>
            <w:r>
              <w:rPr>
                <w:rFonts w:ascii="Arial" w:cs="Arial" w:eastAsia="Arial" w:hAnsi="Arial"/>
                <w:sz w:val="18"/>
                <w:szCs w:val="18"/>
                <w:color w:val="auto"/>
                <w:w w:val="95"/>
              </w:rPr>
              <w:t>Blue Bird</w:t>
            </w:r>
          </w:p>
        </w:tc>
        <w:tc>
          <w:tcPr>
            <w:tcW w:w="2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August 2018</w:t>
            </w:r>
          </w:p>
        </w:tc>
      </w:tr>
      <w:tr>
        <w:trPr>
          <w:trHeight w:val="216"/>
        </w:trPr>
        <w:tc>
          <w:tcPr>
            <w:tcW w:w="33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IC Bus</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2020 through December 2022</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purchases its new Peterbilt vehicles from Peterbilt and most of the parts sold at its Peterbilt dealerships from PACCAR, Inc, the parent company of Peterbilt, at prevailing prices charged to all franchised dealers. Sales of new Peterbilt trucks accounted for approximately 65.2% of the Company’s new vehicle sales for the year ended December 31, 2017, 61.0% of the Company’s new vehicle sales for the year ended December 31, 2016, and 59.6% of the Company’s new vehicle sales for the year ended December 31, 2015.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Primary Lenders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purchases its new and used commercial vehicle inventories with the assistance of floor plan financing programs as described in Note 7 to these Notes to Consolidated Financial Statements. The Company’s floor plan financing agreements provide that the occurrence of certain events will be considered events of default.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acquires lease and rental vehicles with the assistance of financing agreements with PACCAR Leasing Company, Bank of America and Wells Fargo. The financing agreements are secured by a lien on the acquired vehicle. The terms of the financing agreements are similar to the corresponding lease agreements with the Company’s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based on periodic assessments of such institutions. The Company’s cash and cash equivalents may be uninsured or in deposit accounts that exceed the Federal Deposit Insurance Corporation insurance limit.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controls credit risk through credit approvals and by selling a majority of its trade receivables, other than vehicle accounts receivable, without recourse. Concentrations of credit risk with respect to trade receivables are reduced because a large number of geographically diverse customers make up the Company’s customer base; however, substantially all of the Company’s business is concentrated in the United States commercial vehicle markets and related aftermarkets.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sells finance contracts it enters into with customers to finance the purchase of commercial vehicles to third parties. These finance contracts are sold by the Company both with and without recourse. A majority of the Company’s finance contracts are sold without recourse. The Company provides an allowance for doubtful receivables and a reserve for repossession losses related to finance contracts sold with recourse. Historically, the Company’s allowances and reserves have covered losses inherent in these receivables.</w:t>
      </w:r>
    </w:p>
    <w:p>
      <w:pPr>
        <w:spacing w:after="0" w:line="200" w:lineRule="exact"/>
        <w:rPr>
          <w:sz w:val="20"/>
          <w:szCs w:val="20"/>
          <w:color w:val="auto"/>
        </w:rPr>
      </w:pPr>
    </w:p>
    <w:p>
      <w:pPr>
        <w:spacing w:after="0" w:line="230" w:lineRule="exact"/>
        <w:rPr>
          <w:sz w:val="20"/>
          <w:szCs w:val="20"/>
          <w:color w:val="auto"/>
        </w:rPr>
      </w:pPr>
    </w:p>
    <w:p>
      <w:pPr>
        <w:ind w:left="820" w:hanging="81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accounts receivable, net,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from sale of vehicles</w:t>
            </w:r>
          </w:p>
        </w:tc>
        <w:tc>
          <w:tcPr>
            <w:tcW w:w="36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104,779</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83,482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Trade receivables other than vehicles</w:t>
            </w:r>
          </w:p>
        </w:tc>
        <w:tc>
          <w:tcPr>
            <w:tcW w:w="2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57,697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42,876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2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2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12,753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22,409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bad debt and warranty claims</w:t>
            </w:r>
          </w:p>
        </w:tc>
        <w:tc>
          <w:tcPr>
            <w:tcW w:w="2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183,875</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156,199</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660" w:type="dxa"/>
            <w:vAlign w:val="bottom"/>
          </w:tcPr>
          <w:p>
            <w:pPr>
              <w:spacing w:after="0"/>
              <w:rPr>
                <w:sz w:val="24"/>
                <w:szCs w:val="24"/>
                <w:color w:val="auto"/>
              </w:rPr>
            </w:pPr>
          </w:p>
        </w:tc>
        <w:tc>
          <w:tcPr>
            <w:tcW w:w="4240" w:type="dxa"/>
            <w:vAlign w:val="bottom"/>
            <w:tcBorders>
              <w:top w:val="single" w:sz="8" w:color="CCEEFF"/>
            </w:tcBorders>
          </w:tcPr>
          <w:p>
            <w:pPr>
              <w:spacing w:after="0"/>
              <w:rPr>
                <w:sz w:val="24"/>
                <w:szCs w:val="24"/>
                <w:color w:val="auto"/>
              </w:rPr>
            </w:pPr>
          </w:p>
        </w:tc>
        <w:tc>
          <w:tcPr>
            <w:tcW w:w="2640" w:type="dxa"/>
            <w:vAlign w:val="bottom"/>
            <w:tcBorders>
              <w:top w:val="single" w:sz="8" w:color="CCEEFF"/>
            </w:tcBorders>
          </w:tcPr>
          <w:p>
            <w:pPr>
              <w:jc w:val="right"/>
              <w:ind w:right="1650"/>
              <w:spacing w:after="0"/>
              <w:rPr>
                <w:sz w:val="20"/>
                <w:szCs w:val="20"/>
                <w:color w:val="auto"/>
              </w:rPr>
            </w:pPr>
            <w:r>
              <w:rPr>
                <w:rFonts w:ascii="Arial" w:cs="Arial" w:eastAsia="Arial" w:hAnsi="Arial"/>
                <w:sz w:val="18"/>
                <w:szCs w:val="18"/>
                <w:color w:val="auto"/>
              </w:rPr>
              <w:t>55</w:t>
            </w:r>
          </w:p>
        </w:tc>
        <w:tc>
          <w:tcPr>
            <w:tcW w:w="9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820" w:hanging="81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inventories, net, consisted of the following (in thousands):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New commercial vehicles</w:t>
            </w:r>
          </w:p>
        </w:tc>
        <w:tc>
          <w:tcPr>
            <w:tcW w:w="28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747,531</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Used commercial vehicles</w:t>
            </w: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76,488</w:t>
            </w: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Parts and accessories</w:t>
            </w:r>
          </w:p>
        </w:tc>
        <w:tc>
          <w:tcPr>
            <w:tcW w:w="2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205,534</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w:t>
            </w: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15,924</w:t>
            </w: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w:t>
            </w:r>
          </w:p>
        </w:tc>
        <w:tc>
          <w:tcPr>
            <w:tcW w:w="2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(12,183)</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1,033,294</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6.</w:t>
            </w:r>
          </w:p>
        </w:tc>
        <w:tc>
          <w:tcPr>
            <w:tcW w:w="3520" w:type="dxa"/>
            <w:vAlign w:val="bottom"/>
            <w:gridSpan w:val="2"/>
          </w:tcPr>
          <w:p>
            <w:pPr>
              <w:spacing w:after="0"/>
              <w:rPr>
                <w:sz w:val="20"/>
                <w:szCs w:val="20"/>
                <w:color w:val="auto"/>
              </w:rPr>
            </w:pPr>
            <w:r>
              <w:rPr>
                <w:rFonts w:ascii="Arial" w:cs="Arial" w:eastAsia="Arial" w:hAnsi="Arial"/>
                <w:sz w:val="18"/>
                <w:szCs w:val="18"/>
                <w:color w:val="auto"/>
              </w:rPr>
              <w:t>VALUATION ACCOUNTS:</w:t>
            </w: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3"/>
        </w:trPr>
        <w:tc>
          <w:tcPr>
            <w:tcW w:w="6180" w:type="dxa"/>
            <w:vAlign w:val="bottom"/>
            <w:gridSpan w:val="5"/>
          </w:tcPr>
          <w:p>
            <w:pPr>
              <w:spacing w:after="0"/>
              <w:rPr>
                <w:sz w:val="20"/>
                <w:szCs w:val="20"/>
                <w:color w:val="auto"/>
              </w:rPr>
            </w:pPr>
            <w:r>
              <w:rPr>
                <w:rFonts w:ascii="Arial" w:cs="Arial" w:eastAsia="Arial" w:hAnsi="Arial"/>
                <w:sz w:val="18"/>
                <w:szCs w:val="18"/>
                <w:color w:val="auto"/>
              </w:rPr>
              <w:t>Valuation and allowance accounts include the following (in thousands):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8"/>
        </w:trPr>
        <w:tc>
          <w:tcPr>
            <w:tcW w:w="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color w:val="auto"/>
                <w:w w:val="92"/>
              </w:rPr>
              <w:t>Net</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89"/>
              </w:rPr>
              <w:t>Balance</w:t>
            </w:r>
          </w:p>
        </w:tc>
        <w:tc>
          <w:tcPr>
            <w:tcW w:w="2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9"/>
              </w:rPr>
              <w:t>Charged to</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color w:val="auto"/>
                <w:w w:val="89"/>
              </w:rPr>
              <w:t>Balance</w:t>
            </w:r>
          </w:p>
        </w:tc>
      </w:tr>
      <w:tr>
        <w:trPr>
          <w:trHeight w:val="216"/>
        </w:trPr>
        <w:tc>
          <w:tcPr>
            <w:tcW w:w="8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92"/>
              </w:rPr>
              <w:t>Beginning</w:t>
            </w:r>
          </w:p>
        </w:tc>
        <w:tc>
          <w:tcPr>
            <w:tcW w:w="26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8"/>
              </w:rPr>
              <w:t>Costs and</w:t>
            </w:r>
          </w:p>
        </w:tc>
        <w:tc>
          <w:tcPr>
            <w:tcW w:w="26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Net Write-</w:t>
            </w:r>
          </w:p>
        </w:tc>
        <w:tc>
          <w:tcPr>
            <w:tcW w:w="280" w:type="dxa"/>
            <w:vAlign w:val="bottom"/>
          </w:tcPr>
          <w:p>
            <w:pPr>
              <w:spacing w:after="0"/>
              <w:rPr>
                <w:sz w:val="18"/>
                <w:szCs w:val="18"/>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color w:val="auto"/>
                <w:w w:val="93"/>
              </w:rPr>
              <w:t>End</w:t>
            </w:r>
          </w:p>
        </w:tc>
      </w:tr>
      <w:tr>
        <w:trPr>
          <w:trHeight w:val="230"/>
        </w:trPr>
        <w:tc>
          <w:tcPr>
            <w:tcW w:w="82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of Year</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5"/>
              </w:rPr>
              <w:t>Expenses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Offs</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2"/>
              </w:rPr>
              <w:t>of Year</w:t>
            </w:r>
          </w:p>
        </w:tc>
      </w:tr>
      <w:tr>
        <w:trPr>
          <w:trHeight w:val="210"/>
        </w:trPr>
        <w:tc>
          <w:tcPr>
            <w:tcW w:w="8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Reserve for accounts receivable</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616</w:t>
            </w:r>
          </w:p>
        </w:tc>
      </w:tr>
      <w:tr>
        <w:trPr>
          <w:trHeight w:val="216"/>
        </w:trPr>
        <w:tc>
          <w:tcPr>
            <w:tcW w:w="8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warranty receivables</w:t>
            </w: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16"/>
        </w:trPr>
        <w:tc>
          <w:tcPr>
            <w:tcW w:w="8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Reserve for parts inventory</w:t>
            </w:r>
          </w:p>
        </w:tc>
        <w:tc>
          <w:tcPr>
            <w:tcW w:w="6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4,885</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1,414</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6,230</w:t>
            </w:r>
          </w:p>
        </w:tc>
      </w:tr>
      <w:tr>
        <w:trPr>
          <w:trHeight w:val="216"/>
        </w:trPr>
        <w:tc>
          <w:tcPr>
            <w:tcW w:w="820" w:type="dxa"/>
            <w:vAlign w:val="bottom"/>
          </w:tcPr>
          <w:p>
            <w:pPr>
              <w:spacing w:after="0"/>
              <w:rPr>
                <w:sz w:val="18"/>
                <w:szCs w:val="18"/>
                <w:color w:val="auto"/>
              </w:rPr>
            </w:pPr>
          </w:p>
        </w:tc>
        <w:tc>
          <w:tcPr>
            <w:tcW w:w="35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Reserve for commercial vehicle inventory</w:t>
            </w:r>
          </w:p>
        </w:tc>
        <w:tc>
          <w:tcPr>
            <w:tcW w:w="6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5,102</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5,953</w:t>
            </w:r>
          </w:p>
        </w:tc>
      </w:tr>
      <w:tr>
        <w:trPr>
          <w:trHeight w:val="210"/>
        </w:trPr>
        <w:tc>
          <w:tcPr>
            <w:tcW w:w="8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Reserve for accounts receivable</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549</w:t>
            </w:r>
          </w:p>
        </w:tc>
      </w:tr>
      <w:tr>
        <w:trPr>
          <w:trHeight w:val="216"/>
        </w:trPr>
        <w:tc>
          <w:tcPr>
            <w:tcW w:w="8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warranty receivables</w:t>
            </w: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16"/>
        </w:trPr>
        <w:tc>
          <w:tcPr>
            <w:tcW w:w="8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Reserve for parts inventory</w:t>
            </w:r>
          </w:p>
        </w:tc>
        <w:tc>
          <w:tcPr>
            <w:tcW w:w="6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7,291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3,400</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(5,806)</w:t>
            </w: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4,885</w:t>
            </w:r>
          </w:p>
        </w:tc>
      </w:tr>
      <w:tr>
        <w:trPr>
          <w:trHeight w:val="216"/>
        </w:trPr>
        <w:tc>
          <w:tcPr>
            <w:tcW w:w="820" w:type="dxa"/>
            <w:vAlign w:val="bottom"/>
          </w:tcPr>
          <w:p>
            <w:pPr>
              <w:spacing w:after="0"/>
              <w:rPr>
                <w:sz w:val="18"/>
                <w:szCs w:val="18"/>
                <w:color w:val="auto"/>
              </w:rPr>
            </w:pPr>
          </w:p>
        </w:tc>
        <w:tc>
          <w:tcPr>
            <w:tcW w:w="35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Reserve for commercial vehicle inventory</w:t>
            </w:r>
          </w:p>
        </w:tc>
        <w:tc>
          <w:tcPr>
            <w:tcW w:w="6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6,541</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(11,062)</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5,102</w:t>
            </w:r>
          </w:p>
        </w:tc>
      </w:tr>
      <w:tr>
        <w:trPr>
          <w:trHeight w:val="210"/>
        </w:trPr>
        <w:tc>
          <w:tcPr>
            <w:tcW w:w="8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Reserve for accounts receivable</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(1,125)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506</w:t>
            </w:r>
          </w:p>
        </w:tc>
      </w:tr>
      <w:tr>
        <w:trPr>
          <w:trHeight w:val="216"/>
        </w:trPr>
        <w:tc>
          <w:tcPr>
            <w:tcW w:w="8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warranty receivables</w:t>
            </w: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16"/>
        </w:trPr>
        <w:tc>
          <w:tcPr>
            <w:tcW w:w="8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Reserve for parts inventory</w:t>
            </w:r>
          </w:p>
        </w:tc>
        <w:tc>
          <w:tcPr>
            <w:tcW w:w="6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5,067</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4,215</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(1,991)</w:t>
            </w:r>
          </w:p>
        </w:tc>
        <w:tc>
          <w:tcPr>
            <w:tcW w:w="2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7,291</w:t>
            </w:r>
          </w:p>
        </w:tc>
      </w:tr>
      <w:tr>
        <w:trPr>
          <w:trHeight w:val="216"/>
        </w:trPr>
        <w:tc>
          <w:tcPr>
            <w:tcW w:w="820" w:type="dxa"/>
            <w:vAlign w:val="bottom"/>
          </w:tcPr>
          <w:p>
            <w:pPr>
              <w:spacing w:after="0"/>
              <w:rPr>
                <w:sz w:val="18"/>
                <w:szCs w:val="18"/>
                <w:color w:val="auto"/>
              </w:rPr>
            </w:pPr>
          </w:p>
        </w:tc>
        <w:tc>
          <w:tcPr>
            <w:tcW w:w="35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Reserve for commercial vehicle inventory</w:t>
            </w:r>
          </w:p>
        </w:tc>
        <w:tc>
          <w:tcPr>
            <w:tcW w:w="6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10,644</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6,541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Receivables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sells a majority of its customer accounts receivable on a non-recourse basis to a third-party that is responsible for qualifying the customer for credit at the point of sale. If the third-party approves the customer for credit, then the third-party assumes all credit risk related to the transaction. For accounts receivable that the Company does not sell or that are sold with recourse to the Company, an allowance for doubtful receivables is provided after considering historical loss experience and other factors that might affect the collection of such accounts receivable.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an allowance for uncollectible warranty receivables. The Company evaluates the collectability of its warranty claims receivable based on a combination of factors, including aging and correspondence with the applicable manufacturer. Management reviews the warranty claims receivable aging and adjusts the allowance based on historical experience. The Company records charge-offs related to warranty receivables after it is determined that a receivable will not be fully collected.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reverse any reserve balance until the inventory is sold.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valuation for new and used commercial vehicle inventory is based on specific identification. A detail of new and used commercial vehicle inventory is reviewed and, if necessary, adjustments to the value of specific vehicles are made on a quarterly basis.</w:t>
      </w:r>
    </w:p>
    <w:p>
      <w:pPr>
        <w:spacing w:after="0" w:line="200" w:lineRule="exact"/>
        <w:rPr>
          <w:sz w:val="20"/>
          <w:szCs w:val="20"/>
          <w:color w:val="auto"/>
        </w:rPr>
      </w:pPr>
    </w:p>
    <w:p>
      <w:pPr>
        <w:spacing w:after="0" w:line="214" w:lineRule="exact"/>
        <w:rPr>
          <w:sz w:val="20"/>
          <w:szCs w:val="20"/>
          <w:color w:val="auto"/>
        </w:rPr>
      </w:pPr>
    </w:p>
    <w:p>
      <w:pPr>
        <w:ind w:right="6040" w:firstLine="8"/>
        <w:spacing w:after="0" w:line="501" w:lineRule="auto"/>
        <w:tabs>
          <w:tab w:leader="none" w:pos="81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FLOOR PLAN NOTES PAYABLE AND LINES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Plan Notes Payable</w:t>
      </w:r>
    </w:p>
    <w:p>
      <w:pPr>
        <w:jc w:val="both"/>
        <w:spacing w:after="0" w:line="286" w:lineRule="auto"/>
        <w:rPr>
          <w:sz w:val="20"/>
          <w:szCs w:val="20"/>
          <w:color w:val="auto"/>
        </w:rPr>
      </w:pPr>
      <w:r>
        <w:rPr>
          <w:rFonts w:ascii="Arial" w:cs="Arial" w:eastAsia="Arial" w:hAnsi="Arial"/>
          <w:sz w:val="17"/>
          <w:szCs w:val="17"/>
          <w:color w:val="auto"/>
        </w:rPr>
        <w:t>Floor plan notes are financing agreements to facilitate the Company’s purchase of new and used commercial vehicle inventory. These notes are collateralized by the inventory purchased and accounts receivable arising from the sale thereof. The Company’s Floor Plan Credit Agreement provides for a loan commitment of up to $875.0 million and has the interest rate benchmarked to LIBOR, as defined in the agreement.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under the Company’s Floor Plan Credit Agreement is the three month LIBOR rate plus 1.51%. The interest rate applicable to the Company’s Floor Plan Credit Agreement was approximately 2.99% at December 31, 2017. The Company utilizes its excess cash on hand to pay down its outstanding borrowings under its Floor Plan Credit Agreement, and the resulting interest earned is recognized as an offset to the Company’s gross interest expense under the Floor Plan Credit Agreement. The Company is required to pay a monthly working capital fee equal to 0.16% per annum multiplied by the amount of voluntary prepayments of new and used inventory loans.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finances substantially all of the purchase price of its new commercial vehicle inventory, and the loan value of its used commercial vehicle inventory, under its Floor Plan Credit Agreement, under which BMO Harris pays the manufacturer directly with respect to new commercial vehicles. Amounts borrowed under the Company’s Floor Plan Credit Agreement are due when the related commercial vehicle inventory (collateral) is sold and the sales proceeds are collected by the Company. The Company’s Floor Plan Credit Agreement expires June 30, 2019, although BMO Harris has the right to terminate the Floor Plan Credit Agreement at any time upon 120 days’ written notice. The Company may terminate the Floor Plan Credit Agreement at any time, although if it does so, it must pay a prepayment processing fee equal to 1.0% of the aggregate revolving loan commitments if such termination occurs on or prior to July 1, 2018 or $500,000 if such termination occurs after July 1, 2018 and prior to June 30, 2019, subject to specified limited exceptions. On December 31, 2017, the Company had approximately $656.1 million outstanding under its Floor Plan Credit Agreement.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2012, the Company entered into a wholesale financing agreement with Ford Motor Credit Company that provides for the financing of, and is collateralized by, the Company’s new Ford vehicle inventory. This wholesale financing agreement bears interest at a rate of Prime plus 150 basis points minus certain incentives and rebates; however, the prime rate is defined to be a minimum of 3.75%. As of December 31, 2017, the interest rate on the wholesale financing agreement was 5.25% before considering the applicable incentives. On December 31, 2017, the Company had an outstanding balance of approximately $82.0 million under the Ford Motor Credit Company wholesale financing agreement.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weighted average interest rate for floor plan notes payable was 1.4% for the year ended December 31, 2017, and 1.6% for the year ended December 31, 2016, which is net of interest related to prepayments of new and used inventory loans.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3"/>
          </w:tcPr>
          <w:p>
            <w:pPr>
              <w:spacing w:after="0"/>
              <w:rPr>
                <w:sz w:val="20"/>
                <w:szCs w:val="20"/>
                <w:color w:val="auto"/>
              </w:rPr>
            </w:pPr>
            <w:r>
              <w:rPr>
                <w:rFonts w:ascii="Arial" w:cs="Arial" w:eastAsia="Arial" w:hAnsi="Arial"/>
                <w:sz w:val="18"/>
                <w:szCs w:val="18"/>
                <w:color w:val="auto"/>
              </w:rPr>
              <w:t>Assets pledged as collateral were as follows (in thousands):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Inventories, new and used vehicles at cost based on specific identification, net of allowance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818,066</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642,205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Vehicle sale related accounts receivable</w:t>
            </w:r>
          </w:p>
        </w:tc>
        <w:tc>
          <w:tcPr>
            <w:tcW w:w="9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104,778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83,482</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3"/>
          </w:tcPr>
          <w:p>
            <w:pPr>
              <w:ind w:left="660"/>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922,844</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725,687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gridSpan w:val="3"/>
          </w:tcPr>
          <w:p>
            <w:pPr>
              <w:ind w:left="660"/>
              <w:spacing w:after="0"/>
              <w:rPr>
                <w:sz w:val="20"/>
                <w:szCs w:val="20"/>
                <w:color w:val="auto"/>
              </w:rPr>
            </w:pPr>
            <w:r>
              <w:rPr>
                <w:rFonts w:ascii="Arial" w:cs="Arial" w:eastAsia="Arial" w:hAnsi="Arial"/>
                <w:sz w:val="18"/>
                <w:szCs w:val="18"/>
                <w:color w:val="auto"/>
              </w:rPr>
              <w:t>Floor plan notes payable related to vehicles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778,561</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646,945</w:t>
            </w: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spacing w:after="0"/>
              <w:rPr>
                <w:sz w:val="20"/>
                <w:szCs w:val="20"/>
                <w:color w:val="auto"/>
              </w:rPr>
            </w:pPr>
            <w:r>
              <w:rPr>
                <w:rFonts w:ascii="Arial" w:cs="Arial" w:eastAsia="Arial" w:hAnsi="Arial"/>
                <w:sz w:val="18"/>
                <w:szCs w:val="18"/>
                <w:color w:val="auto"/>
                <w:w w:val="93"/>
              </w:rPr>
              <w:t>Lines of Credit</w:t>
            </w:r>
          </w:p>
        </w:tc>
        <w:tc>
          <w:tcPr>
            <w:tcW w:w="6440" w:type="dxa"/>
            <w:vAlign w:val="bottom"/>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100" w:type="dxa"/>
            <w:vAlign w:val="bottom"/>
            <w:tcBorders>
              <w:bottom w:val="single" w:sz="8" w:color="auto"/>
            </w:tcBorders>
            <w:gridSpan w:val="2"/>
            <w:vMerge w:val="continue"/>
          </w:tcPr>
          <w:p>
            <w:pPr>
              <w:spacing w:after="0"/>
              <w:rPr>
                <w:sz w:val="24"/>
                <w:szCs w:val="24"/>
                <w:color w:val="auto"/>
              </w:rPr>
            </w:pPr>
          </w:p>
        </w:tc>
        <w:tc>
          <w:tcPr>
            <w:tcW w:w="64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secured line of credit that provides for a maximum borrowing of $17.5 million. There were no advances outstanding under this secured line of credit at December 31, 2017; however, $11.9 million was pledged to secure various letters of credit related to self-insurance products, leaving $5.6 million available for future borrowings as of December 31, 2017.</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a Working Capital Facility with BMO Harris. The Working Capital Facility includes up to $100.0 million of revolving credit loans to the Company for working capital, capital expenditures and other general corporate purposes. The amount of the borrowings under the Working Capital Facility are subject to borrowing base limitations based on the value of the Company’s eligible parts inventory and company vehicles. The Working Capital Facility includes a $20.0 million letter of credit sublimit. Borrowings under the Working Capital Facility bear interest at rates based on LIBOR or the Base Rate, plus an applicable margin determined based on outstanding borrowing under the Working Capital Facility. In addition, the Company is required to pay a commitment fee on the amount unused under the Working Capital Facility. The Working Capital Facility expires on the earlier of (i) March 21, 2020 and (ii) the date on which all commitments under the Floor Plan Working Capital Facility shall have terminated, whether as a result of the occurrence of the Commitment Termination Date or otherwise. There were no advances outstanding under the Working Capital Facility as of December 31, 2017.</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8.</w:t>
            </w:r>
          </w:p>
        </w:tc>
        <w:tc>
          <w:tcPr>
            <w:tcW w:w="466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80" w:type="dxa"/>
            <w:vAlign w:val="bottom"/>
            <w:gridSpan w:val="4"/>
          </w:tcPr>
          <w:p>
            <w:pPr>
              <w:spacing w:after="0"/>
              <w:rPr>
                <w:sz w:val="20"/>
                <w:szCs w:val="20"/>
                <w:color w:val="auto"/>
              </w:rPr>
            </w:pPr>
            <w:r>
              <w:rPr>
                <w:rFonts w:ascii="Arial" w:cs="Arial" w:eastAsia="Arial" w:hAnsi="Arial"/>
                <w:sz w:val="18"/>
                <w:szCs w:val="18"/>
                <w:color w:val="auto"/>
              </w:rPr>
              <w:t>Long-term debt was comprised of the following (in thousands):</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4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interest rate term notes</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96,157</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107,894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Fixed interest rate term notes</w:t>
            </w:r>
          </w:p>
        </w:tc>
        <w:tc>
          <w:tcPr>
            <w:tcW w:w="1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4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611,528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603,220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vMerge w:val="restart"/>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(145,139)</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(130,717)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60" w:type="dxa"/>
            <w:vAlign w:val="bottom"/>
            <w:gridSpan w:val="3"/>
          </w:tcPr>
          <w:p>
            <w:pPr>
              <w:ind w:left="320"/>
              <w:spacing w:after="0"/>
              <w:rPr>
                <w:sz w:val="20"/>
                <w:szCs w:val="20"/>
                <w:color w:val="auto"/>
              </w:rPr>
            </w:pPr>
            <w:r>
              <w:rPr>
                <w:rFonts w:ascii="Arial" w:cs="Arial" w:eastAsia="Arial" w:hAnsi="Arial"/>
                <w:sz w:val="18"/>
                <w:szCs w:val="18"/>
                <w:color w:val="auto"/>
              </w:rPr>
              <w:t>Total long-term debt, net of current maturities</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466,389</w:t>
            </w:r>
          </w:p>
        </w:tc>
        <w:tc>
          <w:tcPr>
            <w:tcW w:w="120" w:type="dxa"/>
            <w:vAlign w:val="bottom"/>
          </w:tcPr>
          <w:p>
            <w:pPr>
              <w:spacing w:after="0"/>
              <w:rPr>
                <w:sz w:val="18"/>
                <w:szCs w:val="18"/>
                <w:color w:val="auto"/>
              </w:rPr>
            </w:pPr>
          </w:p>
        </w:tc>
        <w:tc>
          <w:tcPr>
            <w:tcW w:w="5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472,503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4"/>
            <w:vMerge w:val="restart"/>
          </w:tcPr>
          <w:p>
            <w:pPr>
              <w:spacing w:after="0"/>
              <w:rPr>
                <w:sz w:val="20"/>
                <w:szCs w:val="20"/>
                <w:color w:val="auto"/>
              </w:rPr>
            </w:pPr>
            <w:r>
              <w:rPr>
                <w:rFonts w:ascii="Arial" w:cs="Arial" w:eastAsia="Arial" w:hAnsi="Arial"/>
                <w:sz w:val="18"/>
                <w:szCs w:val="18"/>
                <w:color w:val="auto"/>
                <w:w w:val="93"/>
              </w:rPr>
              <w:t>As of December 31, 2017, debt maturities were as follows (in thousands):</w:t>
            </w:r>
          </w:p>
        </w:tc>
        <w:tc>
          <w:tcPr>
            <w:tcW w:w="1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80" w:type="dxa"/>
            <w:vAlign w:val="bottom"/>
            <w:gridSpan w:val="4"/>
            <w:vMerge w:val="continue"/>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145,139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2019</w:t>
            </w:r>
          </w:p>
        </w:tc>
        <w:tc>
          <w:tcPr>
            <w:tcW w:w="3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140,823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144,163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2021</w:t>
            </w:r>
          </w:p>
        </w:tc>
        <w:tc>
          <w:tcPr>
            <w:tcW w:w="3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85,559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60" w:type="dxa"/>
            <w:vAlign w:val="bottom"/>
            <w:gridSpan w:val="3"/>
          </w:tcPr>
          <w:p>
            <w:pPr>
              <w:ind w:left="320"/>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611,528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40" w:type="dxa"/>
            <w:vAlign w:val="bottom"/>
            <w:vMerge w:val="restart"/>
          </w:tcPr>
          <w:p>
            <w:pPr>
              <w:jc w:val="right"/>
              <w:ind w:right="103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interest rates on the Company’s variable interest rate notes are based on various LIBOR benchmark rates. The interest rates on the notes ranged from approximately 3.1% to 3.6% on December 31, 2017. Payments on the notes range from approximately $5,330 to $125,833 per month, plus interest. Maturities of these notes range from June 2018 to June 2025.</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fixed interest rate notes had interest rates that ranged from approximately 2.75% to 7.61% on December 31, 2017. Payments on the notes range from $255 to $32,840 per month. Maturities of these notes range from January 2018 to August 2027.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proceeds from the issuance of the notes were used primarily to acquire land, buildings and improvements and vehicles for the Company’s lease and rental fleet. The notes are secured by the assets acquired with the proceeds of such notes.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long-term real estate debt agreements, floor plan financing arrangements and the Working Capital Facility require the Company to satisfy various financial ratios such as the debt to worth ratio, leverage ratio, the fixed charge coverage ratio and certain requirements for tangible net worth and GAAP net worth. As of December 31, 2017, the Company was in compliance with all debt covenants. The Company does not anticipate any breach of the covenants in the foreseeable future.</w:t>
      </w:r>
    </w:p>
    <w:p>
      <w:pPr>
        <w:spacing w:after="0" w:line="200" w:lineRule="exact"/>
        <w:rPr>
          <w:sz w:val="20"/>
          <w:szCs w:val="20"/>
          <w:color w:val="auto"/>
        </w:rPr>
      </w:pPr>
    </w:p>
    <w:p>
      <w:pPr>
        <w:spacing w:after="0" w:line="230" w:lineRule="exact"/>
        <w:rPr>
          <w:sz w:val="20"/>
          <w:szCs w:val="20"/>
          <w:color w:val="auto"/>
        </w:rPr>
      </w:pPr>
    </w:p>
    <w:p>
      <w:pPr>
        <w:ind w:left="820" w:hanging="81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FAIR VALUE</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December 31, 2017, and 2016. The carrying value of current assets and current liabilities approximates the fair value due to the short maturity of these items.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Company has categorized such debt within Level 2 of the hierarchy framework. The carrying amount approximates fair value.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2017, the Company held auction rate securities with underlying tax-exempt municipal bonds that mature in 2030 and have a fair value and a cost basis of $6.4 million. As of December 31, 2016, the Company held auction rate securities with underlying tax-exempt municipal bonds that mature in 2030 and have a fair value of $6.2 million and a cost basis of $6.7 million. The issuer redeemed $150,000 of the auction rate securities during 2014, $275,000 during 2015, $450,000 during 2016, and $325,000 in the second quarter of 2017. These bonds have credit wrap insurance and a credit rating of A by a major credit rating agency.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valued the auction rate securities at December 31, 2017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that the auction rate market will remain illiquid and auctions will continue to fail, causing the interest rate to be the maximum applicable rate. This assumption resulted in a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recorded a pre-tax impairment charge of $1.0 million on these auction rate securities in 2011 and subsequent pre-tax increases in fair value of $427,000 during 2014 and $469,000 during the second quarter of 2017. The Company believes that the impairment is temporary and had included the impairment in accumulated other comprehensive loss.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disclosures about the auction rate securities measured at fair value on a recurring basis in the Company’s financial statements as follows (in thousands):</w:t>
      </w:r>
    </w:p>
    <w:p>
      <w:pPr>
        <w:sectPr>
          <w:pgSz w:w="11900" w:h="16838" w:orient="portrait"/>
          <w:cols w:equalWidth="0" w:num="1">
            <w:col w:w="11420"/>
          </w:cols>
          <w:pgMar w:left="240" w:top="118" w:right="239" w:bottom="1440" w:gutter="0" w:footer="0" w:header="0"/>
        </w:sectPr>
      </w:pPr>
    </w:p>
    <w:p>
      <w:pPr>
        <w:spacing w:after="0" w:line="16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At December 31, 2017</w:t>
      </w:r>
    </w:p>
    <w:p>
      <w:pPr>
        <w:spacing w:after="0" w:line="27" w:lineRule="exact"/>
        <w:rPr>
          <w:sz w:val="20"/>
          <w:szCs w:val="20"/>
          <w:color w:val="auto"/>
        </w:rPr>
      </w:pPr>
    </w:p>
    <w:tbl>
      <w:tblPr>
        <w:tblLayout w:type="fixed"/>
        <w:tblInd w:w="3640" w:type="dxa"/>
        <w:tblCellMar>
          <w:top w:w="0" w:type="dxa"/>
          <w:left w:w="0" w:type="dxa"/>
          <w:bottom w:w="0" w:type="dxa"/>
          <w:right w:w="0" w:type="dxa"/>
        </w:tblCellMar>
      </w:tblPr>
      <w:tr>
        <w:trPr>
          <w:trHeight w:val="191"/>
        </w:trPr>
        <w:tc>
          <w:tcPr>
            <w:tcW w:w="11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Level 1</w:t>
            </w:r>
          </w:p>
        </w:tc>
        <w:tc>
          <w:tcPr>
            <w:tcW w:w="12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Level 2</w:t>
            </w:r>
          </w:p>
        </w:tc>
        <w:tc>
          <w:tcPr>
            <w:tcW w:w="1160" w:type="dxa"/>
            <w:vAlign w:val="bottom"/>
            <w:tcBorders>
              <w:top w:val="single" w:sz="8" w:color="auto"/>
            </w:tcBorders>
          </w:tcPr>
          <w:p>
            <w:pPr>
              <w:jc w:val="center"/>
              <w:ind w:left="30"/>
              <w:spacing w:after="0" w:line="191" w:lineRule="exact"/>
              <w:rPr>
                <w:sz w:val="20"/>
                <w:szCs w:val="20"/>
                <w:color w:val="auto"/>
              </w:rPr>
            </w:pPr>
            <w:r>
              <w:rPr>
                <w:rFonts w:ascii="Arial" w:cs="Arial" w:eastAsia="Arial" w:hAnsi="Arial"/>
                <w:sz w:val="18"/>
                <w:szCs w:val="18"/>
                <w:b w:val="1"/>
                <w:bCs w:val="1"/>
                <w:color w:val="auto"/>
                <w:w w:val="91"/>
              </w:rPr>
              <w:t>Level 3</w:t>
            </w:r>
          </w:p>
        </w:tc>
      </w:tr>
      <w:tr>
        <w:trPr>
          <w:trHeight w:val="234"/>
        </w:trPr>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Inputs</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At December 31,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Level 1</w:t>
            </w:r>
          </w:p>
        </w:tc>
        <w:tc>
          <w:tcPr>
            <w:tcW w:w="12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Level 2</w:t>
            </w:r>
          </w:p>
        </w:tc>
        <w:tc>
          <w:tcPr>
            <w:tcW w:w="1100" w:type="dxa"/>
            <w:vAlign w:val="bottom"/>
            <w:tcBorders>
              <w:top w:val="single" w:sz="8" w:color="auto"/>
            </w:tcBorders>
          </w:tcPr>
          <w:p>
            <w:pPr>
              <w:jc w:val="center"/>
              <w:ind w:left="10"/>
              <w:spacing w:after="0" w:line="191" w:lineRule="exact"/>
              <w:rPr>
                <w:sz w:val="20"/>
                <w:szCs w:val="20"/>
                <w:color w:val="auto"/>
              </w:rPr>
            </w:pPr>
            <w:r>
              <w:rPr>
                <w:rFonts w:ascii="Arial" w:cs="Arial" w:eastAsia="Arial" w:hAnsi="Arial"/>
                <w:sz w:val="18"/>
                <w:szCs w:val="18"/>
                <w:b w:val="1"/>
                <w:bCs w:val="1"/>
                <w:color w:val="auto"/>
                <w:w w:val="91"/>
              </w:rPr>
              <w:t>Level 3</w:t>
            </w:r>
          </w:p>
        </w:tc>
      </w:tr>
      <w:tr>
        <w:trPr>
          <w:trHeight w:val="234"/>
        </w:trPr>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Inputs</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r>
    </w:tbl>
    <w:p>
      <w:pPr>
        <w:spacing w:after="0" w:line="20" w:lineRule="exact"/>
        <w:rPr>
          <w:sz w:val="20"/>
          <w:szCs w:val="20"/>
          <w:color w:val="auto"/>
        </w:rPr>
      </w:pPr>
    </w:p>
    <w:p>
      <w:pPr>
        <w:sectPr>
          <w:pgSz w:w="11900" w:h="16838" w:orient="portrait"/>
          <w:cols w:equalWidth="0" w:num="2">
            <w:col w:w="7200" w:space="200"/>
            <w:col w:w="4020"/>
          </w:cols>
          <w:pgMar w:left="240" w:top="118" w:right="239" w:bottom="1440" w:gutter="0" w:footer="0" w:header="0"/>
          <w:type w:val="continuous"/>
        </w:sectPr>
      </w:pPr>
    </w:p>
    <w:tbl>
      <w:tblPr>
        <w:tblLayout w:type="fixed"/>
        <w:tblInd w:w="6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 in auction rate securities</w:t>
            </w:r>
          </w:p>
        </w:tc>
        <w:tc>
          <w:tcPr>
            <w:tcW w:w="50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6,375</w:t>
            </w: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560"/>
              <w:spacing w:after="0" w:line="189"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  $</w:t>
            </w: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Loss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8"/>
              </w:rPr>
              <w:t>Cost Basis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OCI</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w w:val="97"/>
              </w:rPr>
              <w:t>Investment in auction rate securities</w:t>
            </w: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6,375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b w:val="1"/>
                <w:bCs w:val="1"/>
                <w:color w:val="auto"/>
              </w:rPr>
              <w:t>December 31, 2016</w:t>
            </w: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Investment in auction rate securities</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2016, the Company instituted plans to consolidate its dealership network. In 2016, the Company recorded an impairment charge related to the value of the real estate in the affected locations in the amount of $7.5 million. The Company also classified certain excess real estate as held for sale, which resulted in an additional impairment charge.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measurements for the Company’s long-lived assets are based on Level 3 inputs. Fair values of the value of the real estate were determined based on evaluations by a third-party real estate broker that utilized its knowledge and historical experience in real estate markets and transactions. During 2016, the Company sold four of the properties previously classified as held for sale with a fair value of $6.1 million. During 2017, the Company sold three of the properties with a collective fair value of $2.2 million. During the third quarter of 2017, the Company made the decision to put one of the properties previously classified as “held for sale” with a fair value of $1.4 million back into service. As of December 31, 2017, the remaining real estate associated with the restructuring activities is included in assets held for sale on the Consolidated Balance Sheets.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0" w:name="page61"/>
    <w:bookmarkEnd w:id="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presents long-lived assets measured and recorded at fair value on a nonrecurring basis (in thousands):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Measurements</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Using Significant</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17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Loss During the</w:t>
            </w: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Loss During the</w:t>
            </w:r>
          </w:p>
        </w:tc>
      </w:tr>
      <w:tr>
        <w:trPr>
          <w:trHeight w:val="216"/>
        </w:trPr>
        <w:tc>
          <w:tcPr>
            <w:tcW w:w="3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172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Year Ended</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3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8"/>
                <w:szCs w:val="18"/>
                <w:color w:val="auto"/>
              </w:rPr>
            </w:pPr>
          </w:p>
        </w:tc>
        <w:tc>
          <w:tcPr>
            <w:tcW w:w="172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December 31,</w:t>
            </w: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2017</w:t>
            </w:r>
          </w:p>
        </w:tc>
        <w:tc>
          <w:tcPr>
            <w:tcW w:w="1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held for sale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  $</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(7,481)</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further discussion of assets held for sale, see Note 20 – Restructuring Costs of the Notes to Consolidated Financial Statements. The losses in the above table were reported in selling, general and administrative expenses in the Consolidated Statements of Income and Comprehensive Income and were reported under the Truck Segment.</w:t>
      </w:r>
    </w:p>
    <w:p>
      <w:pPr>
        <w:spacing w:after="0" w:line="200" w:lineRule="exact"/>
        <w:rPr>
          <w:sz w:val="20"/>
          <w:szCs w:val="20"/>
          <w:color w:val="auto"/>
        </w:rPr>
      </w:pPr>
    </w:p>
    <w:p>
      <w:pPr>
        <w:spacing w:after="0" w:line="224" w:lineRule="exact"/>
        <w:rPr>
          <w:sz w:val="20"/>
          <w:szCs w:val="20"/>
          <w:color w:val="auto"/>
        </w:rPr>
      </w:pPr>
    </w:p>
    <w:p>
      <w:pPr>
        <w:ind w:right="8740" w:firstLine="8"/>
        <w:spacing w:after="0" w:line="501" w:lineRule="auto"/>
        <w:tabs>
          <w:tab w:leader="none" w:pos="81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LEASING ACTIVITIES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Vehicle Leases as Lessee</w:t>
      </w:r>
    </w:p>
    <w:p>
      <w:pPr>
        <w:jc w:val="both"/>
        <w:spacing w:after="0" w:line="255" w:lineRule="auto"/>
        <w:rPr>
          <w:sz w:val="20"/>
          <w:szCs w:val="20"/>
          <w:color w:val="auto"/>
        </w:rPr>
      </w:pPr>
      <w:r>
        <w:rPr>
          <w:rFonts w:ascii="Arial" w:cs="Arial" w:eastAsia="Arial" w:hAnsi="Arial"/>
          <w:sz w:val="18"/>
          <w:szCs w:val="18"/>
          <w:color w:val="auto"/>
        </w:rPr>
        <w:t>The Company leases vehicles, as lessee, primarily over periods ranging from one to ten years under operating lease and capital lease arrangements. Generally, the Company is required to incur all operating costs and pay a minimum rental. The Company usually guarantees the residual value of vehicles under operating lease and capital lease arrangements. At December 31, 2017, the Company guaranteed vehicle residual values of $37.0 million under capital lease arrangements. Historically, the Company purchases these vehicles at the end of the lease term and recognizes a gain on the subsequent sale of the vehicle. Vehicle lease expenses were approximately $0.9 million for the year ended December 31, 2017, $1.3 million for the year ended December 31, 2016, and $2.4 million for the year ended December 31, 2015.</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below, these vehicles are then subleased by the Company to customers under various agreements. Future minimum sublease rentals to be received by the Company under non-cancelable subleases, as described below, are $71.0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capital and non-cancelable vehicle leases as of December 31, 2017, are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Capital</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Operating</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Leases</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2"/>
              </w:rPr>
              <w:t>Leases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308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19,819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2019</w:t>
            </w: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20,499</w:t>
            </w: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2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19,037</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2021</w:t>
            </w: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13,826</w:t>
            </w: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2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10,781</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Thereafter</w:t>
            </w: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6,735</w:t>
            </w: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30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90,697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4,621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 w:type="dxa"/>
            <w:vAlign w:val="bottom"/>
          </w:tcPr>
          <w:p>
            <w:pPr>
              <w:spacing w:after="0"/>
              <w:rPr>
                <w:sz w:val="17"/>
                <w:szCs w:val="17"/>
                <w:color w:val="auto"/>
              </w:rPr>
            </w:pPr>
          </w:p>
        </w:tc>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amount representing interest</w:t>
            </w:r>
          </w:p>
        </w:tc>
        <w:tc>
          <w:tcPr>
            <w:tcW w:w="2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4"/>
              </w:rPr>
              <w:t>(7,556)</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net minimum capital lease payments</w:t>
            </w:r>
          </w:p>
        </w:tc>
        <w:tc>
          <w:tcPr>
            <w:tcW w:w="202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83,141</w:t>
            </w: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(17,119)</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Obligations under capital leases less current portion</w:t>
            </w:r>
          </w:p>
        </w:tc>
        <w:tc>
          <w:tcPr>
            <w:tcW w:w="202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66,022</w:t>
            </w: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20" w:type="dxa"/>
            <w:vAlign w:val="bottom"/>
            <w:vMerge w:val="restart"/>
          </w:tcPr>
          <w:p>
            <w:pPr>
              <w:jc w:val="right"/>
              <w:ind w:right="1290"/>
              <w:spacing w:after="0"/>
              <w:rPr>
                <w:sz w:val="20"/>
                <w:szCs w:val="20"/>
                <w:color w:val="auto"/>
              </w:rPr>
            </w:pPr>
            <w:r>
              <w:rPr>
                <w:rFonts w:ascii="Arial" w:cs="Arial" w:eastAsia="Arial" w:hAnsi="Arial"/>
                <w:sz w:val="18"/>
                <w:szCs w:val="18"/>
                <w:color w:val="auto"/>
              </w:rPr>
              <w:t>61</w:t>
            </w: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60" w:type="dxa"/>
            <w:vAlign w:val="bottom"/>
            <w:tcBorders>
              <w:bottom w:val="single" w:sz="8" w:color="auto"/>
            </w:tcBorders>
          </w:tcPr>
          <w:p>
            <w:pPr>
              <w:spacing w:after="0"/>
              <w:rPr>
                <w:sz w:val="10"/>
                <w:szCs w:val="10"/>
                <w:color w:val="auto"/>
              </w:rPr>
            </w:pPr>
          </w:p>
        </w:tc>
        <w:tc>
          <w:tcPr>
            <w:tcW w:w="430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Vehicle Leases as Lessor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through its PacLease and Idealease franchises, leases vehicles that the Company owns or leases to customers primarily over periods of one to ten years, under operating lease arrangements that require a minimum rental payment and a contingent rental payment based on mileage. Rental income during the year ended December 31, 2017, consisted of minimum rental payments of approximately $187.4 million and contingent rental payments of $29.0 million. Rental income during the year ended December 31, 2016, consisted of minimum rental payments of approximately $182.1 million and contingent rental payments of $27.8 million. Rental income during the year ended December 31, 2015, consisted of minimum rental payments of approximately $175.0 million and contingent rental payments of $27.4 million. Minimum rental payments to be received for non-cancelable leases and subleases in effect at December 31, 2017, are as follows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123,641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104,067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51,334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14,961</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402,704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the Company had $584.4 million of lease vehicles included in property and equipment, net of accumulated depreciation of $310.5 million. As of December 31, 2016, the Company had $570.1 million of lease vehicles included in property and equipment, net of accumulated depreciation of $262.6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Leases - Land and Buildings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various assets under operating leases with expiration dates ranging from January 2018 through June 2102. Monthly rental payments range from approximately $275 per month to $46,479 per month. Rental expense was $9.5 million for the year ended December 31, 2017, $10.3 million for the year ended December 31, 2016, and $11.8 million for the year ended December 31, 2015. Future minimum lease payments under non-cancelable leases at December 31, 2017,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2019</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2021</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680" w:type="dxa"/>
            <w:vAlign w:val="bottom"/>
            <w:gridSpan w:val="3"/>
          </w:tcPr>
          <w:p>
            <w:pPr>
              <w:ind w:left="320"/>
              <w:spacing w:after="0"/>
              <w:rPr>
                <w:sz w:val="20"/>
                <w:szCs w:val="20"/>
                <w:color w:val="auto"/>
              </w:rPr>
            </w:pPr>
            <w:r>
              <w:rPr>
                <w:rFonts w:ascii="Arial" w:cs="Arial" w:eastAsia="Arial" w:hAnsi="Arial"/>
                <w:sz w:val="18"/>
                <w:szCs w:val="18"/>
                <w:color w:val="auto"/>
              </w:rPr>
              <w:t>Total</w:t>
            </w:r>
          </w:p>
        </w:tc>
        <w:tc>
          <w:tcPr>
            <w:tcW w:w="1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jc w:val="right"/>
              <w:ind w:right="490"/>
              <w:spacing w:after="0"/>
              <w:rPr>
                <w:sz w:val="20"/>
                <w:szCs w:val="20"/>
                <w:color w:val="auto"/>
              </w:rPr>
            </w:pPr>
            <w:r>
              <w:rPr>
                <w:rFonts w:ascii="Arial" w:cs="Arial" w:eastAsia="Arial" w:hAnsi="Arial"/>
                <w:sz w:val="18"/>
                <w:szCs w:val="18"/>
                <w:color w:val="auto"/>
                <w:w w:val="87"/>
              </w:rPr>
              <w:t>11.</w:t>
            </w:r>
          </w:p>
        </w:tc>
        <w:tc>
          <w:tcPr>
            <w:tcW w:w="6680" w:type="dxa"/>
            <w:vAlign w:val="bottom"/>
            <w:gridSpan w:val="3"/>
            <w:vMerge w:val="restart"/>
          </w:tcPr>
          <w:p>
            <w:pPr>
              <w:spacing w:after="0"/>
              <w:rPr>
                <w:sz w:val="20"/>
                <w:szCs w:val="20"/>
                <w:color w:val="auto"/>
              </w:rPr>
            </w:pPr>
            <w:r>
              <w:rPr>
                <w:rFonts w:ascii="Arial" w:cs="Arial" w:eastAsia="Arial" w:hAnsi="Arial"/>
                <w:sz w:val="18"/>
                <w:szCs w:val="18"/>
                <w:color w:val="auto"/>
              </w:rPr>
              <w:t>SHARE BASED COMPENSATION AND EMPLOYEE BENEFIT PLANS:</w:t>
            </w:r>
          </w:p>
        </w:tc>
        <w:tc>
          <w:tcPr>
            <w:tcW w:w="1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20" w:type="dxa"/>
            <w:vAlign w:val="bottom"/>
            <w:vMerge w:val="continue"/>
          </w:tcPr>
          <w:p>
            <w:pPr>
              <w:spacing w:after="0"/>
              <w:rPr>
                <w:sz w:val="24"/>
                <w:szCs w:val="24"/>
                <w:color w:val="auto"/>
              </w:rPr>
            </w:pPr>
          </w:p>
        </w:tc>
        <w:tc>
          <w:tcPr>
            <w:tcW w:w="668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2004 Employee Stock Purchase Plan, as amended and restated (the “Employee Stock Purchase Plan”) allows eligible employees to contribute up to $10,625 of their base earnings every six months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 Employees may purchase shares having a fair market value of up to $25,000 (measured as of the first day of each semi-annual offering period) for each calendar year. On May 17, 2016, the Company’s shareholders approved the amendment and restatement of the Employee Stock Purchase Plan to increase the number of shares of Class A Common Stock authorized for issuance thereunder by 500,000 shares. Under the Employee Stock Purchase Plan, there are approximately 415,000 shares remaining of the 1,400,000 shares of the Company’s Class A Common Stock that have been reserved for issuance. The Company issued 112,754 shares under the Employee Stock Purchase Plan during the year ended December 31, 2017 and 137,360 shares during the year ended December 31, 2016. Of the 6,825 employees eligible to participate, approximately 1,131 elected to participate in the plan as of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Stock Option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16, 2006, the Board of Directors and shareholders adopted the Rush Enterprises, Inc. 2006 Non-Employee Director Stock Option Plan (the “Director Plan”), reserving 1,500,000 shares of Class A Common Stock for issuance upon exercise of any awards granted under the plan. This Director Plan was Amended and Restated on May 20, 2008 to expand the type of awards that may be granted under the plan to include Class A Common Stock awards. The Director Plan was also amended on May 18, 2010 to reduce the number of shares reserved for issuance under the plan by 1,000,000 shares of Class A Common Stock.</w:t>
      </w:r>
    </w:p>
    <w:p>
      <w:pPr>
        <w:sectPr>
          <w:pgSz w:w="11900" w:h="16838" w:orient="portrait"/>
          <w:cols w:equalWidth="0" w:num="1">
            <w:col w:w="11420"/>
          </w:cols>
          <w:pgMar w:left="240" w:top="118"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2" w:name="page63"/>
    <w:bookmarkEnd w:id="6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Director Plan is designed to attract and retain highly qualified non-employee directors. Currently, each non-employee director receives a grant of the Company’s Class A Common Stock, or up to 40% cash, equivalent to a compensation value of $125,000. In 2016, two non-employee directors received a grant of 6,145 shares of the Company’s Class A Common Stock and four non-employee director received a grant of 3,687 shares of the Company’s Class A Common Stock and $50,000 cash, for total compensation equivalent to $125,000 each. In 2017, two non-employee directors received a grant of 3,307 shares of the Company’s Class A Common Stock, one non-employee director received a grant of 1,984 shares of the Company’s Class A Common Stock and $50,000 cash, one non-employee director received a grant of 2,315 shares of the Company’s Class A Common Stock and $37,500 cash, and one non-employee director received a grant of 2,480 shares of the Company’s Class A Common Stock and $31,250 cash, for total compensation equivalent to $125,000 each. Under the Director Plan, there are approximately 152,000 shares remaining for issuance of the 500,000 shares of the Company’s Class A Common Stock that have been reserved for issuance. The Company granted 13,393 shares of Class A Common Stock under the Director Plan during the year ended December 31, 2017 and 27,038 shares of Class A Common Stock under the Director Plan during the year ended December 31,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Incentive Plans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was amended and restated on May 20, 2014 and again on May 16, 2017 to increase the number of shares available for issuance under the plan to 7,800,000 shares of Class A Common Stock and 2,200,000 shares of Class B Common Stock.</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aggregate number of shares of common stock subject to stock options or SARs that may be granted to any one participant in any year under the 2007 Incentive Plan is 100,000 shares of Class A Common Stock or 100,000 shares of Class B Common Stock. Each option granted pursuant to the 2007 Incentive Plan has a ten year term from the grant date and vests in three equal annual installments beginning on the third anniversary of the grant date. The Company has 7,800,000 shares of Class A Common Stock and 2,200,000 shares of Class B Common Stock reserved for issuance upon exercise of any awards granted under the Company’s 2007 Incentive Plan. As of December 31, 2017, approximately 2,142,000 shares of Class A Common Stock and 1,063,000 shares of Class B Common Stock are available for issuance upon the exercise of any awards granted under the Company’s 2007 Incentive Plan. The Company issues new shares of its Class A or Class B Common Stock upon the exercise of stock options or vesting of restricted stock units. During the year ended December 31, 2017, the Company granted 472,463 options to purchase Class A Common Stock and 274,390 restricted Class B Common Stock units under the 2007 Incentive Plan. During the year ended December 31, 2016, the Company granted 493,088 options to purchase Class A Common Stock and 268,890 restricted Class B Common Stock units under the 2007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Stock-based compensation expense related to stock options, restricted stock awards, restricted stock units and employee stock purchases was $15.6 million for the year ended December 31, 2017, $12.9 million for the year ended December 31, 2016, and $12.4 million for the year ended December 31, 2015.</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received from options exercised and shares purchased under all share-based payment arrangements was $24.8 million for the year ended December 31, 2017, $6.5 million for the year ended December 31, 2016, and $4.3 million for the year ended December 31,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60" w:type="dxa"/>
            <w:vAlign w:val="bottom"/>
            <w:gridSpan w:val="11"/>
          </w:tcPr>
          <w:p>
            <w:pPr>
              <w:jc w:val="right"/>
              <w:ind w:right="740"/>
              <w:spacing w:after="0"/>
              <w:rPr>
                <w:sz w:val="20"/>
                <w:szCs w:val="20"/>
                <w:color w:val="auto"/>
              </w:rPr>
            </w:pPr>
            <w:r>
              <w:rPr>
                <w:rFonts w:ascii="Arial" w:cs="Arial" w:eastAsia="Arial" w:hAnsi="Arial"/>
                <w:sz w:val="18"/>
                <w:szCs w:val="18"/>
                <w:color w:val="auto"/>
                <w:w w:val="91"/>
              </w:rPr>
              <w:t>A summary of the Company’s stock option activity and related information for the year ended December 31, 2017, follows: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Weighted</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Average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Aggregate</w:t>
            </w:r>
          </w:p>
        </w:tc>
      </w:tr>
      <w:tr>
        <w:trPr>
          <w:trHeight w:val="216"/>
        </w:trPr>
        <w:tc>
          <w:tcPr>
            <w:tcW w:w="3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Exercise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Intrinsic</w:t>
            </w:r>
          </w:p>
        </w:tc>
      </w:tr>
      <w:tr>
        <w:trPr>
          <w:trHeight w:val="230"/>
        </w:trPr>
        <w:tc>
          <w:tcPr>
            <w:tcW w:w="340" w:type="dxa"/>
            <w:vAlign w:val="bottom"/>
          </w:tcPr>
          <w:p>
            <w:pPr>
              <w:spacing w:after="0"/>
              <w:rPr>
                <w:sz w:val="20"/>
                <w:szCs w:val="20"/>
                <w:color w:val="auto"/>
              </w:rPr>
            </w:pPr>
          </w:p>
        </w:tc>
        <w:tc>
          <w:tcPr>
            <w:tcW w:w="4760" w:type="dxa"/>
            <w:vAlign w:val="bottom"/>
          </w:tcPr>
          <w:p>
            <w:pPr>
              <w:ind w:left="210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Price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Life (in Years)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Value</w:t>
            </w:r>
          </w:p>
        </w:tc>
      </w:tr>
      <w:tr>
        <w:trPr>
          <w:trHeight w:val="210"/>
        </w:trPr>
        <w:tc>
          <w:tcPr>
            <w:tcW w:w="340" w:type="dxa"/>
            <w:vAlign w:val="bottom"/>
          </w:tcPr>
          <w:p>
            <w:pPr>
              <w:spacing w:after="0"/>
              <w:rPr>
                <w:sz w:val="18"/>
                <w:szCs w:val="18"/>
                <w:color w:val="auto"/>
              </w:rPr>
            </w:pPr>
          </w:p>
        </w:tc>
        <w:tc>
          <w:tcPr>
            <w:tcW w:w="4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of Outstanding Options at January 1, 2017</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3,489,826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21.42</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472,463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33.89</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(1,205,281)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18.56</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(32,700)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27.05</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of Outstanding Options at December 31, 2017</w:t>
            </w:r>
          </w:p>
        </w:tc>
        <w:tc>
          <w:tcPr>
            <w:tcW w:w="120" w:type="dxa"/>
            <w:vAlign w:val="bottom"/>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2,724,308</w:t>
            </w:r>
          </w:p>
        </w:tc>
        <w:tc>
          <w:tcPr>
            <w:tcW w:w="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24.78</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70,910,167</w:t>
            </w:r>
          </w:p>
        </w:tc>
      </w:tr>
      <w:tr>
        <w:trPr>
          <w:trHeight w:val="20"/>
        </w:trPr>
        <w:tc>
          <w:tcPr>
            <w:tcW w:w="340" w:type="dxa"/>
            <w:vAlign w:val="bottom"/>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4760" w:type="dxa"/>
            <w:vAlign w:val="bottom"/>
          </w:tcPr>
          <w:p>
            <w:pPr>
              <w:spacing w:after="0" w:line="196" w:lineRule="exact"/>
              <w:rPr>
                <w:sz w:val="20"/>
                <w:szCs w:val="20"/>
                <w:color w:val="auto"/>
              </w:rPr>
            </w:pPr>
            <w:r>
              <w:rPr>
                <w:rFonts w:ascii="Arial" w:cs="Arial" w:eastAsia="Arial" w:hAnsi="Arial"/>
                <w:sz w:val="18"/>
                <w:szCs w:val="18"/>
                <w:color w:val="auto"/>
              </w:rPr>
              <w:t>Expected to vest after December 31, 2017</w:t>
            </w:r>
          </w:p>
        </w:tc>
        <w:tc>
          <w:tcPr>
            <w:tcW w:w="12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1,784,417</w:t>
            </w:r>
          </w:p>
        </w:tc>
        <w:tc>
          <w:tcPr>
            <w:tcW w:w="140" w:type="dxa"/>
            <w:vAlign w:val="bottom"/>
          </w:tcPr>
          <w:p>
            <w:pPr>
              <w:spacing w:after="0"/>
              <w:rPr>
                <w:sz w:val="17"/>
                <w:szCs w:val="17"/>
                <w:color w:val="auto"/>
              </w:rPr>
            </w:pPr>
          </w:p>
        </w:tc>
        <w:tc>
          <w:tcPr>
            <w:tcW w:w="2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26.74</w:t>
            </w:r>
          </w:p>
        </w:tc>
        <w:tc>
          <w:tcPr>
            <w:tcW w:w="14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7.68</w:t>
            </w:r>
          </w:p>
        </w:tc>
        <w:tc>
          <w:tcPr>
            <w:tcW w:w="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42,945,946</w:t>
            </w:r>
          </w:p>
        </w:tc>
      </w:tr>
      <w:tr>
        <w:trPr>
          <w:trHeight w:val="20"/>
        </w:trPr>
        <w:tc>
          <w:tcPr>
            <w:tcW w:w="3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exercisable at December 31, 2017</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888,246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20.75</w:t>
            </w:r>
          </w:p>
        </w:tc>
        <w:tc>
          <w:tcPr>
            <w:tcW w:w="14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3.85</w:t>
            </w:r>
          </w:p>
        </w:tc>
        <w:tc>
          <w:tcPr>
            <w:tcW w:w="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26,701,699</w:t>
            </w:r>
          </w:p>
        </w:tc>
      </w:tr>
      <w:tr>
        <w:trPr>
          <w:trHeight w:val="20"/>
        </w:trPr>
        <w:tc>
          <w:tcPr>
            <w:tcW w:w="340" w:type="dxa"/>
            <w:vAlign w:val="bottom"/>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intrinsic value in the preceding table represents the total pretax intrinsic value, based on the weighted-average of the closing price as of December 29, 2017, of the Company’s Class A common of $50.81. The total intrinsic value of options exercised was $25.0 million during the year ended December 31, 2017, $4.8 million during the year ended December 31, 2016, and $2.6 million during the year ended December 31, 2015.</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status of the number of shares underlying Company’s non-vested stock options as of December 31, 2017, and changes during the year ended December 31, 2017, is as follows: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Number 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140"/>
              <w:spacing w:after="0"/>
              <w:rPr>
                <w:sz w:val="20"/>
                <w:szCs w:val="20"/>
                <w:color w:val="auto"/>
              </w:rPr>
            </w:pPr>
            <w:r>
              <w:rPr>
                <w:rFonts w:ascii="Arial" w:cs="Arial" w:eastAsia="Arial" w:hAnsi="Arial"/>
                <w:sz w:val="18"/>
                <w:szCs w:val="18"/>
                <w:color w:val="auto"/>
              </w:rPr>
              <w:t>Non-vested Shares</w:t>
            </w:r>
          </w:p>
        </w:tc>
        <w:tc>
          <w:tcPr>
            <w:tcW w:w="100" w:type="dxa"/>
            <w:vAlign w:val="bottom"/>
          </w:tcPr>
          <w:p>
            <w:pPr>
              <w:spacing w:after="0"/>
              <w:rPr>
                <w:sz w:val="20"/>
                <w:szCs w:val="20"/>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1,881,578</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472,463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(485,279)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Forfeited</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(32,700)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Non-vested at December 31, 2017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1,836,062</w:t>
            </w:r>
          </w:p>
        </w:tc>
        <w:tc>
          <w:tcPr>
            <w:tcW w:w="12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total fair value of vested options was $6.3 million during the year ended December 31, 2017, $5.6 million during the year ended December 31, 2016, and $5.1 million during the year ended December 31, 2015. The weighted-average grant date fair value of options granted was $12.33 per share during the year ended December 31, 2017, $6.54 per share during the year ended December 31, 2016, and $11.27 per share during the year ended December 31,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granted restricted stock units to certain of its employees under the 2007 Incentive Plan and unrestricted stock awards to its non-employee directors under the Director Plan during the year ended December 31, 2017. The restricted stock units granted to employees vest in three equal installments on the first, second and third anniversary of the grant date and are forfeited in the event the recipient’s employment or relationship with the Company is terminated prior to vesting, except as a result of retirement or under certain circumstances associated with a change of control or involuntary termination, as further described in the Company’s executive transition plan. The fair value of the restricted stock units to the Company’s employees is amortized to expense on a straight-line basis over the restricted stock’s vesting period. The shares granted to non-employee directors are expensed on the grant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Company’s non-vested restricted stock units outstanding at December 31, 2017:</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r>
      <w:tr>
        <w:trPr>
          <w:trHeight w:val="216"/>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Aggregate</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r>
      <w:tr>
        <w:trPr>
          <w:trHeight w:val="216"/>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Intrinsic</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Grant Date</w:t>
            </w:r>
          </w:p>
        </w:tc>
      </w:tr>
      <w:tr>
        <w:trPr>
          <w:trHeight w:val="230"/>
        </w:trPr>
        <w:tc>
          <w:tcPr>
            <w:tcW w:w="4760" w:type="dxa"/>
            <w:vAlign w:val="bottom"/>
          </w:tcPr>
          <w:p>
            <w:pPr>
              <w:ind w:left="1500"/>
              <w:spacing w:after="0"/>
              <w:rPr>
                <w:sz w:val="20"/>
                <w:szCs w:val="20"/>
                <w:color w:val="auto"/>
              </w:rPr>
            </w:pPr>
            <w:r>
              <w:rPr>
                <w:rFonts w:ascii="Arial" w:cs="Arial" w:eastAsia="Arial" w:hAnsi="Arial"/>
                <w:sz w:val="18"/>
                <w:szCs w:val="18"/>
                <w:color w:val="auto"/>
              </w:rPr>
              <w:t>Stock Awards and Units</w:t>
            </w:r>
          </w:p>
        </w:tc>
        <w:tc>
          <w:tcPr>
            <w:tcW w:w="120" w:type="dxa"/>
            <w:vAlign w:val="bottom"/>
          </w:tcPr>
          <w:p>
            <w:pPr>
              <w:spacing w:after="0"/>
              <w:rPr>
                <w:sz w:val="20"/>
                <w:szCs w:val="20"/>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Shares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Life (in Years)</w:t>
            </w:r>
          </w:p>
        </w:tc>
        <w:tc>
          <w:tcPr>
            <w:tcW w:w="1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Value</w:t>
            </w:r>
          </w:p>
        </w:tc>
        <w:tc>
          <w:tcPr>
            <w:tcW w:w="16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 Value</w:t>
            </w:r>
          </w:p>
        </w:tc>
      </w:tr>
      <w:tr>
        <w:trPr>
          <w:trHeight w:val="210"/>
        </w:trPr>
        <w:tc>
          <w:tcPr>
            <w:tcW w:w="4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Outstanding non-vested shares at January 1, 2017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519,173</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21.21</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274,390</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31.37</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(253,431)</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22.64</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Outstanding non-vested at December 31, 2017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540,132</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26,043,230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25.71</w:t>
            </w: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Expected to vest after December 31, 2017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538,462</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25,962,706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fair value of the shares issued upon the vesting of stock awards during the year ended December 31, 2017 was $5.7 million. The weighted-average grant date fair value of stock awards and units granted was $31.37 per share during the year ended December 31, 2017, $17.57 per share during the year ended December 31, 2016, and $24.75 per share during the year ended December 31, 2015.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there was $13.4 million of total unrecognized compensation cost related to unvested share-based compensation arrangements granted under the 2007 Incentive Plan. That cost is expected to be recognized over a weighted-average period of 2.4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a defined contribution plan (the “Rush 401k Plan”), which is available to all Company employees. Each employee who has completed 30 days of continuous service is entitled to enter the Rush 401k Plan on the first day of the following month. Participating employees may contribute from 1% to 50% of total gross compensation. However, certain highly compensated employees are limited to a maximum contribution of 15% of total gross compensation. For the first 10% of an employee’s contribution, the Company contributes an amount equal to 20% of the employees’ contributions for those employees with less than five years of service and an amount equal to 40% of the employees’ contributions for those employees with more than five years of service. The Company incurred expenses related to the Rush 401k Plan of approximately $7.0 million during the year ended December 31, 2017, $6.5 million during the year ended December 31, 2016, and $6.2 million during the year ended December 31,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6, 2010, the Board of Directors of the Company adopted the Rush Enterprises, Inc. Deferred Compensation Plan (the “Deferred Compensation Plan”) pursuant to which selected employees and directors may elect to defer a portion of their annual compensation. The Deferred Compensation Plan also provides the Company with the discretion to make matching contributions to participants’ accounts. The Company established a rabbi trust to finance obligations under the Deferred Compensation Plan with corporate-owned variable life insurance contracts. Participants are 100% vested in their respective deferrals and the earnings thereon. The first deferral election period began on January 1, 2011. The Company’s liability related to the Deferred Compensation Plan was $9.8 million on December 31, 2017 and $7.2 million on December 31, 2016. The related cash surrender value of the life insurance contracts was $9.6 million on December 31, 2017 and $6.8 million on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does not provide any post-retirement benefits nor does it provide any post-employment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earnings per share (“EPS”) were computed by dividing income from continuing operations by the weighted average number of shares of common stock outstanding during the period. Diluted EPS differs from basic EPS due to the assumed conversions of potentially dilutive options and restricted shares that were outstanding during the period.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share of Class A Common Stock ranks equal to each share of Class B Common Stock with respect to receipt of any dividends or distributions declared on shares of common stock and the right to receive proceeds on liquidation or dissolution of the Company after payment of its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numerators and the denominators of the basic and diluted per share computations for income from continuing operations (in thousands, except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Numerator for basic and diluted earnings per share −</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available to common shareholders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172,129</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40,582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Denominator-</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Denominator for basic earnings per share – weighted average shares outstanding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and director stock options and restricted share awards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380" w:type="dxa"/>
            <w:vAlign w:val="bottom"/>
          </w:tcPr>
          <w:p>
            <w:pPr>
              <w:ind w:left="160"/>
              <w:spacing w:after="0" w:line="195" w:lineRule="exact"/>
              <w:rPr>
                <w:sz w:val="20"/>
                <w:szCs w:val="20"/>
                <w:color w:val="auto"/>
              </w:rPr>
            </w:pPr>
            <w:r>
              <w:rPr>
                <w:rFonts w:ascii="Arial" w:cs="Arial" w:eastAsia="Arial" w:hAnsi="Arial"/>
                <w:sz w:val="18"/>
                <w:szCs w:val="18"/>
                <w:color w:val="auto"/>
                <w:w w:val="97"/>
              </w:rPr>
              <w:t>Denominator for diluted earnings per share − adjusted weighted average shares</w:t>
            </w:r>
          </w:p>
        </w:tc>
        <w:tc>
          <w:tcPr>
            <w:tcW w:w="3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40,980</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40,603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41,093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80" w:type="dxa"/>
            <w:vAlign w:val="bottom"/>
          </w:tcPr>
          <w:p>
            <w:pPr>
              <w:ind w:left="320"/>
              <w:spacing w:after="0" w:line="190" w:lineRule="exact"/>
              <w:rPr>
                <w:sz w:val="20"/>
                <w:szCs w:val="20"/>
                <w:color w:val="auto"/>
              </w:rPr>
            </w:pPr>
            <w:r>
              <w:rPr>
                <w:rFonts w:ascii="Arial" w:cs="Arial" w:eastAsia="Arial" w:hAnsi="Arial"/>
                <w:sz w:val="18"/>
                <w:szCs w:val="18"/>
                <w:color w:val="auto"/>
              </w:rPr>
              <w:t>outstanding and assumed conversions</w:t>
            </w: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4.34</w:t>
            </w:r>
          </w:p>
        </w:tc>
        <w:tc>
          <w:tcPr>
            <w:tcW w:w="5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1.02</w:t>
            </w:r>
          </w:p>
        </w:tc>
        <w:tc>
          <w:tcPr>
            <w:tcW w:w="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gridSpan w:val="2"/>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4.20</w:t>
            </w:r>
          </w:p>
        </w:tc>
        <w:tc>
          <w:tcPr>
            <w:tcW w:w="5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1.00</w:t>
            </w:r>
          </w:p>
        </w:tc>
        <w:tc>
          <w:tcPr>
            <w:tcW w:w="4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Options to purchase shares of common stock that were outstanding for the years ended December 31, 2017, 2016 and 2015 that were not included in the computation of diluted earnings per share because the effect would have been anti-dilutive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5140" w:type="dxa"/>
            <w:vAlign w:val="bottom"/>
            <w:gridSpan w:val="2"/>
            <w:shd w:val="clear" w:color="auto" w:fill="CCEEFF"/>
          </w:tcPr>
          <w:p>
            <w:pPr>
              <w:jc w:val="right"/>
              <w:ind w:right="2110"/>
              <w:spacing w:after="0"/>
              <w:rPr>
                <w:sz w:val="20"/>
                <w:szCs w:val="20"/>
                <w:color w:val="auto"/>
              </w:rPr>
            </w:pPr>
            <w:r>
              <w:rPr>
                <w:rFonts w:ascii="Arial" w:cs="Arial" w:eastAsia="Arial" w:hAnsi="Arial"/>
                <w:sz w:val="18"/>
                <w:szCs w:val="18"/>
                <w:color w:val="auto"/>
                <w:w w:val="91"/>
              </w:rPr>
              <w:t>Anti-dilutive options – weighted average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2"/>
        </w:trPr>
        <w:tc>
          <w:tcPr>
            <w:tcW w:w="6300" w:type="dxa"/>
            <w:vAlign w:val="bottom"/>
            <w:gridSpan w:val="3"/>
          </w:tcPr>
          <w:p>
            <w:pPr>
              <w:jc w:val="right"/>
              <w:ind w:right="410"/>
              <w:spacing w:after="0"/>
              <w:rPr>
                <w:sz w:val="20"/>
                <w:szCs w:val="20"/>
                <w:color w:val="auto"/>
              </w:rPr>
            </w:pPr>
            <w:r>
              <w:rPr>
                <w:rFonts w:ascii="Arial" w:cs="Arial" w:eastAsia="Arial" w:hAnsi="Arial"/>
                <w:sz w:val="18"/>
                <w:szCs w:val="18"/>
                <w:color w:val="auto"/>
              </w:rPr>
              <w:t>66</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820" w:hanging="812"/>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Provision for Income Taxes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tax provisions are summarized as follows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Year Ended December 31,</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Federal</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22,443</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15,236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2,300</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26,473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17,536</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Deferred provision-</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Federal</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(64,821)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8,260</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(62,203)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8,331</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(35,730)</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25,867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taxes based on the federal statutory rates and the provisions (benefits) for income taxes are summarized as follows (in thousands):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Year Ended December 31,</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6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the federal statutory rate</w:t>
            </w:r>
          </w:p>
        </w:tc>
        <w:tc>
          <w:tcPr>
            <w:tcW w:w="176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47,749</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23,255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1,552</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permanent differences</w:t>
            </w:r>
          </w:p>
        </w:tc>
        <w:tc>
          <w:tcPr>
            <w:tcW w:w="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887</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Revaluation of deferred taxes</w:t>
            </w: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(82,862)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6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76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(35,730)</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25,867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taxes recorded in other comprehensive income and paid in capital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1"/>
              </w:rPr>
              <w:t>Year Ended December 31,</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4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Income tax expense (benefit) related to components of</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Change in fair value of cash flow swaps</w:t>
            </w:r>
          </w:p>
        </w:tc>
        <w:tc>
          <w:tcPr>
            <w:tcW w:w="138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Change in fair value of available-for-sale securities</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Paid in capital – stock based compensation</w:t>
            </w:r>
          </w:p>
        </w:tc>
        <w:tc>
          <w:tcPr>
            <w:tcW w:w="138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294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67</w:t>
            </w: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components of net deferred income tax liabilities included in the balance sheet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(3,637)</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(5,074)</w:t>
            </w:r>
          </w:p>
        </w:tc>
      </w:tr>
      <w:tr>
        <w:trPr>
          <w:trHeight w:val="216"/>
        </w:trPr>
        <w:tc>
          <w:tcPr>
            <w:tcW w:w="6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r>
      <w:tr>
        <w:trPr>
          <w:trHeight w:val="216"/>
        </w:trPr>
        <w:tc>
          <w:tcPr>
            <w:tcW w:w="632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340" w:type="dxa"/>
            <w:vAlign w:val="bottom"/>
          </w:tcPr>
          <w:p>
            <w:pPr>
              <w:spacing w:after="0"/>
              <w:rPr>
                <w:sz w:val="18"/>
                <w:szCs w:val="18"/>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(19,480)</w:t>
            </w: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(31,263)</w:t>
            </w:r>
          </w:p>
        </w:tc>
      </w:tr>
      <w:tr>
        <w:trPr>
          <w:trHeight w:val="216"/>
        </w:trPr>
        <w:tc>
          <w:tcPr>
            <w:tcW w:w="6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(6,899)</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(11,655)</w:t>
            </w:r>
          </w:p>
        </w:tc>
      </w:tr>
      <w:tr>
        <w:trPr>
          <w:trHeight w:val="216"/>
        </w:trPr>
        <w:tc>
          <w:tcPr>
            <w:tcW w:w="632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8"/>
                <w:szCs w:val="18"/>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(2,533)</w:t>
            </w: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(3,610)</w:t>
            </w:r>
          </w:p>
        </w:tc>
      </w:tr>
      <w:tr>
        <w:trPr>
          <w:trHeight w:val="216"/>
        </w:trPr>
        <w:tc>
          <w:tcPr>
            <w:tcW w:w="6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net operating loss carry forward</w:t>
            </w:r>
          </w:p>
        </w:tc>
        <w:tc>
          <w:tcPr>
            <w:tcW w:w="3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(2,262)</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(1,921)</w:t>
            </w:r>
          </w:p>
        </w:tc>
      </w:tr>
      <w:tr>
        <w:trPr>
          <w:trHeight w:val="216"/>
        </w:trPr>
        <w:tc>
          <w:tcPr>
            <w:tcW w:w="6320" w:type="dxa"/>
            <w:vAlign w:val="bottom"/>
          </w:tcPr>
          <w:p>
            <w:pPr>
              <w:ind w:left="320"/>
              <w:spacing w:after="0"/>
              <w:rPr>
                <w:sz w:val="20"/>
                <w:szCs w:val="20"/>
                <w:color w:val="auto"/>
              </w:rPr>
            </w:pPr>
            <w:r>
              <w:rPr>
                <w:rFonts w:ascii="Arial" w:cs="Arial" w:eastAsia="Arial" w:hAnsi="Arial"/>
                <w:sz w:val="18"/>
                <w:szCs w:val="18"/>
                <w:color w:val="auto"/>
              </w:rPr>
              <w:t>State tax credit</w:t>
            </w:r>
          </w:p>
        </w:tc>
        <w:tc>
          <w:tcPr>
            <w:tcW w:w="340" w:type="dxa"/>
            <w:vAlign w:val="bottom"/>
          </w:tcPr>
          <w:p>
            <w:pPr>
              <w:spacing w:after="0"/>
              <w:rPr>
                <w:sz w:val="18"/>
                <w:szCs w:val="18"/>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(410)</w:t>
            </w: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r>
      <w:tr>
        <w:trPr>
          <w:trHeight w:val="216"/>
        </w:trPr>
        <w:tc>
          <w:tcPr>
            <w:tcW w:w="6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(3,627)</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(5,170)</w:t>
            </w:r>
          </w:p>
        </w:tc>
      </w:tr>
      <w:tr>
        <w:trPr>
          <w:trHeight w:val="216"/>
        </w:trPr>
        <w:tc>
          <w:tcPr>
            <w:tcW w:w="6320" w:type="dxa"/>
            <w:vAlign w:val="bottom"/>
          </w:tcPr>
          <w:p>
            <w:pPr>
              <w:ind w:left="320"/>
              <w:spacing w:after="0"/>
              <w:rPr>
                <w:sz w:val="20"/>
                <w:szCs w:val="20"/>
                <w:color w:val="auto"/>
              </w:rPr>
            </w:pPr>
            <w:r>
              <w:rPr>
                <w:rFonts w:ascii="Arial" w:cs="Arial" w:eastAsia="Arial" w:hAnsi="Arial"/>
                <w:sz w:val="18"/>
                <w:szCs w:val="18"/>
                <w:color w:val="auto"/>
              </w:rPr>
              <w:t>Difference between book and tax basis- Depreciation and amortization</w:t>
            </w: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174,266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256,352</w:t>
            </w:r>
          </w:p>
        </w:tc>
      </w:tr>
      <w:tr>
        <w:trPr>
          <w:trHeight w:val="20"/>
        </w:trPr>
        <w:tc>
          <w:tcPr>
            <w:tcW w:w="6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135,261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197,076</w:t>
            </w:r>
          </w:p>
        </w:tc>
      </w:tr>
      <w:tr>
        <w:trPr>
          <w:trHeight w:val="216"/>
        </w:trPr>
        <w:tc>
          <w:tcPr>
            <w:tcW w:w="6320" w:type="dxa"/>
            <w:vAlign w:val="bottom"/>
          </w:tcPr>
          <w:p>
            <w:pPr>
              <w:ind w:left="32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r>
      <w:tr>
        <w:trPr>
          <w:trHeight w:val="210"/>
        </w:trPr>
        <w:tc>
          <w:tcPr>
            <w:tcW w:w="6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deferred income tax liability</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135,311</w:t>
            </w:r>
          </w:p>
        </w:tc>
        <w:tc>
          <w:tcPr>
            <w:tcW w:w="180" w:type="dxa"/>
            <w:vAlign w:val="bottom"/>
          </w:tcPr>
          <w:p>
            <w:pPr>
              <w:spacing w:after="0"/>
              <w:rPr>
                <w:sz w:val="18"/>
                <w:szCs w:val="18"/>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197,331</w:t>
            </w:r>
          </w:p>
        </w:tc>
      </w:tr>
      <w:tr>
        <w:trPr>
          <w:trHeight w:val="20"/>
        </w:trPr>
        <w:tc>
          <w:tcPr>
            <w:tcW w:w="6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22, 2017, the Tax Act was enacted. The Tax Act includes, among other items, a reduction of the U.S. federal corporate tax rate from 35% to 21% effective January 1, 2018. The Tax Act makes broad and complex changes to the U.S. tax code, some of which affect the Company’s 2017 year end results. Staff Accounting Bulletin No. 118 (SAB 118) provides guidance that allows registrants to provide a reasonable estimate of the Tax Act in their financial statements and adjust the reported impact in a measurement period not to exceed one year. At December 31, 2017, the Company made a reasonable estimate of the effects of the Tax Act on its existing deferred tax balances and recognized a provisional net tax benefit of $82.9 million, which is included as a component of income tax expense. The provision benefit recorded is primarily a result of the remeasurement of the Company’s deferred tax assets and liabilities at the rate in which they will reverse. The Company will continue to refine its calculations as additional analysis is completed. In addition, the Company’s estimates may also be affected as it gains a more thorough understanding of the tax law.</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2017, the Company had approximately $44.4 million in state net operating loss carry forwards that expire from 2017 through 2037. The Company has a valuation allowance of $50,000 associated with state net operating losses. The valuation allowance decreased by $205,000 due to expiration of certain losses that had previously had a valuation allowance.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had unrecognized income tax benefits totaling $2.6 million as a component of accrued liabilities at December 31, 2017, and $2.4 million at December 31, 2016,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During the years ended December 31, 2017, 2016 and 2015, the Company recognized approximately $21,050, $34,800, and $11,600 in interest. No amounts were accrued for penalties. The Company had approximately $166,000, $145,000 and $110,100 for the payment of interest accrued at December 31, 2017, 2016 and 2015, respectively.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December 31, 2017, the tax years ended December 31, 2014 through 2017 remained subject to audit by federal tax authorities and the tax years ended December 31, 2013 through 2017, remained subject to audit by state tax authorities.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4"/>
          </w:tcPr>
          <w:p>
            <w:pPr>
              <w:jc w:val="right"/>
              <w:ind w:right="110"/>
              <w:spacing w:after="0"/>
              <w:rPr>
                <w:sz w:val="20"/>
                <w:szCs w:val="20"/>
                <w:color w:val="auto"/>
              </w:rPr>
            </w:pPr>
            <w:r>
              <w:rPr>
                <w:rFonts w:ascii="Arial" w:cs="Arial" w:eastAsia="Arial" w:hAnsi="Arial"/>
                <w:sz w:val="18"/>
                <w:szCs w:val="18"/>
                <w:color w:val="auto"/>
                <w:w w:val="91"/>
              </w:rPr>
              <w:t>A reconciliation of the change in the unrecognized tax benefits is as follows (in thousands):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beginning of period</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Gross increases – tax positions in current year</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 – tax positions in a prior year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240" w:type="dxa"/>
            <w:vAlign w:val="bottom"/>
            <w:gridSpan w:val="2"/>
            <w:vMerge w:val="restart"/>
          </w:tcPr>
          <w:p>
            <w:pPr>
              <w:ind w:left="660"/>
              <w:spacing w:after="0"/>
              <w:rPr>
                <w:sz w:val="20"/>
                <w:szCs w:val="20"/>
                <w:color w:val="auto"/>
              </w:rPr>
            </w:pPr>
            <w:r>
              <w:rPr>
                <w:rFonts w:ascii="Arial" w:cs="Arial" w:eastAsia="Arial" w:hAnsi="Arial"/>
                <w:sz w:val="18"/>
                <w:szCs w:val="18"/>
                <w:color w:val="auto"/>
              </w:rPr>
              <w:t>Reductions due to lapse of statute of limitations</w:t>
            </w:r>
          </w:p>
        </w:tc>
        <w:tc>
          <w:tcPr>
            <w:tcW w:w="3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(465</w:t>
            </w:r>
          </w:p>
        </w:tc>
        <w:tc>
          <w:tcPr>
            <w:tcW w:w="200" w:type="dxa"/>
            <w:vAlign w:val="bottom"/>
          </w:tcPr>
          <w:p>
            <w:pPr>
              <w:jc w:val="right"/>
              <w:ind w:right="53"/>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jc w:val="right"/>
              <w:ind w:right="53"/>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6"/>
                <w:szCs w:val="16"/>
                <w:color w:val="auto"/>
              </w:rPr>
            </w:pPr>
          </w:p>
        </w:tc>
        <w:tc>
          <w:tcPr>
            <w:tcW w:w="13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41"/>
        </w:trPr>
        <w:tc>
          <w:tcPr>
            <w:tcW w:w="52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 at end of period</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520" w:type="dxa"/>
            <w:vAlign w:val="bottom"/>
            <w:tcBorders>
              <w:top w:val="single" w:sz="8" w:color="auto"/>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540" w:type="dxa"/>
            <w:vAlign w:val="bottom"/>
            <w:tcBorders>
              <w:top w:val="single" w:sz="8" w:color="auto"/>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820" w:hanging="812"/>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the Company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purchase obligation of approximately $8.6 million at December 31, 2017 related to the Company’s construction contract for a facility in Denton, Texas. The Company also has a contractual obligation of approximately $3.8 million with SAP America, Inc. with respect to the Software License Agreement for the ERP Platform.</w:t>
      </w:r>
    </w:p>
    <w:p>
      <w:pPr>
        <w:spacing w:after="0" w:line="200" w:lineRule="exact"/>
        <w:rPr>
          <w:sz w:val="20"/>
          <w:szCs w:val="20"/>
          <w:color w:val="auto"/>
        </w:rPr>
      </w:pPr>
    </w:p>
    <w:p>
      <w:pPr>
        <w:spacing w:after="0" w:line="224" w:lineRule="exact"/>
        <w:rPr>
          <w:sz w:val="20"/>
          <w:szCs w:val="20"/>
          <w:color w:val="auto"/>
        </w:rPr>
      </w:pPr>
    </w:p>
    <w:p>
      <w:pPr>
        <w:ind w:left="820" w:hanging="81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ACQUISITIONS</w:t>
      </w:r>
      <w:r>
        <w:rPr>
          <w:rFonts w:ascii="Arial" w:cs="Arial" w:eastAsia="Arial" w:hAnsi="Arial"/>
          <w:sz w:val="18"/>
          <w:szCs w:val="18"/>
          <w:color w:val="auto"/>
        </w:rPr>
        <w:t>:</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All of the following acquisitions, unless otherwise noted, were considered business combinations accounted for under ASC 805 “Business Combinations.” Pro forma information is not included in accordance with ASC 805 because no acquisitions were considered material individually or in the aggregate.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On December 14, 2017, the Company acquired certain assets of Transwest San Diego, LLC, which included a Ford truck franchise in San Diego,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was valued at approximately $2.2 million, with the purchase price paid in cash.</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27, 2016, the Company acquired certain assets of Transwest Truck Center Las Vegas, LLC, which included a Ford truck franchise in Las Vegas, Nevada. The transaction was valued at approximately $0.8 million, with the purchase price paid in cash.</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820" w:hanging="812"/>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ACCUMULATED OTHER COMPREHENSIVE INCOME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components of accumulated other comprehensive loss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Changes in fair value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December 31, 2016</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Reclassification of gain 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December 31, 2017</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Available</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for Sale</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Securities</w:t>
      </w:r>
    </w:p>
    <w:p>
      <w:pPr>
        <w:spacing w:after="0" w:line="9" w:lineRule="exact"/>
        <w:rPr>
          <w:sz w:val="20"/>
          <w:szCs w:val="20"/>
          <w:color w:val="auto"/>
        </w:rPr>
      </w:pPr>
    </w:p>
    <w:p>
      <w:pPr>
        <w:ind w:left="1220" w:hanging="1215"/>
        <w:spacing w:after="0"/>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(305)</w:t>
      </w:r>
    </w:p>
    <w:p>
      <w:pPr>
        <w:spacing w:after="0" w:line="20" w:lineRule="exact"/>
        <w:rPr>
          <w:rFonts w:ascii="Arial" w:cs="Arial" w:eastAsia="Arial" w:hAnsi="Arial"/>
          <w:sz w:val="17"/>
          <w:szCs w:val="17"/>
          <w:color w:val="auto"/>
        </w:rPr>
      </w:pPr>
    </w:p>
    <w:p>
      <w:pPr>
        <w:ind w:left="1380"/>
        <w:spacing w:after="0"/>
        <w:rPr>
          <w:rFonts w:ascii="Arial" w:cs="Arial" w:eastAsia="Arial" w:hAnsi="Arial"/>
          <w:sz w:val="17"/>
          <w:szCs w:val="17"/>
          <w:color w:val="auto"/>
        </w:rPr>
      </w:pPr>
      <w:r>
        <w:rPr>
          <w:rFonts w:ascii="Arial" w:cs="Arial" w:eastAsia="Arial" w:hAnsi="Arial"/>
          <w:sz w:val="18"/>
          <w:szCs w:val="18"/>
          <w:color w:val="auto"/>
        </w:rPr>
        <w:t>32</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(13)</w:t>
      </w:r>
    </w:p>
    <w:p>
      <w:pPr>
        <w:spacing w:after="0" w:line="9" w:lineRule="exact"/>
        <w:rPr>
          <w:sz w:val="20"/>
          <w:szCs w:val="20"/>
          <w:color w:val="auto"/>
        </w:rPr>
      </w:pPr>
    </w:p>
    <w:p>
      <w:pPr>
        <w:ind w:left="1220" w:hanging="1215"/>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(286)</w:t>
      </w:r>
    </w:p>
    <w:p>
      <w:pPr>
        <w:spacing w:after="0" w:line="34" w:lineRule="exact"/>
        <w:rPr>
          <w:rFonts w:ascii="Arial" w:cs="Arial" w:eastAsia="Arial" w:hAnsi="Arial"/>
          <w:sz w:val="17"/>
          <w:szCs w:val="17"/>
          <w:color w:val="auto"/>
        </w:rPr>
      </w:pPr>
    </w:p>
    <w:p>
      <w:pPr>
        <w:ind w:left="1280"/>
        <w:spacing w:after="0"/>
        <w:rPr>
          <w:rFonts w:ascii="Arial" w:cs="Arial" w:eastAsia="Arial" w:hAnsi="Arial"/>
          <w:sz w:val="17"/>
          <w:szCs w:val="17"/>
          <w:color w:val="auto"/>
        </w:rPr>
      </w:pPr>
      <w:r>
        <w:rPr>
          <w:rFonts w:ascii="Arial" w:cs="Arial" w:eastAsia="Arial" w:hAnsi="Arial"/>
          <w:sz w:val="18"/>
          <w:szCs w:val="18"/>
          <w:color w:val="auto"/>
        </w:rPr>
        <w:t>469</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(183)</w:t>
      </w:r>
    </w:p>
    <w:p>
      <w:pPr>
        <w:spacing w:after="0" w:line="2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9861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ectPr>
          <w:pgSz w:w="11900" w:h="16838" w:orient="portrait"/>
          <w:cols w:equalWidth="0" w:num="2">
            <w:col w:w="7920" w:space="720"/>
            <w:col w:w="2780"/>
          </w:cols>
          <w:pgMar w:left="240" w:top="118" w:right="239" w:bottom="1440" w:gutter="0" w:footer="0" w:header="0"/>
          <w:type w:val="continuous"/>
        </w:sectPr>
      </w:pPr>
    </w:p>
    <w:bookmarkStart w:id="69" w:name="page70"/>
    <w:bookmarkEnd w:id="6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amount of loss reclassified from accumulated other comprehensive loss into earnings (in thousands):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Year Ended</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380" w:type="dxa"/>
            <w:vAlign w:val="bottom"/>
          </w:tcPr>
          <w:p>
            <w:pPr>
              <w:jc w:val="right"/>
              <w:ind w:right="17"/>
              <w:spacing w:after="0" w:line="195" w:lineRule="exact"/>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left="90"/>
              <w:spacing w:after="0" w:line="195" w:lineRule="exact"/>
              <w:rPr>
                <w:sz w:val="20"/>
                <w:szCs w:val="20"/>
                <w:color w:val="auto"/>
              </w:rPr>
            </w:pPr>
            <w:r>
              <w:rPr>
                <w:rFonts w:ascii="Arial" w:cs="Arial" w:eastAsia="Arial" w:hAnsi="Arial"/>
                <w:sz w:val="18"/>
                <w:szCs w:val="18"/>
                <w:color w:val="auto"/>
                <w:w w:val="90"/>
              </w:rPr>
              <w:t>December 31,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95"/>
              </w:rPr>
              <w:t>December 31,</w:t>
            </w:r>
          </w:p>
        </w:tc>
        <w:tc>
          <w:tcPr>
            <w:tcW w:w="8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380" w:type="dxa"/>
            <w:vAlign w:val="bottom"/>
          </w:tcPr>
          <w:p>
            <w:pPr>
              <w:jc w:val="right"/>
              <w:ind w:right="337"/>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54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2016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Losses on cash flow swaps to:</w:t>
            </w: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380" w:type="dxa"/>
            <w:vAlign w:val="bottom"/>
          </w:tcPr>
          <w:p>
            <w:pPr>
              <w:jc w:val="right"/>
              <w:ind w:right="1217"/>
              <w:spacing w:after="0"/>
              <w:rPr>
                <w:sz w:val="20"/>
                <w:szCs w:val="20"/>
                <w:color w:val="auto"/>
              </w:rPr>
            </w:pPr>
            <w:r>
              <w:rPr>
                <w:rFonts w:ascii="Arial" w:cs="Arial" w:eastAsia="Arial" w:hAnsi="Arial"/>
                <w:sz w:val="15"/>
                <w:szCs w:val="15"/>
                <w:color w:val="auto"/>
                <w:w w:val="71"/>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5"/>
              </w:rPr>
              <w:t>−</w:t>
            </w:r>
          </w:p>
        </w:tc>
        <w:tc>
          <w:tcPr>
            <w:tcW w:w="154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30"/>
        </w:trPr>
        <w:tc>
          <w:tcPr>
            <w:tcW w:w="2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13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5"/>
              </w:rPr>
              <w:t>−</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Total reclassifications</w:t>
            </w:r>
          </w:p>
        </w:tc>
        <w:tc>
          <w:tcPr>
            <w:tcW w:w="1380" w:type="dxa"/>
            <w:vAlign w:val="bottom"/>
          </w:tcPr>
          <w:p>
            <w:pPr>
              <w:jc w:val="right"/>
              <w:ind w:right="1217"/>
              <w:spacing w:after="0"/>
              <w:rPr>
                <w:sz w:val="20"/>
                <w:szCs w:val="20"/>
                <w:color w:val="auto"/>
              </w:rPr>
            </w:pPr>
            <w:r>
              <w:rPr>
                <w:rFonts w:ascii="Arial" w:cs="Arial" w:eastAsia="Arial" w:hAnsi="Arial"/>
                <w:sz w:val="15"/>
                <w:szCs w:val="15"/>
                <w:color w:val="auto"/>
                <w:w w:val="71"/>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5"/>
              </w:rPr>
              <w:t>−</w:t>
            </w:r>
          </w:p>
        </w:tc>
        <w:tc>
          <w:tcPr>
            <w:tcW w:w="154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040" w:right="6860" w:hanging="1032"/>
        <w:spacing w:after="0" w:line="324" w:lineRule="auto"/>
        <w:tabs>
          <w:tab w:leader="none" w:pos="815"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UNAUDITED QUARTERLY FINANCIAL DATA</w:t>
      </w:r>
      <w:r>
        <w:rPr>
          <w:rFonts w:ascii="Arial" w:cs="Arial" w:eastAsia="Arial" w:hAnsi="Arial"/>
          <w:sz w:val="17"/>
          <w:szCs w:val="17"/>
          <w:color w:val="auto"/>
        </w:rPr>
        <w:t>: (In thousands, except per share amounts.)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First</w:t>
            </w:r>
          </w:p>
        </w:tc>
        <w:tc>
          <w:tcPr>
            <w:tcW w:w="300" w:type="dxa"/>
            <w:vAlign w:val="bottom"/>
          </w:tcPr>
          <w:p>
            <w:pPr>
              <w:spacing w:after="0"/>
              <w:rPr>
                <w:sz w:val="19"/>
                <w:szCs w:val="19"/>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Second</w:t>
            </w:r>
          </w:p>
        </w:tc>
        <w:tc>
          <w:tcPr>
            <w:tcW w:w="300" w:type="dxa"/>
            <w:vAlign w:val="bottom"/>
          </w:tcPr>
          <w:p>
            <w:pPr>
              <w:spacing w:after="0"/>
              <w:rPr>
                <w:sz w:val="19"/>
                <w:szCs w:val="19"/>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Third</w:t>
            </w:r>
          </w:p>
        </w:tc>
        <w:tc>
          <w:tcPr>
            <w:tcW w:w="30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Fourth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Quarter</w:t>
            </w:r>
          </w:p>
        </w:tc>
        <w:tc>
          <w:tcPr>
            <w:tcW w:w="3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Quarter</w:t>
            </w:r>
          </w:p>
        </w:tc>
        <w:tc>
          <w:tcPr>
            <w:tcW w:w="3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Quarter</w:t>
            </w:r>
          </w:p>
        </w:tc>
        <w:tc>
          <w:tcPr>
            <w:tcW w:w="3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1,044,797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1,203,523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1,257,459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187,907</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209,072</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220,048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24,849</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37,407</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22,058</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34,583</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45,335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14,479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21,999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1,070,840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1,026,462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1,096,041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183,270</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180,478</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181,316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8,181</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21,572</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3,942</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17,809</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24,303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10,817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820" w:hanging="812"/>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SEGMENTS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0" w:name="page71"/>
    <w:bookmarkEnd w:id="7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years ended December 31, 2017, 2016 or 2015.</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December 31, 2017, 2016 and 2015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Truck</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All</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Segment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4,698,035</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15,847</w:t>
            </w:r>
          </w:p>
        </w:tc>
        <w:tc>
          <w:tcPr>
            <w:tcW w:w="1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4,713,882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13,024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149,338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Segment income (loss) from continuing operations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before taxes</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137,205</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136,399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2,855,001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35,138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2,890,139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288,831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209,852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209,917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4,199,348</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4,214,614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50,771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51,261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w w:val="97"/>
              </w:rPr>
              <w:t>Segment income (loss) from continuing operations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before taxes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67,364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66,449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2,570,016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2,603,047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287,631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196,704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4,964,642</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15,091</w:t>
            </w:r>
          </w:p>
        </w:tc>
        <w:tc>
          <w:tcPr>
            <w:tcW w:w="1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4,979,733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13,814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122,907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(1,631)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121,276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Segment income (loss) from continuing operations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before taxes</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109,583</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(1,780)</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2,818,255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2,852,008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282,481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367,482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367,790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20" w:hanging="812"/>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entered into a loan and security agreement with CCTTS, a related party. The fifth amendment to the loan and security agreement provides for advances up to $17.0 million to finance commercial vehicle inventory and bears interest at the three month LIBOR rate plus 4.0%. Principal amounts advanced under the loan agreement are due when the related commercial vehicle inventory is sold by CCTTS and the interest is payable monthly. The Company had an $11.9 million receivable under the loan agreement at December 31, 2017, and a $10.2 million receivable at December 31, 2016.</w:t>
      </w:r>
    </w:p>
    <w:p>
      <w:pPr>
        <w:spacing w:after="0" w:line="397" w:lineRule="exact"/>
        <w:rPr>
          <w:sz w:val="20"/>
          <w:szCs w:val="20"/>
          <w:color w:val="auto"/>
        </w:rPr>
      </w:pPr>
    </w:p>
    <w:p>
      <w:pPr>
        <w:ind w:left="820" w:hanging="812"/>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2016, the Company instituted plans to consolidate its dealership network and incurred pre-tax expenses of approximately $8.9 million related to costs associated with the restructuring activities, including asset impairment charges.</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1" w:name="page72"/>
    <w:bookmarkEnd w:id="7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restructuring costs included $3.2 million associated with impairment charges to certain fixed assets and the value of the real estate underlying the affected locations, which was reported in selling, general and administrative expenses in the Consolidated Statements of Income and Comprehensive Income. See Note 9 – Financial Instruments and Fair Value, for further discussion on the impairment charge related to the value of real estate in the affected locations.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classified certain excess real estate as held for sale, which resulted in an impairment charge of $5.0 million that was reported in selling, general and administrative expenses in the Consolidated Statements of Income and Comprehensive Income for 2016.</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2016, the Company sold four of the properties previously classified as held for sale with a fair value of $6.1 million. During 2017, the Company sold three of the properties with a collective fair value of $2.2 million. During the third quarter of 2017, the Company made the decision to put one of the properties previously classified as “held for sale” with a fair value of $1.4 million back into service. As of December 31, 2017, the remaining real estate associated with the restructuring activities is included in assets held for sale on the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restructuring costs and the assets held for sale are reported under the Truck Segment.</w:t>
      </w:r>
    </w:p>
    <w:p>
      <w:pPr>
        <w:spacing w:after="0" w:line="200" w:lineRule="exact"/>
        <w:rPr>
          <w:sz w:val="20"/>
          <w:szCs w:val="20"/>
          <w:color w:val="auto"/>
        </w:rPr>
      </w:pPr>
    </w:p>
    <w:p>
      <w:pPr>
        <w:spacing w:after="0" w:line="268" w:lineRule="exact"/>
        <w:rPr>
          <w:sz w:val="20"/>
          <w:szCs w:val="20"/>
          <w:color w:val="auto"/>
        </w:rPr>
      </w:pPr>
    </w:p>
    <w:p>
      <w:pPr>
        <w:ind w:left="820" w:hanging="812"/>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SUBSEQUENT EVENT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 quarter of 2018, as part of an assessment that involved a technical feasibility study of the current SAP enterprise software platform, the Company determined that a majority of the components of its enterprise software platform will require replacement earlier than originally anticipated at software installation. In accordance with ASC Topic 350-40, the Company will prospectively adjust the useful life of the components being replaced so that the respective net book values of the components are fully amortized upon replacement. The total net book value of the SAP enterprise software is $31.9 million as of December 31, 2017. The Company expects to place these new components into service no later than August 2018. The Company will amortize the remaining net book value of the components expected to be replaced on a straight-line basis over the seven-month period beginning in February 2018 through August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left="180" w:firstLine="648"/>
        <w:spacing w:after="0" w:line="272" w:lineRule="auto"/>
        <w:rPr>
          <w:sz w:val="20"/>
          <w:szCs w:val="20"/>
          <w:color w:val="auto"/>
        </w:rPr>
      </w:pPr>
      <w:r>
        <w:rPr>
          <w:rFonts w:ascii="Arial" w:cs="Arial" w:eastAsia="Arial" w:hAnsi="Arial"/>
          <w:sz w:val="17"/>
          <w:szCs w:val="17"/>
          <w:color w:val="auto"/>
        </w:rPr>
        <w:t>In accordance with Exchange Act Rules 13a-15 and 15d-15, the Company carried out an evaluation, under the supervision and with the participation of management, including its Chief Executive Officer and Chief Financial Officer, of the effectiveness of its disclosure controls and procedures as of the end of the period covered by this report. Based on that evaluation, the Company’s Chief Executive Officer and Chief Financial Officer concluded that its disclosure controls and procedures were effective as of December 31, 2017, to ensure that information required to be disclosed in its reports filed or submitted under the Exchange Act is (1) recorded, processed, summarized and reported within the time periods specified in the Securities and Exchange Commission’s rules and forms and (2) accumulated and communicated to the Company’s management, including its Chief Executive Officer and Chief Financial Officer, as appropriate to allow timely decisions regarding required disclosure.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left="180" w:right="20" w:firstLine="648"/>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2017, that have materially affected, or are reasonably likely to materially affect, the Company’s internal control over financial reporting.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jc w:val="both"/>
        <w:ind w:left="180" w:firstLine="648"/>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87" w:lineRule="exact"/>
        <w:rPr>
          <w:sz w:val="20"/>
          <w:szCs w:val="20"/>
          <w:color w:val="auto"/>
        </w:rPr>
      </w:pPr>
    </w:p>
    <w:p>
      <w:pPr>
        <w:jc w:val="both"/>
        <w:ind w:left="180" w:firstLine="648"/>
        <w:spacing w:after="0" w:line="259" w:lineRule="auto"/>
        <w:rPr>
          <w:sz w:val="20"/>
          <w:szCs w:val="20"/>
          <w:color w:val="auto"/>
        </w:rPr>
      </w:pPr>
      <w:r>
        <w:rPr>
          <w:rFonts w:ascii="Arial" w:cs="Arial" w:eastAsia="Arial" w:hAnsi="Arial"/>
          <w:sz w:val="18"/>
          <w:szCs w:val="18"/>
          <w:color w:val="auto"/>
        </w:rPr>
        <w:t>As of December 31, 2017,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(2013 Framework). Based on the assessment, management determined that the Company maintained effective internal control over financial reporting as of December 31, 2017, based on those criteria.</w:t>
      </w:r>
    </w:p>
    <w:p>
      <w:pPr>
        <w:spacing w:after="0" w:line="187" w:lineRule="exact"/>
        <w:rPr>
          <w:sz w:val="20"/>
          <w:szCs w:val="20"/>
          <w:color w:val="auto"/>
        </w:rPr>
      </w:pPr>
    </w:p>
    <w:p>
      <w:pPr>
        <w:jc w:val="both"/>
        <w:ind w:left="180" w:firstLine="648"/>
        <w:spacing w:after="0" w:line="302" w:lineRule="auto"/>
        <w:rPr>
          <w:sz w:val="20"/>
          <w:szCs w:val="20"/>
          <w:color w:val="auto"/>
        </w:rPr>
      </w:pPr>
      <w:r>
        <w:rPr>
          <w:rFonts w:ascii="Arial" w:cs="Arial" w:eastAsia="Arial" w:hAnsi="Arial"/>
          <w:sz w:val="16"/>
          <w:szCs w:val="16"/>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2017. The report, which expresses an unqualified opinion on the effectiveness of the Company’s internal control over financial reporting as of December 31, 2017, is included in this Item 9A under the heading “Attestation Report of Independent Registered Public Accounting Firm.”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Attestation Report of Independent Registered Public Accounting Firm</w:t>
      </w:r>
    </w:p>
    <w:p>
      <w:pPr>
        <w:spacing w:after="0" w:line="22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Shareholders and Board of Directors of Rush Enterprises, Inc.</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left="500" w:right="200"/>
        <w:spacing w:after="0" w:line="259" w:lineRule="auto"/>
        <w:rPr>
          <w:sz w:val="20"/>
          <w:szCs w:val="20"/>
          <w:color w:val="auto"/>
        </w:rPr>
      </w:pPr>
      <w:r>
        <w:rPr>
          <w:rFonts w:ascii="Arial" w:cs="Arial" w:eastAsia="Arial" w:hAnsi="Arial"/>
          <w:sz w:val="18"/>
          <w:szCs w:val="18"/>
          <w:color w:val="auto"/>
        </w:rPr>
        <w:t>We have audited Rush Enterprises, Inc. and subsidiaries’ internal control over financial reporting as of December 31, 2017, based on criteria established in Internal Control—Integrated Framework issued by the Committee of Sponsoring Organizations of the Treadway Commission (2013 framework) (the COSO criteria). In our opinion, Rush Enterprises, Inc. and subsidiaries (the Company) maintained, in all material respects, effective internal control over financial reporting as of December 31, 2017, based on the COSO criteria.</w:t>
      </w:r>
    </w:p>
    <w:p>
      <w:pPr>
        <w:spacing w:after="0" w:line="187" w:lineRule="exact"/>
        <w:rPr>
          <w:sz w:val="20"/>
          <w:szCs w:val="20"/>
          <w:color w:val="auto"/>
        </w:rPr>
      </w:pPr>
    </w:p>
    <w:p>
      <w:pPr>
        <w:ind w:left="500" w:right="2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2017 and 2016, the related consolidated statements of income, comprehensive income, shareholders’ equity, and cash flows for each of the three years in the period ended December 31, 2017, and the related notes and our report dated March 1, 2018, expressed an unqualified opinion thereon.</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50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left="500" w:right="700"/>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7"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left="500" w:right="6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March 1, 2018</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18" w:right="45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Item 10 of Form 10-K is incorporated herein by reference to such information included in the Company’s Proxy Statement for the 2018 Annual Meeting of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a code of ethics applicable to our principal executive officer, principal financial officer, principal accounting officer or controller, and other persons performing similar functions. To view this code of ethics free of charge, please visit our website at www.rushenterprises.com (This website address is not intended to function as a hyperlink, and the information contained in our website is not incorporated in to this report or otherwise made part of this report). We intend to satisfy the disclosure requirements under Item 5.05 of Form 8-K regarding an amendment to, or waiver from, a provision of this code of ethics, if any, by posting such information on our website set forth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Item 11 of Form 10-K is incorporated herein by reference to such information included in the Company’s Proxy Statement for the 2018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Item 12 of Form 10-K, other than the equity compensation plan information set forth below, is incorporated herein by reference to such information included in the Company’s Proxy Statement for the 2018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Equity Compensation Plan Information Table provides information as of December 31, 2017, with respect to shares of Class A and Class B Common Stock that may be issued under our existing equity compensation plans, including the Rush Enterprises, Inc. 2006 Non-Employee Director Stock Plan, the Rush Enterprises, Inc. 2007 Long-Term Incentive Plan.</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Class A Common Stock:</w:t>
            </w: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8"/>
        </w:trPr>
        <w:tc>
          <w:tcPr>
            <w:tcW w:w="340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Number of securities to be</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0" w:type="dxa"/>
            <w:vAlign w:val="bottom"/>
          </w:tcPr>
          <w:p>
            <w:pPr>
              <w:jc w:val="center"/>
              <w:ind w:right="30"/>
              <w:spacing w:after="0"/>
              <w:rPr>
                <w:sz w:val="20"/>
                <w:szCs w:val="20"/>
                <w:color w:val="auto"/>
              </w:rPr>
            </w:pPr>
            <w:r>
              <w:rPr>
                <w:rFonts w:ascii="Arial" w:cs="Arial" w:eastAsia="Arial" w:hAnsi="Arial"/>
                <w:sz w:val="18"/>
                <w:szCs w:val="18"/>
                <w:color w:val="auto"/>
                <w:w w:val="91"/>
              </w:rPr>
              <w:t>Number of securities remaining</w:t>
            </w:r>
          </w:p>
        </w:tc>
      </w:tr>
      <w:tr>
        <w:trPr>
          <w:trHeight w:val="216"/>
        </w:trPr>
        <w:tc>
          <w:tcPr>
            <w:tcW w:w="3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issued upon exercise of</w:t>
            </w: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88"/>
              </w:rPr>
              <w:t>Weighted-average exercise</w:t>
            </w:r>
          </w:p>
        </w:tc>
        <w:tc>
          <w:tcPr>
            <w:tcW w:w="2800" w:type="dxa"/>
            <w:vAlign w:val="bottom"/>
          </w:tcPr>
          <w:p>
            <w:pPr>
              <w:jc w:val="center"/>
              <w:ind w:right="30"/>
              <w:spacing w:after="0"/>
              <w:rPr>
                <w:sz w:val="20"/>
                <w:szCs w:val="20"/>
                <w:color w:val="auto"/>
              </w:rPr>
            </w:pPr>
            <w:r>
              <w:rPr>
                <w:rFonts w:ascii="Arial" w:cs="Arial" w:eastAsia="Arial" w:hAnsi="Arial"/>
                <w:sz w:val="18"/>
                <w:szCs w:val="18"/>
                <w:color w:val="auto"/>
                <w:w w:val="91"/>
              </w:rPr>
              <w:t>available for future issuance</w:t>
            </w:r>
          </w:p>
        </w:tc>
      </w:tr>
      <w:tr>
        <w:trPr>
          <w:trHeight w:val="216"/>
        </w:trPr>
        <w:tc>
          <w:tcPr>
            <w:tcW w:w="3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outstanding options,</w:t>
            </w:r>
          </w:p>
        </w:tc>
        <w:tc>
          <w:tcPr>
            <w:tcW w:w="220" w:type="dxa"/>
            <w:vAlign w:val="bottom"/>
          </w:tcPr>
          <w:p>
            <w:pPr>
              <w:spacing w:after="0"/>
              <w:rPr>
                <w:sz w:val="18"/>
                <w:szCs w:val="18"/>
                <w:color w:val="auto"/>
              </w:rPr>
            </w:pPr>
          </w:p>
        </w:tc>
        <w:tc>
          <w:tcPr>
            <w:tcW w:w="2060" w:type="dxa"/>
            <w:vAlign w:val="bottom"/>
          </w:tcPr>
          <w:p>
            <w:pPr>
              <w:jc w:val="center"/>
              <w:ind w:right="170"/>
              <w:spacing w:after="0"/>
              <w:rPr>
                <w:sz w:val="20"/>
                <w:szCs w:val="20"/>
                <w:color w:val="auto"/>
              </w:rPr>
            </w:pPr>
            <w:r>
              <w:rPr>
                <w:rFonts w:ascii="Arial" w:cs="Arial" w:eastAsia="Arial" w:hAnsi="Arial"/>
                <w:sz w:val="18"/>
                <w:szCs w:val="18"/>
                <w:color w:val="auto"/>
                <w:w w:val="91"/>
              </w:rPr>
              <w:t>price of outstanding</w:t>
            </w: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1"/>
              </w:rPr>
              <w:t>under</w:t>
            </w:r>
          </w:p>
        </w:tc>
      </w:tr>
      <w:tr>
        <w:trPr>
          <w:trHeight w:val="216"/>
        </w:trPr>
        <w:tc>
          <w:tcPr>
            <w:tcW w:w="3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warrants</w:t>
            </w:r>
          </w:p>
        </w:tc>
        <w:tc>
          <w:tcPr>
            <w:tcW w:w="220" w:type="dxa"/>
            <w:vAlign w:val="bottom"/>
          </w:tcPr>
          <w:p>
            <w:pPr>
              <w:spacing w:after="0"/>
              <w:rPr>
                <w:sz w:val="18"/>
                <w:szCs w:val="18"/>
                <w:color w:val="auto"/>
              </w:rPr>
            </w:pPr>
          </w:p>
        </w:tc>
        <w:tc>
          <w:tcPr>
            <w:tcW w:w="2060" w:type="dxa"/>
            <w:vAlign w:val="bottom"/>
          </w:tcPr>
          <w:p>
            <w:pPr>
              <w:jc w:val="center"/>
              <w:ind w:right="150"/>
              <w:spacing w:after="0"/>
              <w:rPr>
                <w:sz w:val="20"/>
                <w:szCs w:val="20"/>
                <w:color w:val="auto"/>
              </w:rPr>
            </w:pPr>
            <w:r>
              <w:rPr>
                <w:rFonts w:ascii="Arial" w:cs="Arial" w:eastAsia="Arial" w:hAnsi="Arial"/>
                <w:sz w:val="18"/>
                <w:szCs w:val="18"/>
                <w:color w:val="auto"/>
                <w:w w:val="91"/>
              </w:rPr>
              <w:t>options,</w:t>
            </w: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89"/>
              </w:rPr>
              <w:t>equity compensation plans as of</w:t>
            </w:r>
          </w:p>
        </w:tc>
      </w:tr>
      <w:tr>
        <w:trPr>
          <w:trHeight w:val="216"/>
        </w:trPr>
        <w:tc>
          <w:tcPr>
            <w:tcW w:w="3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and rights as of</w:t>
            </w:r>
          </w:p>
        </w:tc>
        <w:tc>
          <w:tcPr>
            <w:tcW w:w="220" w:type="dxa"/>
            <w:vAlign w:val="bottom"/>
          </w:tcPr>
          <w:p>
            <w:pPr>
              <w:spacing w:after="0"/>
              <w:rPr>
                <w:sz w:val="18"/>
                <w:szCs w:val="18"/>
                <w:color w:val="auto"/>
              </w:rPr>
            </w:pPr>
          </w:p>
        </w:tc>
        <w:tc>
          <w:tcPr>
            <w:tcW w:w="2060" w:type="dxa"/>
            <w:vAlign w:val="bottom"/>
          </w:tcPr>
          <w:p>
            <w:pPr>
              <w:jc w:val="center"/>
              <w:ind w:right="150"/>
              <w:spacing w:after="0"/>
              <w:rPr>
                <w:sz w:val="20"/>
                <w:szCs w:val="20"/>
                <w:color w:val="auto"/>
              </w:rPr>
            </w:pPr>
            <w:r>
              <w:rPr>
                <w:rFonts w:ascii="Arial" w:cs="Arial" w:eastAsia="Arial" w:hAnsi="Arial"/>
                <w:sz w:val="18"/>
                <w:szCs w:val="18"/>
                <w:color w:val="auto"/>
                <w:w w:val="90"/>
              </w:rPr>
              <w:t>warrants and rights as of</w:t>
            </w: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0"/>
              </w:rPr>
              <w:t>December 31, 2017 (excluding</w:t>
            </w:r>
          </w:p>
        </w:tc>
      </w:tr>
      <w:tr>
        <w:trPr>
          <w:trHeight w:val="216"/>
        </w:trPr>
        <w:tc>
          <w:tcPr>
            <w:tcW w:w="3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December 31, 2017</w:t>
            </w:r>
          </w:p>
        </w:tc>
        <w:tc>
          <w:tcPr>
            <w:tcW w:w="220" w:type="dxa"/>
            <w:vAlign w:val="bottom"/>
          </w:tcPr>
          <w:p>
            <w:pPr>
              <w:spacing w:after="0"/>
              <w:rPr>
                <w:sz w:val="18"/>
                <w:szCs w:val="18"/>
                <w:color w:val="auto"/>
              </w:rPr>
            </w:pPr>
          </w:p>
        </w:tc>
        <w:tc>
          <w:tcPr>
            <w:tcW w:w="2060" w:type="dxa"/>
            <w:vAlign w:val="bottom"/>
          </w:tcPr>
          <w:p>
            <w:pPr>
              <w:jc w:val="center"/>
              <w:ind w:right="150"/>
              <w:spacing w:after="0"/>
              <w:rPr>
                <w:sz w:val="20"/>
                <w:szCs w:val="20"/>
                <w:color w:val="auto"/>
              </w:rPr>
            </w:pPr>
            <w:r>
              <w:rPr>
                <w:rFonts w:ascii="Arial" w:cs="Arial" w:eastAsia="Arial" w:hAnsi="Arial"/>
                <w:sz w:val="18"/>
                <w:szCs w:val="18"/>
                <w:color w:val="auto"/>
                <w:w w:val="89"/>
              </w:rPr>
              <w:t>December 31, 2017</w:t>
            </w:r>
          </w:p>
        </w:tc>
        <w:tc>
          <w:tcPr>
            <w:tcW w:w="2800" w:type="dxa"/>
            <w:vAlign w:val="bottom"/>
          </w:tcPr>
          <w:p>
            <w:pPr>
              <w:jc w:val="center"/>
              <w:ind w:right="50"/>
              <w:spacing w:after="0"/>
              <w:rPr>
                <w:sz w:val="20"/>
                <w:szCs w:val="20"/>
                <w:color w:val="auto"/>
              </w:rPr>
            </w:pPr>
            <w:r>
              <w:rPr>
                <w:rFonts w:ascii="Arial" w:cs="Arial" w:eastAsia="Arial" w:hAnsi="Arial"/>
                <w:sz w:val="18"/>
                <w:szCs w:val="18"/>
                <w:color w:val="auto"/>
                <w:w w:val="91"/>
              </w:rPr>
              <w:t>securities reflected in column (a))</w:t>
            </w:r>
          </w:p>
        </w:tc>
      </w:tr>
      <w:tr>
        <w:trPr>
          <w:trHeight w:val="230"/>
        </w:trPr>
        <w:tc>
          <w:tcPr>
            <w:tcW w:w="3400" w:type="dxa"/>
            <w:vAlign w:val="bottom"/>
          </w:tcPr>
          <w:p>
            <w:pPr>
              <w:ind w:left="1220"/>
              <w:spacing w:after="0"/>
              <w:rPr>
                <w:sz w:val="20"/>
                <w:szCs w:val="20"/>
                <w:color w:val="auto"/>
              </w:rPr>
            </w:pPr>
            <w:r>
              <w:rPr>
                <w:rFonts w:ascii="Arial" w:cs="Arial" w:eastAsia="Arial" w:hAnsi="Arial"/>
                <w:sz w:val="18"/>
                <w:szCs w:val="18"/>
                <w:color w:val="auto"/>
              </w:rPr>
              <w:t>Plan Category</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Pr>
          <w:p>
            <w:pPr>
              <w:spacing w:after="0"/>
              <w:rPr>
                <w:sz w:val="20"/>
                <w:szCs w:val="20"/>
                <w:color w:val="auto"/>
              </w:rPr>
            </w:pPr>
          </w:p>
        </w:tc>
        <w:tc>
          <w:tcPr>
            <w:tcW w:w="2060" w:type="dxa"/>
            <w:vAlign w:val="bottom"/>
          </w:tcPr>
          <w:p>
            <w:pPr>
              <w:jc w:val="center"/>
              <w:ind w:right="150"/>
              <w:spacing w:after="0"/>
              <w:rPr>
                <w:sz w:val="20"/>
                <w:szCs w:val="20"/>
                <w:color w:val="auto"/>
              </w:rPr>
            </w:pPr>
            <w:r>
              <w:rPr>
                <w:rFonts w:ascii="Arial" w:cs="Arial" w:eastAsia="Arial" w:hAnsi="Arial"/>
                <w:sz w:val="18"/>
                <w:szCs w:val="18"/>
                <w:color w:val="auto"/>
                <w:w w:val="99"/>
              </w:rPr>
              <w:t>(b)</w:t>
            </w:r>
          </w:p>
        </w:tc>
        <w:tc>
          <w:tcPr>
            <w:tcW w:w="2800" w:type="dxa"/>
            <w:vAlign w:val="bottom"/>
          </w:tcPr>
          <w:p>
            <w:pPr>
              <w:jc w:val="center"/>
              <w:ind w:right="30"/>
              <w:spacing w:after="0"/>
              <w:rPr>
                <w:sz w:val="20"/>
                <w:szCs w:val="20"/>
                <w:color w:val="auto"/>
              </w:rPr>
            </w:pPr>
            <w:r>
              <w:rPr>
                <w:rFonts w:ascii="Arial" w:cs="Arial" w:eastAsia="Arial" w:hAnsi="Arial"/>
                <w:sz w:val="18"/>
                <w:szCs w:val="18"/>
                <w:color w:val="auto"/>
                <w:w w:val="95"/>
              </w:rPr>
              <w:t>(c)</w:t>
            </w: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2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security holders</w:t>
            </w:r>
          </w:p>
        </w:tc>
        <w:tc>
          <w:tcPr>
            <w:tcW w:w="2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2,725,641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24.78</w:t>
            </w:r>
          </w:p>
        </w:tc>
        <w:tc>
          <w:tcPr>
            <w:tcW w:w="2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2,293,339</w:t>
            </w: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w w:val="96"/>
              </w:rPr>
              <w:t>Equity compensation plans not approved by</w:t>
            </w: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security holders</w:t>
            </w: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57"/>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2,725,641</w:t>
            </w:r>
          </w:p>
        </w:tc>
        <w:tc>
          <w:tcPr>
            <w:tcW w:w="220" w:type="dxa"/>
            <w:vAlign w:val="bottom"/>
            <w:shd w:val="clear" w:color="auto" w:fill="CCEEFF"/>
          </w:tcPr>
          <w:p>
            <w:pPr>
              <w:spacing w:after="0"/>
              <w:rPr>
                <w:sz w:val="22"/>
                <w:szCs w:val="22"/>
                <w:color w:val="auto"/>
              </w:rPr>
            </w:pP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 xml:space="preserve">2,293,339 </w:t>
            </w:r>
            <w:r>
              <w:rPr>
                <w:rFonts w:ascii="Arial" w:cs="Arial" w:eastAsia="Arial" w:hAnsi="Arial"/>
                <w:sz w:val="29"/>
                <w:szCs w:val="29"/>
                <w:color w:val="auto"/>
                <w:vertAlign w:val="superscript"/>
              </w:rPr>
              <w:t>(1)</w:t>
            </w:r>
          </w:p>
        </w:tc>
      </w:tr>
    </w:tbl>
    <w:p>
      <w:pPr>
        <w:spacing w:after="0" w:line="242" w:lineRule="exact"/>
        <w:rPr>
          <w:sz w:val="20"/>
          <w:szCs w:val="20"/>
          <w:color w:val="auto"/>
        </w:rPr>
      </w:pPr>
    </w:p>
    <w:p>
      <w:pPr>
        <w:ind w:left="420" w:hanging="412"/>
        <w:spacing w:after="0" w:line="27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2,293,339 shares that may be issued in the form of restricted stock under the Rush Enterprises, Inc. 2006 Non-Employee Director Stock Plan and the Rush Enterprises, Inc. 2007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-302260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b w:val="1"/>
                <w:bCs w:val="1"/>
                <w:i w:val="1"/>
                <w:iCs w:val="1"/>
                <w:color w:val="auto"/>
              </w:rPr>
              <w:t>Class B Common Stock:</w:t>
            </w: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8"/>
        </w:trPr>
        <w:tc>
          <w:tcPr>
            <w:tcW w:w="338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Number of securities to be</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40" w:type="dxa"/>
            <w:vAlign w:val="bottom"/>
          </w:tcPr>
          <w:p>
            <w:pPr>
              <w:jc w:val="center"/>
              <w:ind w:right="70"/>
              <w:spacing w:after="0"/>
              <w:rPr>
                <w:sz w:val="20"/>
                <w:szCs w:val="20"/>
                <w:color w:val="auto"/>
              </w:rPr>
            </w:pPr>
            <w:r>
              <w:rPr>
                <w:rFonts w:ascii="Arial" w:cs="Arial" w:eastAsia="Arial" w:hAnsi="Arial"/>
                <w:sz w:val="18"/>
                <w:szCs w:val="18"/>
                <w:color w:val="auto"/>
                <w:w w:val="91"/>
              </w:rPr>
              <w:t>Number of securities remaining</w:t>
            </w:r>
          </w:p>
        </w:tc>
      </w:tr>
      <w:tr>
        <w:trPr>
          <w:trHeight w:val="216"/>
        </w:trPr>
        <w:tc>
          <w:tcPr>
            <w:tcW w:w="3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issued upon exercise of</w:t>
            </w: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88"/>
              </w:rPr>
              <w:t>Weighted-average exercise</w:t>
            </w:r>
          </w:p>
        </w:tc>
        <w:tc>
          <w:tcPr>
            <w:tcW w:w="2840" w:type="dxa"/>
            <w:vAlign w:val="bottom"/>
          </w:tcPr>
          <w:p>
            <w:pPr>
              <w:jc w:val="center"/>
              <w:ind w:right="70"/>
              <w:spacing w:after="0"/>
              <w:rPr>
                <w:sz w:val="20"/>
                <w:szCs w:val="20"/>
                <w:color w:val="auto"/>
              </w:rPr>
            </w:pPr>
            <w:r>
              <w:rPr>
                <w:rFonts w:ascii="Arial" w:cs="Arial" w:eastAsia="Arial" w:hAnsi="Arial"/>
                <w:sz w:val="18"/>
                <w:szCs w:val="18"/>
                <w:color w:val="auto"/>
                <w:w w:val="91"/>
              </w:rPr>
              <w:t>available for future issuance</w:t>
            </w:r>
          </w:p>
        </w:tc>
      </w:tr>
      <w:tr>
        <w:trPr>
          <w:trHeight w:val="216"/>
        </w:trPr>
        <w:tc>
          <w:tcPr>
            <w:tcW w:w="3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outstanding options,</w:t>
            </w:r>
          </w:p>
        </w:tc>
        <w:tc>
          <w:tcPr>
            <w:tcW w:w="220" w:type="dxa"/>
            <w:vAlign w:val="bottom"/>
          </w:tcPr>
          <w:p>
            <w:pPr>
              <w:spacing w:after="0"/>
              <w:rPr>
                <w:sz w:val="18"/>
                <w:szCs w:val="18"/>
                <w:color w:val="auto"/>
              </w:rPr>
            </w:pPr>
          </w:p>
        </w:tc>
        <w:tc>
          <w:tcPr>
            <w:tcW w:w="2060" w:type="dxa"/>
            <w:vAlign w:val="bottom"/>
          </w:tcPr>
          <w:p>
            <w:pPr>
              <w:jc w:val="center"/>
              <w:ind w:right="170"/>
              <w:spacing w:after="0"/>
              <w:rPr>
                <w:sz w:val="20"/>
                <w:szCs w:val="20"/>
                <w:color w:val="auto"/>
              </w:rPr>
            </w:pPr>
            <w:r>
              <w:rPr>
                <w:rFonts w:ascii="Arial" w:cs="Arial" w:eastAsia="Arial" w:hAnsi="Arial"/>
                <w:sz w:val="18"/>
                <w:szCs w:val="18"/>
                <w:color w:val="auto"/>
                <w:w w:val="91"/>
              </w:rPr>
              <w:t>price of outstanding</w:t>
            </w:r>
          </w:p>
        </w:tc>
        <w:tc>
          <w:tcPr>
            <w:tcW w:w="2840" w:type="dxa"/>
            <w:vAlign w:val="bottom"/>
          </w:tcPr>
          <w:p>
            <w:pPr>
              <w:jc w:val="center"/>
              <w:ind w:right="90"/>
              <w:spacing w:after="0"/>
              <w:rPr>
                <w:sz w:val="20"/>
                <w:szCs w:val="20"/>
                <w:color w:val="auto"/>
              </w:rPr>
            </w:pPr>
            <w:r>
              <w:rPr>
                <w:rFonts w:ascii="Arial" w:cs="Arial" w:eastAsia="Arial" w:hAnsi="Arial"/>
                <w:sz w:val="18"/>
                <w:szCs w:val="18"/>
                <w:color w:val="auto"/>
                <w:w w:val="91"/>
              </w:rPr>
              <w:t>under</w:t>
            </w:r>
          </w:p>
        </w:tc>
      </w:tr>
      <w:tr>
        <w:trPr>
          <w:trHeight w:val="216"/>
        </w:trPr>
        <w:tc>
          <w:tcPr>
            <w:tcW w:w="3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warrants</w:t>
            </w:r>
          </w:p>
        </w:tc>
        <w:tc>
          <w:tcPr>
            <w:tcW w:w="220" w:type="dxa"/>
            <w:vAlign w:val="bottom"/>
          </w:tcPr>
          <w:p>
            <w:pPr>
              <w:spacing w:after="0"/>
              <w:rPr>
                <w:sz w:val="18"/>
                <w:szCs w:val="18"/>
                <w:color w:val="auto"/>
              </w:rPr>
            </w:pPr>
          </w:p>
        </w:tc>
        <w:tc>
          <w:tcPr>
            <w:tcW w:w="2060" w:type="dxa"/>
            <w:vAlign w:val="bottom"/>
          </w:tcPr>
          <w:p>
            <w:pPr>
              <w:jc w:val="center"/>
              <w:ind w:right="150"/>
              <w:spacing w:after="0"/>
              <w:rPr>
                <w:sz w:val="20"/>
                <w:szCs w:val="20"/>
                <w:color w:val="auto"/>
              </w:rPr>
            </w:pPr>
            <w:r>
              <w:rPr>
                <w:rFonts w:ascii="Arial" w:cs="Arial" w:eastAsia="Arial" w:hAnsi="Arial"/>
                <w:sz w:val="18"/>
                <w:szCs w:val="18"/>
                <w:color w:val="auto"/>
                <w:w w:val="91"/>
              </w:rPr>
              <w:t>options,</w:t>
            </w:r>
          </w:p>
        </w:tc>
        <w:tc>
          <w:tcPr>
            <w:tcW w:w="2840" w:type="dxa"/>
            <w:vAlign w:val="bottom"/>
          </w:tcPr>
          <w:p>
            <w:pPr>
              <w:jc w:val="center"/>
              <w:ind w:right="90"/>
              <w:spacing w:after="0"/>
              <w:rPr>
                <w:sz w:val="20"/>
                <w:szCs w:val="20"/>
                <w:color w:val="auto"/>
              </w:rPr>
            </w:pPr>
            <w:r>
              <w:rPr>
                <w:rFonts w:ascii="Arial" w:cs="Arial" w:eastAsia="Arial" w:hAnsi="Arial"/>
                <w:sz w:val="18"/>
                <w:szCs w:val="18"/>
                <w:color w:val="auto"/>
                <w:w w:val="89"/>
              </w:rPr>
              <w:t>equity compensation plans as of</w:t>
            </w:r>
          </w:p>
        </w:tc>
      </w:tr>
      <w:tr>
        <w:trPr>
          <w:trHeight w:val="216"/>
        </w:trPr>
        <w:tc>
          <w:tcPr>
            <w:tcW w:w="3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and rights as of</w:t>
            </w:r>
          </w:p>
        </w:tc>
        <w:tc>
          <w:tcPr>
            <w:tcW w:w="220" w:type="dxa"/>
            <w:vAlign w:val="bottom"/>
          </w:tcPr>
          <w:p>
            <w:pPr>
              <w:spacing w:after="0"/>
              <w:rPr>
                <w:sz w:val="18"/>
                <w:szCs w:val="18"/>
                <w:color w:val="auto"/>
              </w:rPr>
            </w:pPr>
          </w:p>
        </w:tc>
        <w:tc>
          <w:tcPr>
            <w:tcW w:w="2060" w:type="dxa"/>
            <w:vAlign w:val="bottom"/>
          </w:tcPr>
          <w:p>
            <w:pPr>
              <w:jc w:val="center"/>
              <w:ind w:right="150"/>
              <w:spacing w:after="0"/>
              <w:rPr>
                <w:sz w:val="20"/>
                <w:szCs w:val="20"/>
                <w:color w:val="auto"/>
              </w:rPr>
            </w:pPr>
            <w:r>
              <w:rPr>
                <w:rFonts w:ascii="Arial" w:cs="Arial" w:eastAsia="Arial" w:hAnsi="Arial"/>
                <w:sz w:val="18"/>
                <w:szCs w:val="18"/>
                <w:color w:val="auto"/>
                <w:w w:val="90"/>
              </w:rPr>
              <w:t>warrants and rights as of</w:t>
            </w:r>
          </w:p>
        </w:tc>
        <w:tc>
          <w:tcPr>
            <w:tcW w:w="2840" w:type="dxa"/>
            <w:vAlign w:val="bottom"/>
          </w:tcPr>
          <w:p>
            <w:pPr>
              <w:jc w:val="center"/>
              <w:ind w:right="90"/>
              <w:spacing w:after="0"/>
              <w:rPr>
                <w:sz w:val="20"/>
                <w:szCs w:val="20"/>
                <w:color w:val="auto"/>
              </w:rPr>
            </w:pPr>
            <w:r>
              <w:rPr>
                <w:rFonts w:ascii="Arial" w:cs="Arial" w:eastAsia="Arial" w:hAnsi="Arial"/>
                <w:sz w:val="18"/>
                <w:szCs w:val="18"/>
                <w:color w:val="auto"/>
                <w:w w:val="90"/>
              </w:rPr>
              <w:t>December 31, 2017 (excluding</w:t>
            </w:r>
          </w:p>
        </w:tc>
      </w:tr>
      <w:tr>
        <w:trPr>
          <w:trHeight w:val="216"/>
        </w:trPr>
        <w:tc>
          <w:tcPr>
            <w:tcW w:w="3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December 31, 2017</w:t>
            </w:r>
          </w:p>
        </w:tc>
        <w:tc>
          <w:tcPr>
            <w:tcW w:w="220" w:type="dxa"/>
            <w:vAlign w:val="bottom"/>
          </w:tcPr>
          <w:p>
            <w:pPr>
              <w:spacing w:after="0"/>
              <w:rPr>
                <w:sz w:val="18"/>
                <w:szCs w:val="18"/>
                <w:color w:val="auto"/>
              </w:rPr>
            </w:pPr>
          </w:p>
        </w:tc>
        <w:tc>
          <w:tcPr>
            <w:tcW w:w="2060" w:type="dxa"/>
            <w:vAlign w:val="bottom"/>
          </w:tcPr>
          <w:p>
            <w:pPr>
              <w:jc w:val="center"/>
              <w:ind w:right="150"/>
              <w:spacing w:after="0"/>
              <w:rPr>
                <w:sz w:val="20"/>
                <w:szCs w:val="20"/>
                <w:color w:val="auto"/>
              </w:rPr>
            </w:pPr>
            <w:r>
              <w:rPr>
                <w:rFonts w:ascii="Arial" w:cs="Arial" w:eastAsia="Arial" w:hAnsi="Arial"/>
                <w:sz w:val="18"/>
                <w:szCs w:val="18"/>
                <w:color w:val="auto"/>
                <w:w w:val="89"/>
              </w:rPr>
              <w:t>December 31, 2017</w:t>
            </w:r>
          </w:p>
        </w:tc>
        <w:tc>
          <w:tcPr>
            <w:tcW w:w="2840" w:type="dxa"/>
            <w:vAlign w:val="bottom"/>
          </w:tcPr>
          <w:p>
            <w:pPr>
              <w:jc w:val="center"/>
              <w:ind w:right="90"/>
              <w:spacing w:after="0"/>
              <w:rPr>
                <w:sz w:val="20"/>
                <w:szCs w:val="20"/>
                <w:color w:val="auto"/>
              </w:rPr>
            </w:pPr>
            <w:r>
              <w:rPr>
                <w:rFonts w:ascii="Arial" w:cs="Arial" w:eastAsia="Arial" w:hAnsi="Arial"/>
                <w:sz w:val="18"/>
                <w:szCs w:val="18"/>
                <w:color w:val="auto"/>
                <w:w w:val="91"/>
              </w:rPr>
              <w:t>securities reflected in column (a))</w:t>
            </w:r>
          </w:p>
        </w:tc>
      </w:tr>
      <w:tr>
        <w:trPr>
          <w:trHeight w:val="230"/>
        </w:trPr>
        <w:tc>
          <w:tcPr>
            <w:tcW w:w="3380" w:type="dxa"/>
            <w:vAlign w:val="bottom"/>
          </w:tcPr>
          <w:p>
            <w:pPr>
              <w:ind w:left="1200"/>
              <w:spacing w:after="0"/>
              <w:rPr>
                <w:sz w:val="20"/>
                <w:szCs w:val="20"/>
                <w:color w:val="auto"/>
              </w:rPr>
            </w:pPr>
            <w:r>
              <w:rPr>
                <w:rFonts w:ascii="Arial" w:cs="Arial" w:eastAsia="Arial" w:hAnsi="Arial"/>
                <w:sz w:val="18"/>
                <w:szCs w:val="18"/>
                <w:color w:val="auto"/>
              </w:rPr>
              <w:t>Plan Category</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Pr>
          <w:p>
            <w:pPr>
              <w:spacing w:after="0"/>
              <w:rPr>
                <w:sz w:val="20"/>
                <w:szCs w:val="20"/>
                <w:color w:val="auto"/>
              </w:rPr>
            </w:pPr>
          </w:p>
        </w:tc>
        <w:tc>
          <w:tcPr>
            <w:tcW w:w="2060" w:type="dxa"/>
            <w:vAlign w:val="bottom"/>
          </w:tcPr>
          <w:p>
            <w:pPr>
              <w:jc w:val="center"/>
              <w:ind w:right="150"/>
              <w:spacing w:after="0"/>
              <w:rPr>
                <w:sz w:val="20"/>
                <w:szCs w:val="20"/>
                <w:color w:val="auto"/>
              </w:rPr>
            </w:pPr>
            <w:r>
              <w:rPr>
                <w:rFonts w:ascii="Arial" w:cs="Arial" w:eastAsia="Arial" w:hAnsi="Arial"/>
                <w:sz w:val="18"/>
                <w:szCs w:val="18"/>
                <w:color w:val="auto"/>
                <w:w w:val="99"/>
              </w:rPr>
              <w:t>(b)</w:t>
            </w:r>
          </w:p>
        </w:tc>
        <w:tc>
          <w:tcPr>
            <w:tcW w:w="2840" w:type="dxa"/>
            <w:vAlign w:val="bottom"/>
          </w:tcPr>
          <w:p>
            <w:pPr>
              <w:jc w:val="center"/>
              <w:ind w:right="70"/>
              <w:spacing w:after="0"/>
              <w:rPr>
                <w:sz w:val="20"/>
                <w:szCs w:val="20"/>
                <w:color w:val="auto"/>
              </w:rPr>
            </w:pPr>
            <w:r>
              <w:rPr>
                <w:rFonts w:ascii="Arial" w:cs="Arial" w:eastAsia="Arial" w:hAnsi="Arial"/>
                <w:sz w:val="18"/>
                <w:szCs w:val="18"/>
                <w:color w:val="auto"/>
                <w:w w:val="95"/>
              </w:rPr>
              <w:t>(c)</w:t>
            </w: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2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r>
      <w:tr>
        <w:trPr>
          <w:trHeight w:val="23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security holders</w:t>
            </w:r>
          </w:p>
        </w:tc>
        <w:tc>
          <w:tcPr>
            <w:tcW w:w="2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538,799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1,062,630</w:t>
            </w: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w w:val="96"/>
              </w:rPr>
              <w:t>Equity compensation plans not approved by</w:t>
            </w: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security holders</w:t>
            </w: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4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57"/>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538,799</w:t>
            </w:r>
          </w:p>
        </w:tc>
        <w:tc>
          <w:tcPr>
            <w:tcW w:w="220" w:type="dxa"/>
            <w:vAlign w:val="bottom"/>
            <w:shd w:val="clear" w:color="auto" w:fill="CCEEFF"/>
          </w:tcPr>
          <w:p>
            <w:pPr>
              <w:spacing w:after="0"/>
              <w:rPr>
                <w:sz w:val="22"/>
                <w:szCs w:val="22"/>
                <w:color w:val="auto"/>
              </w:rPr>
            </w:pP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4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1,062,630</w:t>
            </w:r>
            <w:r>
              <w:rPr>
                <w:rFonts w:ascii="Arial" w:cs="Arial" w:eastAsia="Arial" w:hAnsi="Arial"/>
                <w:sz w:val="29"/>
                <w:szCs w:val="29"/>
                <w:color w:val="auto"/>
                <w:vertAlign w:val="superscript"/>
              </w:rPr>
              <w:t>(1)</w:t>
            </w:r>
          </w:p>
        </w:tc>
      </w:tr>
    </w:tbl>
    <w:p>
      <w:pPr>
        <w:spacing w:after="0" w:line="242"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1,062,630 shares that may be issued in the form of restricted stock under the Rush Enterprises, Inc. 2007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-123190</wp:posOffset>
            </wp:positionV>
            <wp:extent cx="7200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13 of Form 10-K is incorporated herein by reference to such information included in the Company’s Proxy Statement for the 2018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14 of Form 10-K is incorporated herein by reference to such information included in the Company’s Proxy Statement for the 2018 Annual Meeting of Shareholders.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Included in Item 8 of Part II of this annual report on Form 10-K are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2017,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 December 31, 2017,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years ended December 31, 2017,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Shareholders’ Equity for the years ended December 31, 2017,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2017, 2016, and 2015;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These schedules are omitted as the required information is inapplicable or the information is presented in the consolidated financial statements or related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gridSpan w:val="6"/>
          </w:tcPr>
          <w:p>
            <w:pPr>
              <w:spacing w:after="0"/>
              <w:rPr>
                <w:sz w:val="20"/>
                <w:szCs w:val="20"/>
                <w:color w:val="auto"/>
              </w:rPr>
            </w:pPr>
            <w:r>
              <w:rPr>
                <w:rFonts w:ascii="Arial" w:cs="Arial" w:eastAsia="Arial" w:hAnsi="Arial"/>
                <w:sz w:val="18"/>
                <w:szCs w:val="18"/>
                <w:b w:val="1"/>
                <w:bCs w:val="1"/>
                <w:color w:val="auto"/>
              </w:rPr>
              <w:t>Identification of Exhibit</w:t>
            </w:r>
          </w:p>
        </w:tc>
      </w:tr>
      <w:tr>
        <w:trPr>
          <w:trHeight w:val="196"/>
        </w:trPr>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89"/>
              </w:rPr>
              <w:t>No.</w:t>
            </w: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4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3.1</w:t>
            </w:r>
          </w:p>
        </w:tc>
        <w:tc>
          <w:tcPr>
            <w:tcW w:w="9960" w:type="dxa"/>
            <w:vAlign w:val="bottom"/>
            <w:gridSpan w:val="9"/>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Restated Articles of Incorporation of Rush Enterprises, Inc. (incorporated herein by reference to Exhibit 3.1 of the Company’s Quarterly</w:t>
              </w:r>
            </w:hyperlink>
          </w:p>
        </w:tc>
      </w:tr>
      <w:tr>
        <w:trPr>
          <w:trHeight w:val="196"/>
        </w:trPr>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Report on Form 10-Q (File No. 000-20797) for the quarter ended June 30, 2008)</w:t>
              </w:r>
            </w:hyperlink>
          </w:p>
        </w:tc>
        <w:tc>
          <w:tcPr>
            <w:tcW w:w="41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3.2</w:t>
            </w:r>
          </w:p>
        </w:tc>
        <w:tc>
          <w:tcPr>
            <w:tcW w:w="9960" w:type="dxa"/>
            <w:vAlign w:val="bottom"/>
            <w:tcBorders>
              <w:bottom w:val="single" w:sz="8" w:color="0000EE"/>
            </w:tcBorders>
            <w:gridSpan w:val="9"/>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Rush Enterprises, Inc. Amended and Restated Bylaws (incorporated herein by reference to Exhibit 3.1 of the Company’s Current Report</w:t>
              </w:r>
            </w:hyperlink>
          </w:p>
        </w:tc>
      </w:tr>
      <w:tr>
        <w:trPr>
          <w:trHeight w:val="196"/>
        </w:trPr>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83">
              <w:r>
                <w:rPr>
                  <w:rFonts w:ascii="Arial" w:cs="Arial" w:eastAsia="Arial" w:hAnsi="Arial"/>
                  <w:sz w:val="18"/>
                  <w:szCs w:val="18"/>
                  <w:color w:val="0000EE"/>
                  <w:w w:val="93"/>
                </w:rPr>
                <w:t>on Form 8-K (File No. 000-20797) filed May 21, 2013)</w:t>
              </w:r>
            </w:hyperlink>
          </w:p>
        </w:tc>
        <w:tc>
          <w:tcPr>
            <w:tcW w:w="5940" w:type="dxa"/>
            <w:vAlign w:val="bottom"/>
            <w:gridSpan w:val="7"/>
          </w:tcPr>
          <w:p>
            <w:pPr>
              <w:spacing w:after="0"/>
              <w:rPr>
                <w:sz w:val="17"/>
                <w:szCs w:val="17"/>
                <w:color w:val="auto"/>
              </w:rPr>
            </w:pPr>
          </w:p>
        </w:tc>
      </w:tr>
      <w:tr>
        <w:trPr>
          <w:trHeight w:val="412"/>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4.1</w:t>
            </w:r>
          </w:p>
        </w:tc>
        <w:tc>
          <w:tcPr>
            <w:tcW w:w="9960" w:type="dxa"/>
            <w:vAlign w:val="bottom"/>
            <w:tcBorders>
              <w:bottom w:val="single" w:sz="8" w:color="0000EE"/>
            </w:tcBorders>
            <w:gridSpan w:val="9"/>
          </w:tcPr>
          <w:p>
            <w:pPr>
              <w:spacing w:after="0"/>
              <w:rPr>
                <w:rFonts w:ascii="Arial" w:cs="Arial" w:eastAsia="Arial" w:hAnsi="Arial"/>
                <w:sz w:val="18"/>
                <w:szCs w:val="18"/>
                <w:color w:val="0000EE"/>
              </w:rPr>
            </w:pPr>
            <w:hyperlink r:id="rId84">
              <w:r>
                <w:rPr>
                  <w:rFonts w:ascii="Arial" w:cs="Arial" w:eastAsia="Arial" w:hAnsi="Arial"/>
                  <w:sz w:val="18"/>
                  <w:szCs w:val="18"/>
                  <w:color w:val="0000EE"/>
                </w:rPr>
                <w:t>Specimen of certificate representing Common Stock (now Class B Common Stock), $.01 par value, of Rush Enterprises, Inc.</w:t>
              </w:r>
            </w:hyperlink>
          </w:p>
        </w:tc>
      </w:tr>
      <w:tr>
        <w:trPr>
          <w:trHeight w:val="196"/>
        </w:trPr>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96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84">
              <w:r>
                <w:rPr>
                  <w:rFonts w:ascii="Arial" w:cs="Arial" w:eastAsia="Arial" w:hAnsi="Arial"/>
                  <w:sz w:val="18"/>
                  <w:szCs w:val="18"/>
                  <w:color w:val="0000EE"/>
                  <w:w w:val="94"/>
                </w:rPr>
                <w:t>(incorporated herein by reference to Exhibit 4.1 of the Company’s Registration Statement No. 333-03346 on Form S-1 filed April 10,</w:t>
              </w:r>
            </w:hyperlink>
          </w:p>
        </w:tc>
      </w:tr>
      <w:tr>
        <w:trPr>
          <w:trHeight w:val="196"/>
        </w:trPr>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84">
              <w:r>
                <w:rPr>
                  <w:rFonts w:ascii="Arial" w:cs="Arial" w:eastAsia="Arial" w:hAnsi="Arial"/>
                  <w:sz w:val="18"/>
                  <w:szCs w:val="18"/>
                  <w:color w:val="0000EE"/>
                  <w:w w:val="86"/>
                </w:rPr>
                <w:t>1996)</w:t>
              </w:r>
            </w:hyperlink>
          </w:p>
        </w:tc>
        <w:tc>
          <w:tcPr>
            <w:tcW w:w="3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4.2</w:t>
            </w:r>
          </w:p>
        </w:tc>
        <w:tc>
          <w:tcPr>
            <w:tcW w:w="9960" w:type="dxa"/>
            <w:vAlign w:val="bottom"/>
            <w:tcBorders>
              <w:bottom w:val="single" w:sz="8" w:color="0000EE"/>
            </w:tcBorders>
            <w:gridSpan w:val="9"/>
          </w:tcPr>
          <w:p>
            <w:pPr>
              <w:spacing w:after="0"/>
              <w:rPr>
                <w:rFonts w:ascii="Arial" w:cs="Arial" w:eastAsia="Arial" w:hAnsi="Arial"/>
                <w:sz w:val="18"/>
                <w:szCs w:val="18"/>
                <w:color w:val="0000EE"/>
                <w:w w:val="95"/>
              </w:rPr>
            </w:pPr>
            <w:hyperlink r:id="rId85">
              <w:r>
                <w:rPr>
                  <w:rFonts w:ascii="Arial" w:cs="Arial" w:eastAsia="Arial" w:hAnsi="Arial"/>
                  <w:sz w:val="18"/>
                  <w:szCs w:val="18"/>
                  <w:color w:val="0000EE"/>
                  <w:w w:val="95"/>
                </w:rPr>
                <w:t>Specimen of certificate representing Class A Common Stock, $.01 par value, of the Registrant (incorporated herein by reference to</w:t>
              </w:r>
            </w:hyperlink>
          </w:p>
        </w:tc>
      </w:tr>
      <w:tr>
        <w:trPr>
          <w:trHeight w:val="196"/>
        </w:trPr>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1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Exhibit 4.1 of the Company’s Registration Statement on Form 8-A filed July 9, 2002)</w:t>
              </w:r>
            </w:hyperlink>
          </w:p>
        </w:tc>
        <w:tc>
          <w:tcPr>
            <w:tcW w:w="3780" w:type="dxa"/>
            <w:vAlign w:val="bottom"/>
            <w:gridSpan w:val="3"/>
          </w:tcPr>
          <w:p>
            <w:pPr>
              <w:spacing w:after="0"/>
              <w:rPr>
                <w:sz w:val="17"/>
                <w:szCs w:val="17"/>
                <w:color w:val="auto"/>
              </w:rPr>
            </w:pPr>
          </w:p>
        </w:tc>
      </w:tr>
      <w:tr>
        <w:trPr>
          <w:trHeight w:val="412"/>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w:t>
            </w:r>
          </w:p>
        </w:tc>
        <w:tc>
          <w:tcPr>
            <w:tcW w:w="9960" w:type="dxa"/>
            <w:vAlign w:val="bottom"/>
            <w:tcBorders>
              <w:bottom w:val="single" w:sz="8" w:color="0000EE"/>
            </w:tcBorders>
            <w:gridSpan w:val="9"/>
          </w:tcPr>
          <w:p>
            <w:pPr>
              <w:spacing w:after="0"/>
              <w:rPr>
                <w:rFonts w:ascii="Arial" w:cs="Arial" w:eastAsia="Arial" w:hAnsi="Arial"/>
                <w:sz w:val="18"/>
                <w:szCs w:val="18"/>
                <w:color w:val="0000EE"/>
                <w:w w:val="96"/>
              </w:rPr>
            </w:pPr>
            <w:hyperlink r:id="rId86">
              <w:r>
                <w:rPr>
                  <w:rFonts w:ascii="Arial" w:cs="Arial" w:eastAsia="Arial" w:hAnsi="Arial"/>
                  <w:sz w:val="18"/>
                  <w:szCs w:val="18"/>
                  <w:color w:val="0000EE"/>
                  <w:w w:val="96"/>
                </w:rPr>
                <w:t>Right of First Refusal dated December 19, 2012 between Peterbilt Motors Company and W. Marvin Rush (incorporated herein by</w:t>
              </w:r>
            </w:hyperlink>
          </w:p>
        </w:tc>
      </w:tr>
      <w:tr>
        <w:trPr>
          <w:trHeight w:val="196"/>
        </w:trPr>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960" w:type="dxa"/>
            <w:vAlign w:val="bottom"/>
            <w:gridSpan w:val="9"/>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reference to Exhibit 10.2 of the Company’s Current Report on Form 8-K (File No. 000-20797) filed December 20, 2012)</w:t>
              </w:r>
            </w:hyperlink>
          </w:p>
        </w:tc>
      </w:tr>
      <w:tr>
        <w:trPr>
          <w:trHeight w:val="20"/>
        </w:trPr>
        <w:tc>
          <w:tcPr>
            <w:tcW w:w="1460" w:type="dxa"/>
            <w:vAlign w:val="bottom"/>
            <w:gridSpan w:val="2"/>
          </w:tcPr>
          <w:p>
            <w:pPr>
              <w:spacing w:after="0" w:line="20" w:lineRule="exact"/>
              <w:rPr>
                <w:sz w:val="1"/>
                <w:szCs w:val="1"/>
                <w:color w:val="auto"/>
              </w:rPr>
            </w:pPr>
          </w:p>
        </w:tc>
        <w:tc>
          <w:tcPr>
            <w:tcW w:w="8700" w:type="dxa"/>
            <w:vAlign w:val="bottom"/>
            <w:gridSpan w:val="7"/>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12"/>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10.2</w:t>
            </w:r>
          </w:p>
        </w:tc>
        <w:tc>
          <w:tcPr>
            <w:tcW w:w="9960" w:type="dxa"/>
            <w:vAlign w:val="bottom"/>
            <w:tcBorders>
              <w:bottom w:val="single" w:sz="8" w:color="0000EE"/>
            </w:tcBorders>
            <w:gridSpan w:val="9"/>
          </w:tcPr>
          <w:p>
            <w:pPr>
              <w:spacing w:after="0"/>
              <w:rPr>
                <w:rFonts w:ascii="Arial" w:cs="Arial" w:eastAsia="Arial" w:hAnsi="Arial"/>
                <w:sz w:val="18"/>
                <w:szCs w:val="18"/>
                <w:color w:val="0000EE"/>
                <w:w w:val="94"/>
              </w:rPr>
            </w:pPr>
            <w:hyperlink r:id="rId87">
              <w:r>
                <w:rPr>
                  <w:rFonts w:ascii="Arial" w:cs="Arial" w:eastAsia="Arial" w:hAnsi="Arial"/>
                  <w:sz w:val="18"/>
                  <w:szCs w:val="18"/>
                  <w:color w:val="0000EE"/>
                  <w:w w:val="94"/>
                </w:rPr>
                <w:t>Right of First Refusal dated December 19, 2012 between Peterbilt Motors Company and W.M. “Rusty” Rush (incorporated herein by</w:t>
              </w:r>
            </w:hyperlink>
          </w:p>
        </w:tc>
      </w:tr>
      <w:tr>
        <w:trPr>
          <w:trHeight w:val="196"/>
        </w:trPr>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960" w:type="dxa"/>
            <w:vAlign w:val="bottom"/>
            <w:gridSpan w:val="9"/>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reference to Exhibit 10.3 of the Company’s Current Report on Form 8-K (File No. 000-20797) filed December 20, 2012)</w:t>
              </w:r>
            </w:hyperlink>
          </w:p>
        </w:tc>
      </w:tr>
      <w:tr>
        <w:trPr>
          <w:trHeight w:val="517"/>
        </w:trPr>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20" w:type="dxa"/>
            <w:vAlign w:val="bottom"/>
            <w:tcBorders>
              <w:top w:val="single" w:sz="8" w:color="0000EE"/>
            </w:tcBorders>
            <w:gridSpan w:val="4"/>
          </w:tcPr>
          <w:p>
            <w:pPr>
              <w:ind w:left="4140"/>
              <w:spacing w:after="0"/>
              <w:rPr>
                <w:sz w:val="20"/>
                <w:szCs w:val="20"/>
                <w:color w:val="auto"/>
              </w:rPr>
            </w:pPr>
            <w:r>
              <w:rPr>
                <w:rFonts w:ascii="Arial" w:cs="Arial" w:eastAsia="Arial" w:hAnsi="Arial"/>
                <w:sz w:val="22"/>
                <w:szCs w:val="22"/>
                <w:color w:val="auto"/>
              </w:rPr>
              <w:t>78</w:t>
            </w: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52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2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ind w:left="180"/>
              <w:spacing w:after="0"/>
              <w:rPr>
                <w:sz w:val="20"/>
                <w:szCs w:val="20"/>
                <w:color w:val="auto"/>
              </w:rPr>
            </w:pPr>
            <w:r>
              <w:rPr>
                <w:rFonts w:ascii="Arial" w:cs="Arial" w:eastAsia="Arial" w:hAnsi="Arial"/>
                <w:sz w:val="18"/>
                <w:szCs w:val="18"/>
                <w:color w:val="auto"/>
              </w:rPr>
              <w:t>10.3+</w:t>
            </w:r>
          </w:p>
        </w:tc>
        <w:tc>
          <w:tcPr>
            <w:tcW w:w="9960" w:type="dxa"/>
            <w:vAlign w:val="bottom"/>
            <w:tcBorders>
              <w:bottom w:val="single" w:sz="8" w:color="0000EE"/>
            </w:tcBorders>
            <w:gridSpan w:val="21"/>
          </w:tcPr>
          <w:p>
            <w:pPr>
              <w:spacing w:after="0"/>
              <w:rPr>
                <w:rFonts w:ascii="Arial" w:cs="Arial" w:eastAsia="Arial" w:hAnsi="Arial"/>
                <w:sz w:val="18"/>
                <w:szCs w:val="18"/>
                <w:color w:val="0000EE"/>
              </w:rPr>
            </w:pPr>
            <w:hyperlink r:id="rId88">
              <w:r>
                <w:rPr>
                  <w:rFonts w:ascii="Arial" w:cs="Arial" w:eastAsia="Arial" w:hAnsi="Arial"/>
                  <w:sz w:val="18"/>
                  <w:szCs w:val="18"/>
                  <w:color w:val="0000EE"/>
                </w:rPr>
                <w:t>Rush Enterprises, Inc. 2004 Employee Stock Purchase Plan, as amended (as Amended and Restated Effective February 23,</w:t>
              </w:r>
            </w:hyperlink>
          </w:p>
        </w:tc>
      </w:tr>
      <w:tr>
        <w:trPr>
          <w:trHeight w:val="196"/>
        </w:trPr>
        <w:tc>
          <w:tcPr>
            <w:tcW w:w="1460" w:type="dxa"/>
            <w:vAlign w:val="bottom"/>
          </w:tcPr>
          <w:p>
            <w:pPr>
              <w:spacing w:after="0"/>
              <w:rPr>
                <w:sz w:val="17"/>
                <w:szCs w:val="17"/>
                <w:color w:val="auto"/>
              </w:rPr>
            </w:pPr>
          </w:p>
        </w:tc>
        <w:tc>
          <w:tcPr>
            <w:tcW w:w="99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2016) (incorporated herein by reference to Exhibit 10.5 of the Company’s Form 10-K (File No. 000-20797) for the year ended December</w:t>
              </w:r>
            </w:hyperlink>
          </w:p>
        </w:tc>
      </w:tr>
      <w:tr>
        <w:trPr>
          <w:trHeight w:val="196"/>
        </w:trPr>
        <w:tc>
          <w:tcPr>
            <w:tcW w:w="14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88">
              <w:r>
                <w:rPr>
                  <w:rFonts w:ascii="Arial" w:cs="Arial" w:eastAsia="Arial" w:hAnsi="Arial"/>
                  <w:sz w:val="18"/>
                  <w:szCs w:val="18"/>
                  <w:color w:val="0000EE"/>
                  <w:w w:val="89"/>
                </w:rPr>
                <w:t>31, 2016)</w:t>
              </w:r>
            </w:hyperlink>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460" w:type="dxa"/>
            <w:vAlign w:val="bottom"/>
          </w:tcPr>
          <w:p>
            <w:pPr>
              <w:ind w:left="180"/>
              <w:spacing w:after="0"/>
              <w:rPr>
                <w:sz w:val="20"/>
                <w:szCs w:val="20"/>
                <w:color w:val="auto"/>
              </w:rPr>
            </w:pPr>
            <w:r>
              <w:rPr>
                <w:rFonts w:ascii="Arial" w:cs="Arial" w:eastAsia="Arial" w:hAnsi="Arial"/>
                <w:sz w:val="18"/>
                <w:szCs w:val="18"/>
                <w:color w:val="auto"/>
              </w:rPr>
              <w:t>10.4+</w:t>
            </w:r>
          </w:p>
        </w:tc>
        <w:tc>
          <w:tcPr>
            <w:tcW w:w="9960" w:type="dxa"/>
            <w:vAlign w:val="bottom"/>
            <w:tcBorders>
              <w:bottom w:val="single" w:sz="8" w:color="0000EE"/>
            </w:tcBorders>
            <w:gridSpan w:val="21"/>
          </w:tcPr>
          <w:p>
            <w:pPr>
              <w:spacing w:after="0"/>
              <w:rPr>
                <w:rFonts w:ascii="Arial" w:cs="Arial" w:eastAsia="Arial" w:hAnsi="Arial"/>
                <w:sz w:val="18"/>
                <w:szCs w:val="18"/>
                <w:color w:val="0000EE"/>
                <w:w w:val="94"/>
              </w:rPr>
            </w:pPr>
            <w:hyperlink r:id="rId89">
              <w:r>
                <w:rPr>
                  <w:rFonts w:ascii="Arial" w:cs="Arial" w:eastAsia="Arial" w:hAnsi="Arial"/>
                  <w:sz w:val="18"/>
                  <w:szCs w:val="18"/>
                  <w:color w:val="0000EE"/>
                  <w:w w:val="94"/>
                </w:rPr>
                <w:t>Rush Enterprises, Inc. Amended and Restated 2006 Non-Employee Director Stock Plan (incorporated herein by reference to Exhibit</w:t>
              </w:r>
            </w:hyperlink>
          </w:p>
        </w:tc>
      </w:tr>
      <w:tr>
        <w:trPr>
          <w:trHeight w:val="196"/>
        </w:trPr>
        <w:tc>
          <w:tcPr>
            <w:tcW w:w="1460" w:type="dxa"/>
            <w:vAlign w:val="bottom"/>
          </w:tcPr>
          <w:p>
            <w:pPr>
              <w:spacing w:after="0"/>
              <w:rPr>
                <w:sz w:val="17"/>
                <w:szCs w:val="17"/>
                <w:color w:val="auto"/>
              </w:rPr>
            </w:pPr>
          </w:p>
        </w:tc>
        <w:tc>
          <w:tcPr>
            <w:tcW w:w="70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10</w:t>
              </w:r>
              <w:r>
                <w:rPr>
                  <w:rFonts w:ascii="Arial" w:cs="Arial" w:eastAsia="Arial" w:hAnsi="Arial"/>
                  <w:sz w:val="18"/>
                  <w:szCs w:val="18"/>
                  <w:color w:val="0000EE"/>
                  <w:w w:val="91"/>
                </w:rPr>
                <w:t xml:space="preserve"> of the Company’s Form 10-K (File No. 000-20797) for the year ended December 31, 2010)</w:t>
              </w:r>
            </w:hyperlink>
          </w:p>
        </w:tc>
        <w:tc>
          <w:tcPr>
            <w:tcW w:w="2920" w:type="dxa"/>
            <w:vAlign w:val="bottom"/>
            <w:gridSpan w:val="11"/>
          </w:tcPr>
          <w:p>
            <w:pPr>
              <w:spacing w:after="0"/>
              <w:rPr>
                <w:sz w:val="17"/>
                <w:szCs w:val="17"/>
                <w:color w:val="auto"/>
              </w:rPr>
            </w:pPr>
          </w:p>
        </w:tc>
      </w:tr>
      <w:tr>
        <w:trPr>
          <w:trHeight w:val="412"/>
        </w:trPr>
        <w:tc>
          <w:tcPr>
            <w:tcW w:w="1460" w:type="dxa"/>
            <w:vAlign w:val="bottom"/>
          </w:tcPr>
          <w:p>
            <w:pPr>
              <w:ind w:left="180"/>
              <w:spacing w:after="0"/>
              <w:rPr>
                <w:sz w:val="20"/>
                <w:szCs w:val="20"/>
                <w:color w:val="auto"/>
              </w:rPr>
            </w:pPr>
            <w:r>
              <w:rPr>
                <w:rFonts w:ascii="Arial" w:cs="Arial" w:eastAsia="Arial" w:hAnsi="Arial"/>
                <w:sz w:val="18"/>
                <w:szCs w:val="18"/>
                <w:color w:val="auto"/>
              </w:rPr>
              <w:t>10.5+</w:t>
            </w:r>
          </w:p>
        </w:tc>
        <w:tc>
          <w:tcPr>
            <w:tcW w:w="9960" w:type="dxa"/>
            <w:vAlign w:val="bottom"/>
            <w:tcBorders>
              <w:bottom w:val="single" w:sz="8" w:color="0000EE"/>
            </w:tcBorders>
            <w:gridSpan w:val="21"/>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Form of Rush Enterprises, Inc. 2006 Non-Employee Director Stock Option Agreement (incorporated herein by reference to Exhibit 4.4 of</w:t>
              </w:r>
            </w:hyperlink>
          </w:p>
        </w:tc>
      </w:tr>
      <w:tr>
        <w:trPr>
          <w:trHeight w:val="196"/>
        </w:trPr>
        <w:tc>
          <w:tcPr>
            <w:tcW w:w="1460" w:type="dxa"/>
            <w:vAlign w:val="bottom"/>
          </w:tcPr>
          <w:p>
            <w:pPr>
              <w:spacing w:after="0"/>
              <w:rPr>
                <w:sz w:val="17"/>
                <w:szCs w:val="17"/>
                <w:color w:val="auto"/>
              </w:rPr>
            </w:pPr>
          </w:p>
        </w:tc>
        <w:tc>
          <w:tcPr>
            <w:tcW w:w="9960" w:type="dxa"/>
            <w:vAlign w:val="bottom"/>
            <w:gridSpan w:val="21"/>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the Company’s Registration Statement No. 333-138556 on Form S-8 filed November 9, 2006)</w:t>
              </w:r>
            </w:hyperlink>
          </w:p>
        </w:tc>
      </w:tr>
      <w:tr>
        <w:trPr>
          <w:trHeight w:val="20"/>
        </w:trPr>
        <w:tc>
          <w:tcPr>
            <w:tcW w:w="146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460" w:type="dxa"/>
            <w:vAlign w:val="bottom"/>
          </w:tcPr>
          <w:p>
            <w:pPr>
              <w:ind w:left="180"/>
              <w:spacing w:after="0"/>
              <w:rPr>
                <w:sz w:val="20"/>
                <w:szCs w:val="20"/>
                <w:color w:val="auto"/>
              </w:rPr>
            </w:pPr>
            <w:r>
              <w:rPr>
                <w:rFonts w:ascii="Arial" w:cs="Arial" w:eastAsia="Arial" w:hAnsi="Arial"/>
                <w:sz w:val="18"/>
                <w:szCs w:val="18"/>
                <w:color w:val="auto"/>
              </w:rPr>
              <w:t>10.6+</w:t>
            </w:r>
          </w:p>
        </w:tc>
        <w:tc>
          <w:tcPr>
            <w:tcW w:w="9960" w:type="dxa"/>
            <w:vAlign w:val="bottom"/>
            <w:tcBorders>
              <w:bottom w:val="single" w:sz="8" w:color="0000EE"/>
            </w:tcBorders>
            <w:gridSpan w:val="21"/>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Form of Rush Enterprises, Inc. 2006 Non-Employee Director Stock Plan Restricted Stock Unit Award Agreement (incorporated herein by</w:t>
              </w:r>
            </w:hyperlink>
          </w:p>
        </w:tc>
      </w:tr>
      <w:tr>
        <w:trPr>
          <w:trHeight w:val="196"/>
        </w:trPr>
        <w:tc>
          <w:tcPr>
            <w:tcW w:w="1460" w:type="dxa"/>
            <w:vAlign w:val="bottom"/>
          </w:tcPr>
          <w:p>
            <w:pPr>
              <w:spacing w:after="0"/>
              <w:rPr>
                <w:sz w:val="17"/>
                <w:szCs w:val="17"/>
                <w:color w:val="auto"/>
              </w:rPr>
            </w:pPr>
          </w:p>
        </w:tc>
        <w:tc>
          <w:tcPr>
            <w:tcW w:w="9960" w:type="dxa"/>
            <w:vAlign w:val="bottom"/>
            <w:gridSpan w:val="21"/>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reference to Exhibit 10.1 of the Company’s Form 10-Q (File No. 000-20797) for the quarter ended June 30, 2012)</w:t>
              </w:r>
            </w:hyperlink>
          </w:p>
        </w:tc>
      </w:tr>
      <w:tr>
        <w:trPr>
          <w:trHeight w:val="20"/>
        </w:trPr>
        <w:tc>
          <w:tcPr>
            <w:tcW w:w="146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460" w:type="dxa"/>
            <w:vAlign w:val="bottom"/>
          </w:tcPr>
          <w:p>
            <w:pPr>
              <w:ind w:left="180"/>
              <w:spacing w:after="0"/>
              <w:rPr>
                <w:sz w:val="20"/>
                <w:szCs w:val="20"/>
                <w:color w:val="auto"/>
              </w:rPr>
            </w:pPr>
            <w:r>
              <w:rPr>
                <w:rFonts w:ascii="Arial" w:cs="Arial" w:eastAsia="Arial" w:hAnsi="Arial"/>
                <w:sz w:val="18"/>
                <w:szCs w:val="18"/>
                <w:color w:val="auto"/>
              </w:rPr>
              <w:t>10.7+</w:t>
            </w:r>
          </w:p>
        </w:tc>
        <w:tc>
          <w:tcPr>
            <w:tcW w:w="9960" w:type="dxa"/>
            <w:vAlign w:val="bottom"/>
            <w:gridSpan w:val="21"/>
          </w:tcPr>
          <w:p>
            <w:pPr>
              <w:spacing w:after="0"/>
              <w:rPr>
                <w:rFonts w:ascii="Arial" w:cs="Arial" w:eastAsia="Arial" w:hAnsi="Arial"/>
                <w:sz w:val="18"/>
                <w:szCs w:val="18"/>
                <w:color w:val="0000EE"/>
                <w:w w:val="93"/>
              </w:rPr>
            </w:pPr>
            <w:hyperlink r:id="rId92">
              <w:r>
                <w:rPr>
                  <w:rFonts w:ascii="Arial" w:cs="Arial" w:eastAsia="Arial" w:hAnsi="Arial"/>
                  <w:sz w:val="18"/>
                  <w:szCs w:val="18"/>
                  <w:color w:val="0000EE"/>
                  <w:w w:val="93"/>
                </w:rPr>
                <w:t>Rush Enterprises, Inc. Amended and Restated 2007 Long-Term Incentive Plan (incorporated herein by reference to Exhibit 10.1 of the</w:t>
              </w:r>
            </w:hyperlink>
          </w:p>
        </w:tc>
      </w:tr>
      <w:tr>
        <w:trPr>
          <w:trHeight w:val="196"/>
        </w:trPr>
        <w:tc>
          <w:tcPr>
            <w:tcW w:w="1460" w:type="dxa"/>
            <w:vAlign w:val="bottom"/>
          </w:tcPr>
          <w:p>
            <w:pPr>
              <w:spacing w:after="0"/>
              <w:rPr>
                <w:sz w:val="17"/>
                <w:szCs w:val="17"/>
                <w:color w:val="auto"/>
              </w:rPr>
            </w:pPr>
          </w:p>
        </w:tc>
        <w:tc>
          <w:tcPr>
            <w:tcW w:w="96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Company’s Current Report on Form 8-K (File No. 000-20797) filed May 22, 2017)</w:t>
              </w:r>
            </w:hyperlink>
          </w:p>
        </w:tc>
        <w:tc>
          <w:tcPr>
            <w:tcW w:w="280" w:type="dxa"/>
            <w:vAlign w:val="bottom"/>
            <w:gridSpan w:val="6"/>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460" w:type="dxa"/>
            <w:vAlign w:val="bottom"/>
          </w:tcPr>
          <w:p>
            <w:pPr>
              <w:ind w:left="180"/>
              <w:spacing w:after="0"/>
              <w:rPr>
                <w:sz w:val="20"/>
                <w:szCs w:val="20"/>
                <w:color w:val="auto"/>
              </w:rPr>
            </w:pPr>
            <w:r>
              <w:rPr>
                <w:rFonts w:ascii="Arial" w:cs="Arial" w:eastAsia="Arial" w:hAnsi="Arial"/>
                <w:sz w:val="18"/>
                <w:szCs w:val="18"/>
                <w:color w:val="auto"/>
              </w:rPr>
              <w:t>10.8+</w:t>
            </w:r>
          </w:p>
        </w:tc>
        <w:tc>
          <w:tcPr>
            <w:tcW w:w="9960" w:type="dxa"/>
            <w:vAlign w:val="bottom"/>
            <w:tcBorders>
              <w:bottom w:val="single" w:sz="8" w:color="0000EE"/>
            </w:tcBorders>
            <w:gridSpan w:val="21"/>
          </w:tcPr>
          <w:p>
            <w:pPr>
              <w:spacing w:after="0"/>
              <w:rPr>
                <w:rFonts w:ascii="Arial" w:cs="Arial" w:eastAsia="Arial" w:hAnsi="Arial"/>
                <w:sz w:val="18"/>
                <w:szCs w:val="18"/>
                <w:color w:val="0000EE"/>
                <w:w w:val="93"/>
              </w:rPr>
            </w:pPr>
            <w:hyperlink r:id="rId93">
              <w:r>
                <w:rPr>
                  <w:rFonts w:ascii="Arial" w:cs="Arial" w:eastAsia="Arial" w:hAnsi="Arial"/>
                  <w:sz w:val="18"/>
                  <w:szCs w:val="18"/>
                  <w:color w:val="0000EE"/>
                  <w:w w:val="93"/>
                </w:rPr>
                <w:t>Form of Rush Enterprises, Inc. 2007 Long-Term Incentive Plan Restricted Stock Unit Agreement (incorporated herein by reference to</w:t>
              </w:r>
            </w:hyperlink>
          </w:p>
        </w:tc>
      </w:tr>
      <w:tr>
        <w:trPr>
          <w:trHeight w:val="196"/>
        </w:trPr>
        <w:tc>
          <w:tcPr>
            <w:tcW w:w="1460" w:type="dxa"/>
            <w:vAlign w:val="bottom"/>
          </w:tcPr>
          <w:p>
            <w:pPr>
              <w:spacing w:after="0"/>
              <w:rPr>
                <w:sz w:val="17"/>
                <w:szCs w:val="17"/>
                <w:color w:val="auto"/>
              </w:rPr>
            </w:pPr>
          </w:p>
        </w:tc>
        <w:tc>
          <w:tcPr>
            <w:tcW w:w="9960" w:type="dxa"/>
            <w:vAlign w:val="bottom"/>
            <w:gridSpan w:val="21"/>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Exhibit 10.1 of the Company’s Current Report on Form 8-K (File No. 000-20797) filed March 14, 2012)</w:t>
              </w:r>
            </w:hyperlink>
          </w:p>
        </w:tc>
      </w:tr>
      <w:tr>
        <w:trPr>
          <w:trHeight w:val="20"/>
        </w:trPr>
        <w:tc>
          <w:tcPr>
            <w:tcW w:w="146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460" w:type="dxa"/>
            <w:vAlign w:val="bottom"/>
          </w:tcPr>
          <w:p>
            <w:pPr>
              <w:ind w:left="180"/>
              <w:spacing w:after="0"/>
              <w:rPr>
                <w:sz w:val="20"/>
                <w:szCs w:val="20"/>
                <w:color w:val="auto"/>
              </w:rPr>
            </w:pPr>
            <w:r>
              <w:rPr>
                <w:rFonts w:ascii="Arial" w:cs="Arial" w:eastAsia="Arial" w:hAnsi="Arial"/>
                <w:sz w:val="18"/>
                <w:szCs w:val="18"/>
                <w:color w:val="auto"/>
              </w:rPr>
              <w:t>10.9+</w:t>
            </w:r>
          </w:p>
        </w:tc>
        <w:tc>
          <w:tcPr>
            <w:tcW w:w="9960" w:type="dxa"/>
            <w:vAlign w:val="bottom"/>
            <w:tcBorders>
              <w:bottom w:val="single" w:sz="8" w:color="0000EE"/>
            </w:tcBorders>
            <w:gridSpan w:val="21"/>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Form of Rush Enterprises, Inc. 2007 Long-Term Incentive Plan Stock Option Agreement (incorporated herein by reference to Exhibit 4.4</w:t>
              </w:r>
            </w:hyperlink>
          </w:p>
        </w:tc>
      </w:tr>
      <w:tr>
        <w:trPr>
          <w:trHeight w:val="196"/>
        </w:trPr>
        <w:tc>
          <w:tcPr>
            <w:tcW w:w="1460" w:type="dxa"/>
            <w:vAlign w:val="bottom"/>
          </w:tcPr>
          <w:p>
            <w:pPr>
              <w:spacing w:after="0"/>
              <w:rPr>
                <w:sz w:val="17"/>
                <w:szCs w:val="17"/>
                <w:color w:val="auto"/>
              </w:rPr>
            </w:pPr>
          </w:p>
        </w:tc>
        <w:tc>
          <w:tcPr>
            <w:tcW w:w="9960" w:type="dxa"/>
            <w:vAlign w:val="bottom"/>
            <w:gridSpan w:val="21"/>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of the Company’s Form S-8 (File No. 333-144821) filed July 24, 2007)</w:t>
              </w:r>
            </w:hyperlink>
          </w:p>
        </w:tc>
      </w:tr>
      <w:tr>
        <w:trPr>
          <w:trHeight w:val="20"/>
        </w:trPr>
        <w:tc>
          <w:tcPr>
            <w:tcW w:w="146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460" w:type="dxa"/>
            <w:vAlign w:val="bottom"/>
          </w:tcPr>
          <w:p>
            <w:pPr>
              <w:ind w:left="180"/>
              <w:spacing w:after="0"/>
              <w:rPr>
                <w:sz w:val="20"/>
                <w:szCs w:val="20"/>
                <w:color w:val="auto"/>
              </w:rPr>
            </w:pPr>
            <w:r>
              <w:rPr>
                <w:rFonts w:ascii="Arial" w:cs="Arial" w:eastAsia="Arial" w:hAnsi="Arial"/>
                <w:sz w:val="18"/>
                <w:szCs w:val="18"/>
                <w:color w:val="auto"/>
              </w:rPr>
              <w:t>10.10+</w:t>
            </w:r>
          </w:p>
        </w:tc>
        <w:tc>
          <w:tcPr>
            <w:tcW w:w="9760" w:type="dxa"/>
            <w:vAlign w:val="bottom"/>
            <w:tcBorders>
              <w:bottom w:val="single" w:sz="8" w:color="0000EE"/>
            </w:tcBorders>
            <w:gridSpan w:val="17"/>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Rush Enterprises, Inc. Deferred Compensation Plan (incorporated herein by reference to Exhibit 10.1 of the Company’s Current Report</w:t>
              </w:r>
            </w:hyperlink>
          </w:p>
        </w:tc>
        <w:tc>
          <w:tcPr>
            <w:tcW w:w="200" w:type="dxa"/>
            <w:vAlign w:val="bottom"/>
            <w:gridSpan w:val="4"/>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960" w:type="dxa"/>
            <w:vAlign w:val="bottom"/>
            <w:gridSpan w:val="21"/>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on Form 8-K (File No. 000-20797) filed November 12, 2010)</w:t>
              </w:r>
            </w:hyperlink>
          </w:p>
        </w:tc>
      </w:tr>
      <w:tr>
        <w:trPr>
          <w:trHeight w:val="20"/>
        </w:trPr>
        <w:tc>
          <w:tcPr>
            <w:tcW w:w="146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460" w:type="dxa"/>
            <w:vAlign w:val="bottom"/>
          </w:tcPr>
          <w:p>
            <w:pPr>
              <w:ind w:left="180"/>
              <w:spacing w:after="0"/>
              <w:rPr>
                <w:sz w:val="20"/>
                <w:szCs w:val="20"/>
                <w:color w:val="auto"/>
              </w:rPr>
            </w:pPr>
            <w:r>
              <w:rPr>
                <w:rFonts w:ascii="Arial" w:cs="Arial" w:eastAsia="Arial" w:hAnsi="Arial"/>
                <w:sz w:val="18"/>
                <w:szCs w:val="18"/>
                <w:color w:val="auto"/>
              </w:rPr>
              <w:t>10.11+</w:t>
            </w:r>
          </w:p>
        </w:tc>
        <w:tc>
          <w:tcPr>
            <w:tcW w:w="9960" w:type="dxa"/>
            <w:vAlign w:val="bottom"/>
            <w:gridSpan w:val="21"/>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Form of Indemnity Agreement (incorporated herein by reference to Exhibit 10.1 of the Company’s Current Report on Form 8-K (File No.</w:t>
              </w:r>
            </w:hyperlink>
          </w:p>
        </w:tc>
      </w:tr>
      <w:tr>
        <w:trPr>
          <w:trHeight w:val="196"/>
        </w:trPr>
        <w:tc>
          <w:tcPr>
            <w:tcW w:w="146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000-20797) filed January 7, 2015)</w:t>
              </w:r>
            </w:hyperlink>
          </w:p>
        </w:tc>
        <w:tc>
          <w:tcPr>
            <w:tcW w:w="7440" w:type="dxa"/>
            <w:vAlign w:val="bottom"/>
            <w:tcBorders>
              <w:top w:val="single" w:sz="8" w:color="0000EE"/>
            </w:tcBorders>
            <w:gridSpan w:val="1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1460" w:type="dxa"/>
            <w:vAlign w:val="bottom"/>
          </w:tcPr>
          <w:p>
            <w:pPr>
              <w:ind w:left="180"/>
              <w:spacing w:after="0"/>
              <w:rPr>
                <w:sz w:val="20"/>
                <w:szCs w:val="20"/>
                <w:color w:val="auto"/>
              </w:rPr>
            </w:pPr>
            <w:r>
              <w:rPr>
                <w:rFonts w:ascii="Arial" w:cs="Arial" w:eastAsia="Arial" w:hAnsi="Arial"/>
                <w:sz w:val="18"/>
                <w:szCs w:val="18"/>
                <w:color w:val="auto"/>
              </w:rPr>
              <w:t>10.12+</w:t>
            </w:r>
          </w:p>
        </w:tc>
        <w:tc>
          <w:tcPr>
            <w:tcW w:w="9960" w:type="dxa"/>
            <w:vAlign w:val="bottom"/>
            <w:gridSpan w:val="21"/>
          </w:tcPr>
          <w:p>
            <w:pPr>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Rush Enterprises, Inc. Executive Transition Plan (as Amended and Restated Effective as of February 20, 2018) (incorporated herein by</w:t>
              </w:r>
            </w:hyperlink>
          </w:p>
        </w:tc>
      </w:tr>
      <w:tr>
        <w:trPr>
          <w:trHeight w:val="196"/>
        </w:trPr>
        <w:tc>
          <w:tcPr>
            <w:tcW w:w="1460" w:type="dxa"/>
            <w:vAlign w:val="bottom"/>
          </w:tcPr>
          <w:p>
            <w:pPr>
              <w:spacing w:after="0"/>
              <w:rPr>
                <w:sz w:val="17"/>
                <w:szCs w:val="17"/>
                <w:color w:val="auto"/>
              </w:rPr>
            </w:pPr>
          </w:p>
        </w:tc>
        <w:tc>
          <w:tcPr>
            <w:tcW w:w="86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reference to Exhibit 10.1 of the Company’s Current Report on Form 8-K (File No. 000-20797) filed February 26, 2018)</w:t>
              </w:r>
            </w:hyperlink>
          </w:p>
        </w:tc>
        <w:tc>
          <w:tcPr>
            <w:tcW w:w="1100" w:type="dxa"/>
            <w:vAlign w:val="bottom"/>
            <w:tcBorders>
              <w:top w:val="single" w:sz="8" w:color="0000EE"/>
            </w:tcBorders>
            <w:gridSpan w:val="3"/>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412"/>
        </w:trPr>
        <w:tc>
          <w:tcPr>
            <w:tcW w:w="1460" w:type="dxa"/>
            <w:vAlign w:val="bottom"/>
          </w:tcPr>
          <w:p>
            <w:pPr>
              <w:ind w:left="180"/>
              <w:spacing w:after="0"/>
              <w:rPr>
                <w:sz w:val="20"/>
                <w:szCs w:val="20"/>
                <w:color w:val="auto"/>
              </w:rPr>
            </w:pPr>
            <w:r>
              <w:rPr>
                <w:rFonts w:ascii="Arial" w:cs="Arial" w:eastAsia="Arial" w:hAnsi="Arial"/>
                <w:sz w:val="18"/>
                <w:szCs w:val="18"/>
                <w:color w:val="auto"/>
              </w:rPr>
              <w:t>10.13</w:t>
            </w:r>
          </w:p>
        </w:tc>
        <w:tc>
          <w:tcPr>
            <w:tcW w:w="9960" w:type="dxa"/>
            <w:vAlign w:val="bottom"/>
            <w:tcBorders>
              <w:bottom w:val="single" w:sz="8" w:color="0000EE"/>
            </w:tcBorders>
            <w:gridSpan w:val="21"/>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Form of dealer agreement between Peterbilt Motors Company and Rush Truck Centers (incorporated herein by reference to Exhibit 10.18</w:t>
              </w:r>
            </w:hyperlink>
          </w:p>
        </w:tc>
      </w:tr>
      <w:tr>
        <w:trPr>
          <w:trHeight w:val="196"/>
        </w:trPr>
        <w:tc>
          <w:tcPr>
            <w:tcW w:w="1460" w:type="dxa"/>
            <w:vAlign w:val="bottom"/>
          </w:tcPr>
          <w:p>
            <w:pPr>
              <w:spacing w:after="0"/>
              <w:rPr>
                <w:sz w:val="17"/>
                <w:szCs w:val="17"/>
                <w:color w:val="auto"/>
              </w:rPr>
            </w:pPr>
          </w:p>
        </w:tc>
        <w:tc>
          <w:tcPr>
            <w:tcW w:w="9960" w:type="dxa"/>
            <w:vAlign w:val="bottom"/>
            <w:gridSpan w:val="21"/>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of the Company’s Form 10-K (File No. 000-20797) for the year ended December 31, 1999)</w:t>
              </w:r>
            </w:hyperlink>
          </w:p>
        </w:tc>
      </w:tr>
      <w:tr>
        <w:trPr>
          <w:trHeight w:val="20"/>
        </w:trPr>
        <w:tc>
          <w:tcPr>
            <w:tcW w:w="146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460" w:type="dxa"/>
            <w:vAlign w:val="bottom"/>
          </w:tcPr>
          <w:p>
            <w:pPr>
              <w:ind w:left="180"/>
              <w:spacing w:after="0"/>
              <w:rPr>
                <w:sz w:val="20"/>
                <w:szCs w:val="20"/>
                <w:color w:val="auto"/>
              </w:rPr>
            </w:pPr>
            <w:r>
              <w:rPr>
                <w:rFonts w:ascii="Arial" w:cs="Arial" w:eastAsia="Arial" w:hAnsi="Arial"/>
                <w:sz w:val="18"/>
                <w:szCs w:val="18"/>
                <w:color w:val="auto"/>
              </w:rPr>
              <w:t>10.14</w:t>
            </w:r>
          </w:p>
        </w:tc>
        <w:tc>
          <w:tcPr>
            <w:tcW w:w="9960" w:type="dxa"/>
            <w:vAlign w:val="bottom"/>
            <w:tcBorders>
              <w:bottom w:val="single" w:sz="8" w:color="0000EE"/>
            </w:tcBorders>
            <w:gridSpan w:val="21"/>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Amended and Restated Amendment to Dealer Sales and Service Agreements, dated December 19, 2012, by and among Peterbilt Motors</w:t>
              </w:r>
            </w:hyperlink>
          </w:p>
        </w:tc>
      </w:tr>
      <w:tr>
        <w:trPr>
          <w:trHeight w:val="196"/>
        </w:trPr>
        <w:tc>
          <w:tcPr>
            <w:tcW w:w="1460" w:type="dxa"/>
            <w:vAlign w:val="bottom"/>
          </w:tcPr>
          <w:p>
            <w:pPr>
              <w:spacing w:after="0"/>
              <w:rPr>
                <w:sz w:val="17"/>
                <w:szCs w:val="17"/>
                <w:color w:val="auto"/>
              </w:rPr>
            </w:pPr>
          </w:p>
        </w:tc>
        <w:tc>
          <w:tcPr>
            <w:tcW w:w="9960" w:type="dxa"/>
            <w:vAlign w:val="bottom"/>
            <w:gridSpan w:val="21"/>
          </w:tcPr>
          <w:p>
            <w:pPr>
              <w:spacing w:after="0" w:line="196" w:lineRule="exact"/>
              <w:rPr>
                <w:rFonts w:ascii="Arial" w:cs="Arial" w:eastAsia="Arial" w:hAnsi="Arial"/>
                <w:sz w:val="18"/>
                <w:szCs w:val="18"/>
                <w:color w:val="0000EE"/>
                <w:w w:val="95"/>
              </w:rPr>
            </w:pPr>
            <w:hyperlink r:id="rId99">
              <w:r>
                <w:rPr>
                  <w:rFonts w:ascii="Arial" w:cs="Arial" w:eastAsia="Arial" w:hAnsi="Arial"/>
                  <w:sz w:val="18"/>
                  <w:szCs w:val="18"/>
                  <w:color w:val="0000EE"/>
                  <w:w w:val="95"/>
                </w:rPr>
                <w:t>Company, a division of PACCAR, Inc., Rush Enterprises, Inc. and the subsidiaries of Rush Enterprises, Inc. named a party therein</w:t>
              </w:r>
            </w:hyperlink>
          </w:p>
        </w:tc>
      </w:tr>
      <w:tr>
        <w:trPr>
          <w:trHeight w:val="196"/>
        </w:trPr>
        <w:tc>
          <w:tcPr>
            <w:tcW w:w="1460" w:type="dxa"/>
            <w:vAlign w:val="bottom"/>
          </w:tcPr>
          <w:p>
            <w:pPr>
              <w:spacing w:after="0"/>
              <w:rPr>
                <w:sz w:val="17"/>
                <w:szCs w:val="17"/>
                <w:color w:val="auto"/>
              </w:rPr>
            </w:pPr>
          </w:p>
        </w:tc>
        <w:tc>
          <w:tcPr>
            <w:tcW w:w="90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(incorporated herein by reference to Exhibit 10.1 of the Company's Form 8-K (File No. 000-20797) filed December 20, 2012)</w:t>
              </w:r>
            </w:hyperlink>
          </w:p>
        </w:tc>
        <w:tc>
          <w:tcPr>
            <w:tcW w:w="8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460" w:type="dxa"/>
            <w:vAlign w:val="bottom"/>
          </w:tcPr>
          <w:p>
            <w:pPr>
              <w:ind w:left="180"/>
              <w:spacing w:after="0"/>
              <w:rPr>
                <w:sz w:val="20"/>
                <w:szCs w:val="20"/>
                <w:color w:val="auto"/>
              </w:rPr>
            </w:pPr>
            <w:r>
              <w:rPr>
                <w:rFonts w:ascii="Arial" w:cs="Arial" w:eastAsia="Arial" w:hAnsi="Arial"/>
                <w:sz w:val="18"/>
                <w:szCs w:val="18"/>
                <w:color w:val="auto"/>
              </w:rPr>
              <w:t>10.15</w:t>
            </w:r>
          </w:p>
        </w:tc>
        <w:tc>
          <w:tcPr>
            <w:tcW w:w="9960" w:type="dxa"/>
            <w:vAlign w:val="bottom"/>
            <w:tcBorders>
              <w:bottom w:val="single" w:sz="8" w:color="0000EE"/>
            </w:tcBorders>
            <w:gridSpan w:val="21"/>
          </w:tcPr>
          <w:p>
            <w:pPr>
              <w:spacing w:after="0"/>
              <w:rPr>
                <w:rFonts w:ascii="Arial" w:cs="Arial" w:eastAsia="Arial" w:hAnsi="Arial"/>
                <w:sz w:val="18"/>
                <w:szCs w:val="18"/>
                <w:color w:val="0000EE"/>
                <w:w w:val="93"/>
              </w:rPr>
            </w:pPr>
            <w:hyperlink r:id="rId100">
              <w:r>
                <w:rPr>
                  <w:rFonts w:ascii="Arial" w:cs="Arial" w:eastAsia="Arial" w:hAnsi="Arial"/>
                  <w:sz w:val="18"/>
                  <w:szCs w:val="18"/>
                  <w:color w:val="0000EE"/>
                  <w:w w:val="93"/>
                </w:rPr>
                <w:t>Guaranty Agreement, dated December 31, 2010, by Rush Enterprises, Inc. and each other Guarantor party thereto in favor of General</w:t>
              </w:r>
            </w:hyperlink>
          </w:p>
        </w:tc>
      </w:tr>
      <w:tr>
        <w:trPr>
          <w:trHeight w:val="196"/>
        </w:trPr>
        <w:tc>
          <w:tcPr>
            <w:tcW w:w="1460" w:type="dxa"/>
            <w:vAlign w:val="bottom"/>
          </w:tcPr>
          <w:p>
            <w:pPr>
              <w:spacing w:after="0"/>
              <w:rPr>
                <w:sz w:val="17"/>
                <w:szCs w:val="17"/>
                <w:color w:val="auto"/>
              </w:rPr>
            </w:pPr>
          </w:p>
        </w:tc>
        <w:tc>
          <w:tcPr>
            <w:tcW w:w="996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Electric Capital Corporation. (incorporated herein by reference to Exhibit 10.2 of the Company’s Current Report on Form 8-K (File No.</w:t>
              </w:r>
            </w:hyperlink>
          </w:p>
        </w:tc>
      </w:tr>
      <w:tr>
        <w:trPr>
          <w:trHeight w:val="196"/>
        </w:trPr>
        <w:tc>
          <w:tcPr>
            <w:tcW w:w="1460" w:type="dxa"/>
            <w:vAlign w:val="bottom"/>
          </w:tcPr>
          <w:p>
            <w:pPr>
              <w:spacing w:after="0"/>
              <w:rPr>
                <w:sz w:val="17"/>
                <w:szCs w:val="17"/>
                <w:color w:val="auto"/>
              </w:rPr>
            </w:pPr>
          </w:p>
        </w:tc>
        <w:tc>
          <w:tcPr>
            <w:tcW w:w="9960" w:type="dxa"/>
            <w:vAlign w:val="bottom"/>
            <w:gridSpan w:val="21"/>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000-20797) filed January 6, 2011)</w:t>
              </w:r>
            </w:hyperlink>
          </w:p>
        </w:tc>
      </w:tr>
      <w:tr>
        <w:trPr>
          <w:trHeight w:val="20"/>
        </w:trPr>
        <w:tc>
          <w:tcPr>
            <w:tcW w:w="146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52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412"/>
        </w:trPr>
        <w:tc>
          <w:tcPr>
            <w:tcW w:w="1460" w:type="dxa"/>
            <w:vAlign w:val="bottom"/>
          </w:tcPr>
          <w:p>
            <w:pPr>
              <w:ind w:left="180"/>
              <w:spacing w:after="0"/>
              <w:rPr>
                <w:sz w:val="20"/>
                <w:szCs w:val="20"/>
                <w:color w:val="auto"/>
              </w:rPr>
            </w:pPr>
            <w:r>
              <w:rPr>
                <w:rFonts w:ascii="Arial" w:cs="Arial" w:eastAsia="Arial" w:hAnsi="Arial"/>
                <w:sz w:val="18"/>
                <w:szCs w:val="18"/>
                <w:color w:val="auto"/>
              </w:rPr>
              <w:t>10.16</w:t>
            </w:r>
          </w:p>
        </w:tc>
        <w:tc>
          <w:tcPr>
            <w:tcW w:w="9760" w:type="dxa"/>
            <w:vAlign w:val="bottom"/>
            <w:tcBorders>
              <w:bottom w:val="single" w:sz="8" w:color="0000EE"/>
            </w:tcBorders>
            <w:gridSpan w:val="17"/>
          </w:tcPr>
          <w:p>
            <w:pPr>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Third Amended and Restated Credit Agreement, dated as of July 7, 2016 by and among the Company, the Lenders signatory thereto, as</w:t>
              </w:r>
            </w:hyperlink>
          </w:p>
        </w:tc>
        <w:tc>
          <w:tcPr>
            <w:tcW w:w="200" w:type="dxa"/>
            <w:vAlign w:val="bottom"/>
            <w:gridSpan w:val="4"/>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8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Administrative Agent and Collateral Agent (incorporated herein by reference to Exhibit 10.1 of the Company’s Current Report on Form</w:t>
              </w:r>
            </w:hyperlink>
          </w:p>
        </w:tc>
        <w:tc>
          <w:tcPr>
            <w:tcW w:w="160" w:type="dxa"/>
            <w:vAlign w:val="bottom"/>
            <w:gridSpan w:val="3"/>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32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01">
              <w:r>
                <w:rPr>
                  <w:rFonts w:ascii="Arial" w:cs="Arial" w:eastAsia="Arial" w:hAnsi="Arial"/>
                  <w:sz w:val="18"/>
                  <w:szCs w:val="18"/>
                  <w:color w:val="0000EE"/>
                  <w:w w:val="93"/>
                </w:rPr>
                <w:t>8-K (File No. 000-20797) filed July 8, 2016)</w:t>
              </w:r>
            </w:hyperlink>
          </w:p>
        </w:tc>
        <w:tc>
          <w:tcPr>
            <w:tcW w:w="6720" w:type="dxa"/>
            <w:vAlign w:val="bottom"/>
            <w:gridSpan w:val="17"/>
          </w:tcPr>
          <w:p>
            <w:pPr>
              <w:spacing w:after="0"/>
              <w:rPr>
                <w:sz w:val="17"/>
                <w:szCs w:val="17"/>
                <w:color w:val="auto"/>
              </w:rPr>
            </w:pPr>
          </w:p>
        </w:tc>
      </w:tr>
      <w:tr>
        <w:trPr>
          <w:trHeight w:val="453"/>
        </w:trPr>
        <w:tc>
          <w:tcPr>
            <w:tcW w:w="1460" w:type="dxa"/>
            <w:vAlign w:val="bottom"/>
          </w:tcPr>
          <w:p>
            <w:pPr>
              <w:spacing w:after="0"/>
              <w:rPr>
                <w:sz w:val="24"/>
                <w:szCs w:val="24"/>
                <w:color w:val="auto"/>
              </w:rPr>
            </w:pPr>
          </w:p>
        </w:tc>
        <w:tc>
          <w:tcPr>
            <w:tcW w:w="4440" w:type="dxa"/>
            <w:vAlign w:val="bottom"/>
            <w:gridSpan w:val="5"/>
          </w:tcPr>
          <w:p>
            <w:pPr>
              <w:ind w:left="4160"/>
              <w:spacing w:after="0"/>
              <w:rPr>
                <w:sz w:val="20"/>
                <w:szCs w:val="20"/>
                <w:color w:val="auto"/>
              </w:rPr>
            </w:pPr>
            <w:r>
              <w:rPr>
                <w:rFonts w:ascii="Arial" w:cs="Arial" w:eastAsia="Arial" w:hAnsi="Arial"/>
                <w:sz w:val="18"/>
                <w:szCs w:val="18"/>
                <w:color w:val="auto"/>
              </w:rPr>
              <w:t>79</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4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79" w:name="page80"/>
    <w:bookmarkEnd w:id="7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auto"/>
              </w:rPr>
              <w:t>10.17</w:t>
            </w:r>
          </w:p>
        </w:tc>
        <w:tc>
          <w:tcPr>
            <w:tcW w:w="9960" w:type="dxa"/>
            <w:vAlign w:val="bottom"/>
            <w:tcBorders>
              <w:bottom w:val="single" w:sz="8" w:color="0000EE"/>
            </w:tcBorders>
            <w:gridSpan w:val="10"/>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Credit Agreement, dated as of March 21, 2017 by and among the Company, the Lenders signatory thereto and BMO Harris Bank N.A., as</w:t>
              </w:r>
            </w:hyperlink>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102">
              <w:r>
                <w:rPr>
                  <w:rFonts w:ascii="Arial" w:cs="Arial" w:eastAsia="Arial" w:hAnsi="Arial"/>
                  <w:sz w:val="18"/>
                  <w:szCs w:val="18"/>
                  <w:color w:val="0000EE"/>
                  <w:w w:val="93"/>
                </w:rPr>
                <w:t>Administrative Agent incorporated herein by reference to Exhibit 10.1 of the Company's Form 8-K (File No. 000-20797) filed March 27,</w:t>
              </w:r>
            </w:hyperlink>
          </w:p>
        </w:tc>
      </w:tr>
      <w:tr>
        <w:trPr>
          <w:trHeight w:val="196"/>
        </w:trPr>
        <w:tc>
          <w:tcPr>
            <w:tcW w:w="128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Arial" w:cs="Arial" w:eastAsia="Arial" w:hAnsi="Arial"/>
                <w:sz w:val="18"/>
                <w:szCs w:val="18"/>
                <w:color w:val="0000EE"/>
                <w:w w:val="99"/>
              </w:rPr>
            </w:pPr>
            <w:hyperlink r:id="rId102">
              <w:r>
                <w:rPr>
                  <w:rFonts w:ascii="Arial" w:cs="Arial" w:eastAsia="Arial" w:hAnsi="Arial"/>
                  <w:sz w:val="18"/>
                  <w:szCs w:val="18"/>
                  <w:color w:val="0000EE"/>
                  <w:w w:val="99"/>
                </w:rPr>
                <w:t>2017)</w:t>
              </w:r>
            </w:hyperlink>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1280" w:type="dxa"/>
            <w:vAlign w:val="bottom"/>
          </w:tcPr>
          <w:p>
            <w:pPr>
              <w:spacing w:after="0"/>
              <w:rPr>
                <w:sz w:val="20"/>
                <w:szCs w:val="20"/>
                <w:color w:val="auto"/>
              </w:rPr>
            </w:pPr>
            <w:r>
              <w:rPr>
                <w:rFonts w:ascii="Arial" w:cs="Arial" w:eastAsia="Arial" w:hAnsi="Arial"/>
                <w:sz w:val="18"/>
                <w:szCs w:val="18"/>
                <w:color w:val="auto"/>
              </w:rPr>
              <w:t>10.18</w:t>
            </w:r>
          </w:p>
        </w:tc>
        <w:tc>
          <w:tcPr>
            <w:tcW w:w="9960" w:type="dxa"/>
            <w:vAlign w:val="bottom"/>
            <w:tcBorders>
              <w:bottom w:val="single" w:sz="8" w:color="0000EE"/>
            </w:tcBorders>
            <w:gridSpan w:val="10"/>
          </w:tcPr>
          <w:p>
            <w:pPr>
              <w:spacing w:after="0"/>
              <w:rPr>
                <w:rFonts w:ascii="Arial" w:cs="Arial" w:eastAsia="Arial" w:hAnsi="Arial"/>
                <w:sz w:val="18"/>
                <w:szCs w:val="18"/>
                <w:color w:val="0000EE"/>
                <w:w w:val="94"/>
              </w:rPr>
            </w:pPr>
            <w:hyperlink r:id="rId103">
              <w:r>
                <w:rPr>
                  <w:rFonts w:ascii="Arial" w:cs="Arial" w:eastAsia="Arial" w:hAnsi="Arial"/>
                  <w:sz w:val="18"/>
                  <w:szCs w:val="18"/>
                  <w:color w:val="0000EE"/>
                  <w:w w:val="94"/>
                </w:rPr>
                <w:t>Security Agreement, dated as of March 21, 2017, made by the Company in favor of BMO Harris Bank N.A., as Administrative Agent</w:t>
              </w:r>
            </w:hyperlink>
          </w:p>
        </w:tc>
      </w:tr>
      <w:tr>
        <w:trPr>
          <w:trHeight w:val="196"/>
        </w:trPr>
        <w:tc>
          <w:tcPr>
            <w:tcW w:w="1280" w:type="dxa"/>
            <w:vAlign w:val="bottom"/>
          </w:tcPr>
          <w:p>
            <w:pPr>
              <w:spacing w:after="0"/>
              <w:rPr>
                <w:sz w:val="17"/>
                <w:szCs w:val="17"/>
                <w:color w:val="auto"/>
              </w:rPr>
            </w:pPr>
          </w:p>
        </w:tc>
        <w:tc>
          <w:tcPr>
            <w:tcW w:w="9960" w:type="dxa"/>
            <w:vAlign w:val="bottom"/>
            <w:gridSpan w:val="10"/>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incorporated herein by reference to Exhibit 10.2 of the Company's Form 8-K (File No. 000-20797) filed March 27, 2017)</w:t>
              </w:r>
            </w:hyperlink>
          </w:p>
        </w:tc>
      </w:tr>
      <w:tr>
        <w:trPr>
          <w:trHeight w:val="20"/>
        </w:trPr>
        <w:tc>
          <w:tcPr>
            <w:tcW w:w="12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9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80" w:type="dxa"/>
            <w:vAlign w:val="bottom"/>
          </w:tcPr>
          <w:p>
            <w:pPr>
              <w:spacing w:after="0"/>
              <w:rPr>
                <w:sz w:val="20"/>
                <w:szCs w:val="20"/>
                <w:color w:val="auto"/>
              </w:rPr>
            </w:pPr>
            <w:r>
              <w:rPr>
                <w:rFonts w:ascii="Arial" w:cs="Arial" w:eastAsia="Arial" w:hAnsi="Arial"/>
                <w:sz w:val="18"/>
                <w:szCs w:val="18"/>
                <w:color w:val="auto"/>
              </w:rPr>
              <w:t>10.19</w:t>
            </w:r>
          </w:p>
        </w:tc>
        <w:tc>
          <w:tcPr>
            <w:tcW w:w="9960" w:type="dxa"/>
            <w:vAlign w:val="bottom"/>
            <w:tcBorders>
              <w:bottom w:val="single" w:sz="8" w:color="0000EE"/>
            </w:tcBorders>
            <w:gridSpan w:val="10"/>
          </w:tcPr>
          <w:p>
            <w:pPr>
              <w:spacing w:after="0"/>
              <w:rPr>
                <w:rFonts w:ascii="Arial" w:cs="Arial" w:eastAsia="Arial" w:hAnsi="Arial"/>
                <w:sz w:val="18"/>
                <w:szCs w:val="18"/>
                <w:color w:val="0000EE"/>
                <w:w w:val="93"/>
              </w:rPr>
            </w:pPr>
            <w:hyperlink r:id="rId104">
              <w:r>
                <w:rPr>
                  <w:rFonts w:ascii="Arial" w:cs="Arial" w:eastAsia="Arial" w:hAnsi="Arial"/>
                  <w:sz w:val="18"/>
                  <w:szCs w:val="18"/>
                  <w:color w:val="0000EE"/>
                  <w:w w:val="93"/>
                </w:rPr>
                <w:t>Intercreditor Agreement, dated as of March 21, 2017, by and among BMO Harris Bank N.A., as Administrative Agent under the Credit</w:t>
              </w:r>
            </w:hyperlink>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r:id="rId104">
              <w:r>
                <w:rPr>
                  <w:rFonts w:ascii="Arial" w:cs="Arial" w:eastAsia="Arial" w:hAnsi="Arial"/>
                  <w:sz w:val="18"/>
                  <w:szCs w:val="18"/>
                  <w:color w:val="0000EE"/>
                  <w:w w:val="97"/>
                </w:rPr>
                <w:t>Agreement, BMO Harris Bank N.A., as Administrative Agent and Collateral Agent under the Third Amended and Restated Credit</w:t>
              </w:r>
            </w:hyperlink>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Agreement, dated as of July 7, 2016, and the Company incorporated herein by reference to Exhibit 10.3 of the Company's Form 8-K (File</w:t>
              </w:r>
            </w:hyperlink>
          </w:p>
        </w:tc>
      </w:tr>
      <w:tr>
        <w:trPr>
          <w:trHeight w:val="196"/>
        </w:trPr>
        <w:tc>
          <w:tcPr>
            <w:tcW w:w="1280" w:type="dxa"/>
            <w:vAlign w:val="bottom"/>
          </w:tcPr>
          <w:p>
            <w:pPr>
              <w:spacing w:after="0"/>
              <w:rPr>
                <w:sz w:val="17"/>
                <w:szCs w:val="17"/>
                <w:color w:val="auto"/>
              </w:rPr>
            </w:pPr>
          </w:p>
        </w:tc>
        <w:tc>
          <w:tcPr>
            <w:tcW w:w="9960" w:type="dxa"/>
            <w:vAlign w:val="bottom"/>
            <w:gridSpan w:val="10"/>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No. 000-20797) filed March 27, 2017)</w:t>
              </w:r>
            </w:hyperlink>
          </w:p>
        </w:tc>
      </w:tr>
      <w:tr>
        <w:trPr>
          <w:trHeight w:val="439"/>
        </w:trPr>
        <w:tc>
          <w:tcPr>
            <w:tcW w:w="1280" w:type="dxa"/>
            <w:vAlign w:val="bottom"/>
          </w:tcPr>
          <w:p>
            <w:pPr>
              <w:spacing w:after="0"/>
              <w:rPr>
                <w:sz w:val="20"/>
                <w:szCs w:val="20"/>
                <w:color w:val="auto"/>
              </w:rPr>
            </w:pPr>
            <w:r>
              <w:rPr>
                <w:rFonts w:ascii="Arial" w:cs="Arial" w:eastAsia="Arial" w:hAnsi="Arial"/>
                <w:sz w:val="18"/>
                <w:szCs w:val="18"/>
                <w:color w:val="auto"/>
              </w:rPr>
              <w:t>21.1*</w:t>
            </w:r>
          </w:p>
        </w:tc>
        <w:tc>
          <w:tcPr>
            <w:tcW w:w="21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Subsidiaries of the Company</w:t>
              </w:r>
            </w:hyperlink>
          </w:p>
        </w:tc>
        <w:tc>
          <w:tcPr>
            <w:tcW w:w="680" w:type="dxa"/>
            <w:vAlign w:val="bottom"/>
            <w:tcBorders>
              <w:top w:val="single" w:sz="8" w:color="0000EE"/>
            </w:tcBorders>
            <w:gridSpan w:val="3"/>
          </w:tcPr>
          <w:p>
            <w:pPr>
              <w:spacing w:after="0"/>
              <w:rPr>
                <w:sz w:val="24"/>
                <w:szCs w:val="24"/>
                <w:color w:val="auto"/>
              </w:rPr>
            </w:pPr>
          </w:p>
        </w:tc>
        <w:tc>
          <w:tcPr>
            <w:tcW w:w="7180" w:type="dxa"/>
            <w:vAlign w:val="bottom"/>
            <w:gridSpan w:val="4"/>
          </w:tcPr>
          <w:p>
            <w:pPr>
              <w:spacing w:after="0"/>
              <w:rPr>
                <w:sz w:val="24"/>
                <w:szCs w:val="24"/>
                <w:color w:val="auto"/>
              </w:rPr>
            </w:pPr>
          </w:p>
        </w:tc>
      </w:tr>
      <w:tr>
        <w:trPr>
          <w:trHeight w:val="439"/>
        </w:trPr>
        <w:tc>
          <w:tcPr>
            <w:tcW w:w="1280" w:type="dxa"/>
            <w:vAlign w:val="bottom"/>
          </w:tcPr>
          <w:p>
            <w:pPr>
              <w:spacing w:after="0"/>
              <w:rPr>
                <w:sz w:val="20"/>
                <w:szCs w:val="20"/>
                <w:color w:val="auto"/>
              </w:rPr>
            </w:pPr>
            <w:r>
              <w:rPr>
                <w:rFonts w:ascii="Arial" w:cs="Arial" w:eastAsia="Arial" w:hAnsi="Arial"/>
                <w:sz w:val="18"/>
                <w:szCs w:val="18"/>
                <w:color w:val="auto"/>
              </w:rPr>
              <w:t>23.1*</w:t>
            </w:r>
          </w:p>
        </w:tc>
        <w:tc>
          <w:tcPr>
            <w:tcW w:w="9960" w:type="dxa"/>
            <w:vAlign w:val="bottom"/>
            <w:gridSpan w:val="1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Consent of Ernst &amp; Young LLP</w:t>
              </w:r>
            </w:hyperlink>
          </w:p>
        </w:tc>
      </w:tr>
      <w:tr>
        <w:trPr>
          <w:trHeight w:val="20"/>
        </w:trPr>
        <w:tc>
          <w:tcPr>
            <w:tcW w:w="12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91">
              <w:r>
                <w:rPr>
                  <w:rFonts w:ascii="Arial" w:cs="Arial" w:eastAsia="Arial" w:hAnsi="Arial"/>
                  <w:sz w:val="18"/>
                  <w:szCs w:val="18"/>
                  <w:color w:val="0000EE"/>
                  <w:w w:val="91"/>
                </w:rPr>
                <w:t>Certification of President and Chief Executive Officer pursuant to Rules 13a-14(a) and 15d-14(a), as adopted pursuant to Section 302 of</w:t>
              </w:r>
            </w:hyperlink>
          </w:p>
        </w:tc>
      </w:tr>
      <w:tr>
        <w:trPr>
          <w:trHeight w:val="196"/>
        </w:trPr>
        <w:tc>
          <w:tcPr>
            <w:tcW w:w="1280" w:type="dxa"/>
            <w:vAlign w:val="bottom"/>
          </w:tcPr>
          <w:p>
            <w:pPr>
              <w:spacing w:after="0"/>
              <w:rPr>
                <w:sz w:val="17"/>
                <w:szCs w:val="17"/>
                <w:color w:val="auto"/>
              </w:rPr>
            </w:pPr>
          </w:p>
        </w:tc>
        <w:tc>
          <w:tcPr>
            <w:tcW w:w="9960" w:type="dxa"/>
            <w:vAlign w:val="bottom"/>
            <w:gridSpan w:val="10"/>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the Sarbanes-Oxley Act of 2002</w:t>
              </w:r>
            </w:hyperlink>
          </w:p>
        </w:tc>
      </w:tr>
      <w:tr>
        <w:trPr>
          <w:trHeight w:val="20"/>
        </w:trPr>
        <w:tc>
          <w:tcPr>
            <w:tcW w:w="12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9960" w:type="dxa"/>
            <w:vAlign w:val="bottom"/>
            <w:gridSpan w:val="10"/>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Certification of Chief Financial Officer pursuant to Rules 13a-14(a) and 15d-14(a), as adopted pursuant to Section 302 of the Sarbanes-</w:t>
              </w:r>
            </w:hyperlink>
          </w:p>
        </w:tc>
      </w:tr>
      <w:tr>
        <w:trPr>
          <w:trHeight w:val="196"/>
        </w:trPr>
        <w:tc>
          <w:tcPr>
            <w:tcW w:w="128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92">
              <w:r>
                <w:rPr>
                  <w:rFonts w:ascii="Arial" w:cs="Arial" w:eastAsia="Arial" w:hAnsi="Arial"/>
                  <w:sz w:val="18"/>
                  <w:szCs w:val="18"/>
                  <w:color w:val="0000EE"/>
                  <w:w w:val="94"/>
                </w:rPr>
                <w:t>Oxley Act of 2002</w:t>
              </w:r>
            </w:hyperlink>
          </w:p>
        </w:tc>
        <w:tc>
          <w:tcPr>
            <w:tcW w:w="858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87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Certification Pursuant to 18 U.S.C. Section 1350, as Adopted Pursuant to Section 906 of the Sarbanes-Oxley Act of 2002</w:t>
              </w:r>
            </w:hyperlink>
          </w:p>
        </w:tc>
        <w:tc>
          <w:tcPr>
            <w:tcW w:w="1200" w:type="dxa"/>
            <w:vAlign w:val="bottom"/>
            <w:gridSpan w:val="2"/>
          </w:tcPr>
          <w:p>
            <w:pPr>
              <w:spacing w:after="0"/>
              <w:rPr>
                <w:sz w:val="24"/>
                <w:szCs w:val="24"/>
                <w:color w:val="auto"/>
              </w:rPr>
            </w:pPr>
          </w:p>
        </w:tc>
      </w:tr>
      <w:tr>
        <w:trPr>
          <w:trHeight w:val="439"/>
        </w:trPr>
        <w:tc>
          <w:tcPr>
            <w:tcW w:w="1280" w:type="dxa"/>
            <w:vAlign w:val="bottom"/>
          </w:tcPr>
          <w:p>
            <w:pPr>
              <w:spacing w:after="0"/>
              <w:rPr>
                <w:sz w:val="20"/>
                <w:szCs w:val="20"/>
                <w:color w:val="auto"/>
              </w:rPr>
            </w:pPr>
            <w:r>
              <w:rPr>
                <w:rFonts w:ascii="Arial" w:cs="Arial" w:eastAsia="Arial" w:hAnsi="Arial"/>
                <w:sz w:val="18"/>
                <w:szCs w:val="18"/>
                <w:color w:val="auto"/>
              </w:rPr>
              <w:t>32.2++</w:t>
            </w:r>
          </w:p>
        </w:tc>
        <w:tc>
          <w:tcPr>
            <w:tcW w:w="9960" w:type="dxa"/>
            <w:vAlign w:val="bottom"/>
            <w:gridSpan w:val="10"/>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Certification Pursuant to 18 U.S.C. Section 1350, as Adopted Pursuant to Section 906 of the Sarbanes-Oxley Act of 2002</w:t>
              </w:r>
            </w:hyperlink>
          </w:p>
        </w:tc>
      </w:tr>
      <w:tr>
        <w:trPr>
          <w:trHeight w:val="480"/>
        </w:trPr>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874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XBRL Instance Document.</w:t>
            </w:r>
          </w:p>
        </w:tc>
        <w:tc>
          <w:tcPr>
            <w:tcW w:w="1220" w:type="dxa"/>
            <w:vAlign w:val="bottom"/>
            <w:gridSpan w:val="3"/>
          </w:tcPr>
          <w:p>
            <w:pPr>
              <w:spacing w:after="0"/>
              <w:rPr>
                <w:sz w:val="24"/>
                <w:szCs w:val="24"/>
                <w:color w:val="auto"/>
              </w:rPr>
            </w:pPr>
          </w:p>
        </w:tc>
      </w:tr>
      <w:tr>
        <w:trPr>
          <w:trHeight w:val="459"/>
        </w:trPr>
        <w:tc>
          <w:tcPr>
            <w:tcW w:w="128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128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59"/>
        </w:trPr>
        <w:tc>
          <w:tcPr>
            <w:tcW w:w="128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59"/>
        </w:trPr>
        <w:tc>
          <w:tcPr>
            <w:tcW w:w="128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59"/>
        </w:trPr>
        <w:tc>
          <w:tcPr>
            <w:tcW w:w="128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80" w:hanging="486"/>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980" w:hanging="48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36" w:lineRule="exact"/>
        <w:rPr>
          <w:sz w:val="20"/>
          <w:szCs w:val="20"/>
          <w:color w:val="auto"/>
        </w:rPr>
      </w:pPr>
    </w:p>
    <w:p>
      <w:pPr>
        <w:ind w:left="980" w:right="140" w:hanging="486"/>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Intentionally left blank.</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81" w:name="page82"/>
    <w:bookmarkEnd w:id="8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3980" w:type="dxa"/>
        <w:tblCellMar>
          <w:top w:w="0" w:type="dxa"/>
          <w:left w:w="0" w:type="dxa"/>
          <w:bottom w:w="0" w:type="dxa"/>
          <w:right w:w="0" w:type="dxa"/>
        </w:tblCellMar>
      </w:tblPr>
      <w:tr>
        <w:trPr>
          <w:trHeight w:val="230"/>
        </w:trPr>
        <w:tc>
          <w:tcPr>
            <w:tcW w:w="4520" w:type="dxa"/>
            <w:vAlign w:val="bottom"/>
            <w:gridSpan w:val="3"/>
          </w:tcPr>
          <w:p>
            <w:pPr>
              <w:spacing w:after="0"/>
              <w:rPr>
                <w:sz w:val="20"/>
                <w:szCs w:val="20"/>
                <w:color w:val="auto"/>
              </w:rPr>
            </w:pPr>
            <w:r>
              <w:rPr>
                <w:rFonts w:ascii="Arial" w:cs="Arial" w:eastAsia="Arial" w:hAnsi="Arial"/>
                <w:sz w:val="18"/>
                <w:szCs w:val="18"/>
                <w:color w:val="auto"/>
              </w:rPr>
              <w:t>RUSH ENTERPRISES, INC.</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520" w:type="dxa"/>
            <w:vAlign w:val="bottom"/>
            <w:gridSpan w:val="3"/>
          </w:tcPr>
          <w:p>
            <w:pPr>
              <w:spacing w:after="0"/>
              <w:rPr>
                <w:sz w:val="20"/>
                <w:szCs w:val="20"/>
                <w:color w:val="auto"/>
              </w:rPr>
            </w:pPr>
            <w:r>
              <w:rPr>
                <w:rFonts w:ascii="Arial" w:cs="Arial" w:eastAsia="Arial" w:hAnsi="Arial"/>
                <w:sz w:val="18"/>
                <w:szCs w:val="18"/>
                <w:color w:val="auto"/>
              </w:rPr>
              <w:t>By: /s/ W. M.”RUSTY” RUSH</w:t>
            </w:r>
          </w:p>
        </w:tc>
        <w:tc>
          <w:tcPr>
            <w:tcW w:w="2540" w:type="dxa"/>
            <w:vAlign w:val="bottom"/>
          </w:tcPr>
          <w:p>
            <w:pPr>
              <w:ind w:left="1440"/>
              <w:spacing w:after="0"/>
              <w:rPr>
                <w:sz w:val="20"/>
                <w:szCs w:val="20"/>
                <w:color w:val="auto"/>
              </w:rPr>
            </w:pPr>
            <w:r>
              <w:rPr>
                <w:rFonts w:ascii="Arial" w:cs="Arial" w:eastAsia="Arial" w:hAnsi="Arial"/>
                <w:sz w:val="18"/>
                <w:szCs w:val="18"/>
                <w:color w:val="auto"/>
                <w:w w:val="91"/>
              </w:rPr>
              <w:t>Date: March 1,</w:t>
            </w:r>
          </w:p>
        </w:tc>
        <w:tc>
          <w:tcPr>
            <w:tcW w:w="0" w:type="dxa"/>
            <w:vAlign w:val="bottom"/>
          </w:tcPr>
          <w:p>
            <w:pPr>
              <w:spacing w:after="0"/>
              <w:rPr>
                <w:sz w:val="1"/>
                <w:szCs w:val="1"/>
                <w:color w:val="auto"/>
              </w:rPr>
            </w:pPr>
          </w:p>
        </w:tc>
      </w:tr>
      <w:tr>
        <w:trPr>
          <w:trHeight w:val="237"/>
        </w:trPr>
        <w:tc>
          <w:tcPr>
            <w:tcW w:w="260" w:type="dxa"/>
            <w:vAlign w:val="bottom"/>
            <w:vMerge w:val="restart"/>
          </w:tcPr>
          <w:p>
            <w:pPr>
              <w:spacing w:after="0"/>
              <w:rPr>
                <w:sz w:val="20"/>
                <w:szCs w:val="20"/>
                <w:color w:val="auto"/>
              </w:rPr>
            </w:pPr>
          </w:p>
        </w:tc>
        <w:tc>
          <w:tcPr>
            <w:tcW w:w="19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W. M. “Rusty” Rush</w:t>
            </w:r>
          </w:p>
        </w:tc>
        <w:tc>
          <w:tcPr>
            <w:tcW w:w="2320" w:type="dxa"/>
            <w:vAlign w:val="bottom"/>
            <w:vMerge w:val="restart"/>
          </w:tcPr>
          <w:p>
            <w:pPr>
              <w:spacing w:after="0"/>
              <w:rPr>
                <w:sz w:val="20"/>
                <w:szCs w:val="20"/>
                <w:color w:val="auto"/>
              </w:rPr>
            </w:pPr>
          </w:p>
        </w:tc>
        <w:tc>
          <w:tcPr>
            <w:tcW w:w="2540" w:type="dxa"/>
            <w:vAlign w:val="bottom"/>
          </w:tcPr>
          <w:p>
            <w:pPr>
              <w:ind w:left="144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2"/>
        </w:trPr>
        <w:tc>
          <w:tcPr>
            <w:tcW w:w="260" w:type="dxa"/>
            <w:vAlign w:val="bottom"/>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2320" w:type="dxa"/>
            <w:vAlign w:val="bottom"/>
            <w:vMerge w:val="continue"/>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ind w:left="260"/>
              <w:spacing w:after="0"/>
              <w:rPr>
                <w:sz w:val="20"/>
                <w:szCs w:val="20"/>
                <w:color w:val="auto"/>
              </w:rPr>
            </w:pPr>
            <w:r>
              <w:rPr>
                <w:rFonts w:ascii="Arial" w:cs="Arial" w:eastAsia="Arial" w:hAnsi="Arial"/>
                <w:sz w:val="18"/>
                <w:szCs w:val="18"/>
                <w:color w:val="auto"/>
              </w:rPr>
              <w:t>President, Chief Executive Officer and</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3"/>
          </w:tcPr>
          <w:p>
            <w:pPr>
              <w:ind w:left="260"/>
              <w:spacing w:after="0"/>
              <w:rPr>
                <w:sz w:val="20"/>
                <w:szCs w:val="20"/>
                <w:color w:val="auto"/>
              </w:rPr>
            </w:pPr>
            <w:r>
              <w:rPr>
                <w:rFonts w:ascii="Arial" w:cs="Arial" w:eastAsia="Arial" w:hAnsi="Arial"/>
                <w:sz w:val="18"/>
                <w:szCs w:val="18"/>
                <w:color w:val="auto"/>
              </w:rPr>
              <w:t>Chairman of the Board</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1560" w:type="dxa"/>
            <w:vAlign w:val="bottom"/>
            <w:gridSpan w:val="8"/>
          </w:tcPr>
          <w:p>
            <w:pPr>
              <w:spacing w:after="0"/>
              <w:rPr>
                <w:sz w:val="20"/>
                <w:szCs w:val="20"/>
                <w:color w:val="auto"/>
              </w:rPr>
            </w:pPr>
            <w:r>
              <w:rPr>
                <w:rFonts w:ascii="Arial" w:cs="Arial" w:eastAsia="Arial" w:hAnsi="Arial"/>
                <w:sz w:val="18"/>
                <w:szCs w:val="18"/>
                <w:color w:val="auto"/>
              </w:rPr>
              <w:t>Signature</w:t>
            </w:r>
          </w:p>
        </w:tc>
        <w:tc>
          <w:tcPr>
            <w:tcW w:w="274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Capacity</w:t>
            </w:r>
          </w:p>
        </w:tc>
        <w:tc>
          <w:tcPr>
            <w:tcW w:w="2460" w:type="dxa"/>
            <w:vAlign w:val="bottom"/>
            <w:gridSpan w:val="3"/>
          </w:tcPr>
          <w:p>
            <w:pPr>
              <w:jc w:val="center"/>
              <w:ind w:left="1310"/>
              <w:spacing w:after="0"/>
              <w:rPr>
                <w:sz w:val="20"/>
                <w:szCs w:val="20"/>
                <w:color w:val="auto"/>
              </w:rPr>
            </w:pPr>
            <w:r>
              <w:rPr>
                <w:rFonts w:ascii="Arial" w:cs="Arial" w:eastAsia="Arial" w:hAnsi="Arial"/>
                <w:sz w:val="18"/>
                <w:szCs w:val="18"/>
                <w:color w:val="auto"/>
                <w:w w:val="89"/>
              </w:rPr>
              <w:t>Date</w:t>
            </w:r>
          </w:p>
        </w:tc>
      </w:tr>
      <w:tr>
        <w:trPr>
          <w:trHeight w:val="20"/>
        </w:trPr>
        <w:tc>
          <w:tcPr>
            <w:tcW w:w="1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628"/>
        </w:trPr>
        <w:tc>
          <w:tcPr>
            <w:tcW w:w="20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7"/>
              </w:rPr>
              <w:t>/s/ W. M. “RUSTY” RUSH</w:t>
            </w:r>
          </w:p>
        </w:tc>
        <w:tc>
          <w:tcPr>
            <w:tcW w:w="880" w:type="dxa"/>
            <w:vAlign w:val="bottom"/>
            <w:gridSpan w:val="3"/>
          </w:tcPr>
          <w:p>
            <w:pPr>
              <w:spacing w:after="0"/>
              <w:rPr>
                <w:sz w:val="24"/>
                <w:szCs w:val="24"/>
                <w:color w:val="auto"/>
              </w:rPr>
            </w:pPr>
          </w:p>
        </w:tc>
        <w:tc>
          <w:tcPr>
            <w:tcW w:w="5140" w:type="dxa"/>
            <w:vAlign w:val="bottom"/>
            <w:gridSpan w:val="3"/>
          </w:tcPr>
          <w:p>
            <w:pPr>
              <w:ind w:left="480"/>
              <w:spacing w:after="0"/>
              <w:rPr>
                <w:sz w:val="20"/>
                <w:szCs w:val="20"/>
                <w:color w:val="auto"/>
              </w:rPr>
            </w:pPr>
            <w:r>
              <w:rPr>
                <w:rFonts w:ascii="Arial" w:cs="Arial" w:eastAsia="Arial" w:hAnsi="Arial"/>
                <w:sz w:val="18"/>
                <w:szCs w:val="18"/>
                <w:color w:val="auto"/>
              </w:rPr>
              <w:t>President, Chief Executive Officer and</w:t>
            </w:r>
          </w:p>
        </w:tc>
        <w:tc>
          <w:tcPr>
            <w:tcW w:w="2460" w:type="dxa"/>
            <w:vAlign w:val="bottom"/>
            <w:gridSpan w:val="3"/>
          </w:tcPr>
          <w:p>
            <w:pPr>
              <w:jc w:val="center"/>
              <w:ind w:left="1310"/>
              <w:spacing w:after="0"/>
              <w:rPr>
                <w:sz w:val="20"/>
                <w:szCs w:val="20"/>
                <w:color w:val="auto"/>
              </w:rPr>
            </w:pPr>
            <w:r>
              <w:rPr>
                <w:rFonts w:ascii="Arial" w:cs="Arial" w:eastAsia="Arial" w:hAnsi="Arial"/>
                <w:sz w:val="18"/>
                <w:szCs w:val="18"/>
                <w:color w:val="auto"/>
                <w:w w:val="92"/>
              </w:rPr>
              <w:t>March 1, 2018</w:t>
            </w:r>
          </w:p>
        </w:tc>
      </w:tr>
      <w:tr>
        <w:trPr>
          <w:trHeight w:val="222"/>
        </w:trPr>
        <w:tc>
          <w:tcPr>
            <w:tcW w:w="2920" w:type="dxa"/>
            <w:vAlign w:val="bottom"/>
            <w:gridSpan w:val="9"/>
          </w:tcPr>
          <w:p>
            <w:pPr>
              <w:spacing w:after="0"/>
              <w:rPr>
                <w:sz w:val="20"/>
                <w:szCs w:val="20"/>
                <w:color w:val="auto"/>
              </w:rPr>
            </w:pPr>
            <w:r>
              <w:rPr>
                <w:rFonts w:ascii="Arial" w:cs="Arial" w:eastAsia="Arial" w:hAnsi="Arial"/>
                <w:sz w:val="18"/>
                <w:szCs w:val="18"/>
                <w:color w:val="auto"/>
              </w:rPr>
              <w:t>W. M. “Rusty” Rush</w:t>
            </w:r>
          </w:p>
        </w:tc>
        <w:tc>
          <w:tcPr>
            <w:tcW w:w="5140" w:type="dxa"/>
            <w:vAlign w:val="bottom"/>
            <w:gridSpan w:val="3"/>
          </w:tcPr>
          <w:p>
            <w:pPr>
              <w:ind w:left="480"/>
              <w:spacing w:after="0"/>
              <w:rPr>
                <w:sz w:val="20"/>
                <w:szCs w:val="20"/>
                <w:color w:val="auto"/>
              </w:rPr>
            </w:pPr>
            <w:r>
              <w:rPr>
                <w:rFonts w:ascii="Arial" w:cs="Arial" w:eastAsia="Arial" w:hAnsi="Arial"/>
                <w:sz w:val="18"/>
                <w:szCs w:val="18"/>
                <w:color w:val="auto"/>
              </w:rPr>
              <w:t>Chairman of the Board</w:t>
            </w: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40" w:type="dxa"/>
            <w:vAlign w:val="bottom"/>
            <w:gridSpan w:val="3"/>
          </w:tcPr>
          <w:p>
            <w:pPr>
              <w:ind w:left="480"/>
              <w:spacing w:after="0"/>
              <w:rPr>
                <w:sz w:val="20"/>
                <w:szCs w:val="20"/>
                <w:color w:val="auto"/>
              </w:rPr>
            </w:pPr>
            <w:r>
              <w:rPr>
                <w:rFonts w:ascii="Arial" w:cs="Arial" w:eastAsia="Arial" w:hAnsi="Arial"/>
                <w:sz w:val="18"/>
                <w:szCs w:val="18"/>
                <w:color w:val="auto"/>
              </w:rPr>
              <w:t>(Principal Executive Officer)</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1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STEVEN L. KELLER</w:t>
            </w:r>
          </w:p>
        </w:tc>
        <w:tc>
          <w:tcPr>
            <w:tcW w:w="980" w:type="dxa"/>
            <w:vAlign w:val="bottom"/>
            <w:gridSpan w:val="4"/>
          </w:tcPr>
          <w:p>
            <w:pPr>
              <w:spacing w:after="0"/>
              <w:rPr>
                <w:sz w:val="24"/>
                <w:szCs w:val="24"/>
                <w:color w:val="auto"/>
              </w:rPr>
            </w:pPr>
          </w:p>
        </w:tc>
        <w:tc>
          <w:tcPr>
            <w:tcW w:w="5140" w:type="dxa"/>
            <w:vAlign w:val="bottom"/>
            <w:gridSpan w:val="3"/>
          </w:tcPr>
          <w:p>
            <w:pPr>
              <w:ind w:left="480"/>
              <w:spacing w:after="0"/>
              <w:rPr>
                <w:sz w:val="20"/>
                <w:szCs w:val="20"/>
                <w:color w:val="auto"/>
              </w:rPr>
            </w:pPr>
            <w:r>
              <w:rPr>
                <w:rFonts w:ascii="Arial" w:cs="Arial" w:eastAsia="Arial" w:hAnsi="Arial"/>
                <w:sz w:val="18"/>
                <w:szCs w:val="18"/>
                <w:color w:val="auto"/>
              </w:rPr>
              <w:t>Chief Financial Officer and Treasurer</w:t>
            </w:r>
          </w:p>
        </w:tc>
        <w:tc>
          <w:tcPr>
            <w:tcW w:w="2460" w:type="dxa"/>
            <w:vAlign w:val="bottom"/>
            <w:gridSpan w:val="3"/>
          </w:tcPr>
          <w:p>
            <w:pPr>
              <w:jc w:val="center"/>
              <w:ind w:left="1310"/>
              <w:spacing w:after="0"/>
              <w:rPr>
                <w:sz w:val="20"/>
                <w:szCs w:val="20"/>
                <w:color w:val="auto"/>
              </w:rPr>
            </w:pPr>
            <w:r>
              <w:rPr>
                <w:rFonts w:ascii="Arial" w:cs="Arial" w:eastAsia="Arial" w:hAnsi="Arial"/>
                <w:sz w:val="18"/>
                <w:szCs w:val="18"/>
                <w:color w:val="auto"/>
                <w:w w:val="92"/>
              </w:rPr>
              <w:t>March 1, 2018</w:t>
            </w:r>
          </w:p>
        </w:tc>
      </w:tr>
      <w:tr>
        <w:trPr>
          <w:trHeight w:val="237"/>
        </w:trPr>
        <w:tc>
          <w:tcPr>
            <w:tcW w:w="2920" w:type="dxa"/>
            <w:vAlign w:val="bottom"/>
            <w:gridSpan w:val="9"/>
          </w:tcPr>
          <w:p>
            <w:pPr>
              <w:spacing w:after="0"/>
              <w:rPr>
                <w:sz w:val="20"/>
                <w:szCs w:val="20"/>
                <w:color w:val="auto"/>
              </w:rPr>
            </w:pPr>
            <w:r>
              <w:rPr>
                <w:rFonts w:ascii="Arial" w:cs="Arial" w:eastAsia="Arial" w:hAnsi="Arial"/>
                <w:sz w:val="18"/>
                <w:szCs w:val="18"/>
                <w:color w:val="auto"/>
              </w:rPr>
              <w:t>Steven L. Keller</w:t>
            </w:r>
          </w:p>
        </w:tc>
        <w:tc>
          <w:tcPr>
            <w:tcW w:w="5140" w:type="dxa"/>
            <w:vAlign w:val="bottom"/>
            <w:gridSpan w:val="3"/>
          </w:tcPr>
          <w:p>
            <w:pPr>
              <w:ind w:left="480"/>
              <w:spacing w:after="0"/>
              <w:rPr>
                <w:sz w:val="20"/>
                <w:szCs w:val="20"/>
                <w:color w:val="auto"/>
              </w:rPr>
            </w:pPr>
            <w:r>
              <w:rPr>
                <w:rFonts w:ascii="Arial" w:cs="Arial" w:eastAsia="Arial" w:hAnsi="Arial"/>
                <w:sz w:val="18"/>
                <w:szCs w:val="18"/>
                <w:color w:val="auto"/>
              </w:rPr>
              <w:t>(Principal Financial and Accounting Officer)</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608"/>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THOMAS A. AKIN</w:t>
            </w:r>
          </w:p>
        </w:tc>
        <w:tc>
          <w:tcPr>
            <w:tcW w:w="1220" w:type="dxa"/>
            <w:vAlign w:val="bottom"/>
            <w:gridSpan w:val="7"/>
          </w:tcPr>
          <w:p>
            <w:pPr>
              <w:spacing w:after="0"/>
              <w:rPr>
                <w:sz w:val="24"/>
                <w:szCs w:val="24"/>
                <w:color w:val="auto"/>
              </w:rPr>
            </w:pPr>
          </w:p>
        </w:tc>
        <w:tc>
          <w:tcPr>
            <w:tcW w:w="514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460" w:type="dxa"/>
            <w:vAlign w:val="bottom"/>
            <w:gridSpan w:val="3"/>
          </w:tcPr>
          <w:p>
            <w:pPr>
              <w:jc w:val="center"/>
              <w:ind w:left="1310"/>
              <w:spacing w:after="0"/>
              <w:rPr>
                <w:sz w:val="20"/>
                <w:szCs w:val="20"/>
                <w:color w:val="auto"/>
              </w:rPr>
            </w:pPr>
            <w:r>
              <w:rPr>
                <w:rFonts w:ascii="Arial" w:cs="Arial" w:eastAsia="Arial" w:hAnsi="Arial"/>
                <w:sz w:val="18"/>
                <w:szCs w:val="18"/>
                <w:color w:val="auto"/>
                <w:w w:val="92"/>
              </w:rPr>
              <w:t>March 1, 2018</w:t>
            </w:r>
          </w:p>
        </w:tc>
      </w:tr>
      <w:tr>
        <w:trPr>
          <w:trHeight w:val="237"/>
        </w:trPr>
        <w:tc>
          <w:tcPr>
            <w:tcW w:w="2920" w:type="dxa"/>
            <w:vAlign w:val="bottom"/>
            <w:gridSpan w:val="9"/>
          </w:tcPr>
          <w:p>
            <w:pPr>
              <w:spacing w:after="0"/>
              <w:rPr>
                <w:sz w:val="20"/>
                <w:szCs w:val="20"/>
                <w:color w:val="auto"/>
              </w:rPr>
            </w:pPr>
            <w:r>
              <w:rPr>
                <w:rFonts w:ascii="Arial" w:cs="Arial" w:eastAsia="Arial" w:hAnsi="Arial"/>
                <w:sz w:val="18"/>
                <w:szCs w:val="18"/>
                <w:color w:val="auto"/>
              </w:rPr>
              <w:t>Thomas A. Akin</w:t>
            </w:r>
          </w:p>
        </w:tc>
        <w:tc>
          <w:tcPr>
            <w:tcW w:w="2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608"/>
        </w:trPr>
        <w:tc>
          <w:tcPr>
            <w:tcW w:w="22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3"/>
              </w:rPr>
              <w:t>/s/ JAMES C. UNDERWOOD</w:t>
            </w:r>
          </w:p>
        </w:tc>
        <w:tc>
          <w:tcPr>
            <w:tcW w:w="700" w:type="dxa"/>
            <w:vAlign w:val="bottom"/>
            <w:gridSpan w:val="2"/>
          </w:tcPr>
          <w:p>
            <w:pPr>
              <w:spacing w:after="0"/>
              <w:rPr>
                <w:sz w:val="24"/>
                <w:szCs w:val="24"/>
                <w:color w:val="auto"/>
              </w:rPr>
            </w:pPr>
          </w:p>
        </w:tc>
        <w:tc>
          <w:tcPr>
            <w:tcW w:w="514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460" w:type="dxa"/>
            <w:vAlign w:val="bottom"/>
            <w:gridSpan w:val="3"/>
          </w:tcPr>
          <w:p>
            <w:pPr>
              <w:jc w:val="center"/>
              <w:ind w:left="1310"/>
              <w:spacing w:after="0"/>
              <w:rPr>
                <w:sz w:val="20"/>
                <w:szCs w:val="20"/>
                <w:color w:val="auto"/>
              </w:rPr>
            </w:pPr>
            <w:r>
              <w:rPr>
                <w:rFonts w:ascii="Arial" w:cs="Arial" w:eastAsia="Arial" w:hAnsi="Arial"/>
                <w:sz w:val="18"/>
                <w:szCs w:val="18"/>
                <w:color w:val="auto"/>
                <w:w w:val="92"/>
              </w:rPr>
              <w:t>March 1, 2018</w:t>
            </w:r>
          </w:p>
        </w:tc>
      </w:tr>
      <w:tr>
        <w:trPr>
          <w:trHeight w:val="237"/>
        </w:trPr>
        <w:tc>
          <w:tcPr>
            <w:tcW w:w="2920" w:type="dxa"/>
            <w:vAlign w:val="bottom"/>
            <w:gridSpan w:val="9"/>
          </w:tcPr>
          <w:p>
            <w:pPr>
              <w:spacing w:after="0"/>
              <w:rPr>
                <w:sz w:val="20"/>
                <w:szCs w:val="20"/>
                <w:color w:val="auto"/>
              </w:rPr>
            </w:pPr>
            <w:r>
              <w:rPr>
                <w:rFonts w:ascii="Arial" w:cs="Arial" w:eastAsia="Arial" w:hAnsi="Arial"/>
                <w:sz w:val="18"/>
                <w:szCs w:val="18"/>
                <w:color w:val="auto"/>
              </w:rPr>
              <w:t>James C. Underwood</w:t>
            </w:r>
          </w:p>
        </w:tc>
        <w:tc>
          <w:tcPr>
            <w:tcW w:w="2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608"/>
        </w:trPr>
        <w:tc>
          <w:tcPr>
            <w:tcW w:w="2920" w:type="dxa"/>
            <w:vAlign w:val="bottom"/>
            <w:gridSpan w:val="9"/>
          </w:tcPr>
          <w:p>
            <w:pPr>
              <w:spacing w:after="0"/>
              <w:rPr>
                <w:sz w:val="20"/>
                <w:szCs w:val="20"/>
                <w:color w:val="auto"/>
              </w:rPr>
            </w:pPr>
            <w:r>
              <w:rPr>
                <w:rFonts w:ascii="Arial" w:cs="Arial" w:eastAsia="Arial" w:hAnsi="Arial"/>
                <w:sz w:val="18"/>
                <w:szCs w:val="18"/>
                <w:color w:val="auto"/>
              </w:rPr>
              <w:t>/s/ RAYMOND J. CHESS</w:t>
            </w:r>
          </w:p>
        </w:tc>
        <w:tc>
          <w:tcPr>
            <w:tcW w:w="514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460" w:type="dxa"/>
            <w:vAlign w:val="bottom"/>
            <w:gridSpan w:val="3"/>
          </w:tcPr>
          <w:p>
            <w:pPr>
              <w:jc w:val="center"/>
              <w:ind w:left="1310"/>
              <w:spacing w:after="0"/>
              <w:rPr>
                <w:sz w:val="20"/>
                <w:szCs w:val="20"/>
                <w:color w:val="auto"/>
              </w:rPr>
            </w:pPr>
            <w:r>
              <w:rPr>
                <w:rFonts w:ascii="Arial" w:cs="Arial" w:eastAsia="Arial" w:hAnsi="Arial"/>
                <w:sz w:val="18"/>
                <w:szCs w:val="18"/>
                <w:color w:val="auto"/>
                <w:w w:val="92"/>
              </w:rPr>
              <w:t>March 1, 2018</w:t>
            </w:r>
          </w:p>
        </w:tc>
      </w:tr>
      <w:tr>
        <w:trPr>
          <w:trHeight w:val="237"/>
        </w:trPr>
        <w:tc>
          <w:tcPr>
            <w:tcW w:w="19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Raymond J. Chess</w:t>
            </w:r>
          </w:p>
        </w:tc>
        <w:tc>
          <w:tcPr>
            <w:tcW w:w="1020" w:type="dxa"/>
            <w:vAlign w:val="bottom"/>
            <w:gridSpan w:val="5"/>
          </w:tcPr>
          <w:p>
            <w:pPr>
              <w:spacing w:after="0"/>
              <w:rPr>
                <w:sz w:val="20"/>
                <w:szCs w:val="20"/>
                <w:color w:val="auto"/>
              </w:rPr>
            </w:pPr>
          </w:p>
        </w:tc>
        <w:tc>
          <w:tcPr>
            <w:tcW w:w="2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608"/>
        </w:trPr>
        <w:tc>
          <w:tcPr>
            <w:tcW w:w="24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7"/>
              </w:rPr>
              <w:t>/s/ DR. KENNON GUGLIELMO</w:t>
            </w:r>
          </w:p>
        </w:tc>
        <w:tc>
          <w:tcPr>
            <w:tcW w:w="480" w:type="dxa"/>
            <w:vAlign w:val="bottom"/>
          </w:tcPr>
          <w:p>
            <w:pPr>
              <w:spacing w:after="0"/>
              <w:rPr>
                <w:sz w:val="24"/>
                <w:szCs w:val="24"/>
                <w:color w:val="auto"/>
              </w:rPr>
            </w:pPr>
          </w:p>
        </w:tc>
        <w:tc>
          <w:tcPr>
            <w:tcW w:w="514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460" w:type="dxa"/>
            <w:vAlign w:val="bottom"/>
            <w:gridSpan w:val="3"/>
          </w:tcPr>
          <w:p>
            <w:pPr>
              <w:jc w:val="center"/>
              <w:ind w:left="1310"/>
              <w:spacing w:after="0"/>
              <w:rPr>
                <w:sz w:val="20"/>
                <w:szCs w:val="20"/>
                <w:color w:val="auto"/>
              </w:rPr>
            </w:pPr>
            <w:r>
              <w:rPr>
                <w:rFonts w:ascii="Arial" w:cs="Arial" w:eastAsia="Arial" w:hAnsi="Arial"/>
                <w:sz w:val="18"/>
                <w:szCs w:val="18"/>
                <w:color w:val="auto"/>
                <w:w w:val="92"/>
              </w:rPr>
              <w:t>March 1, 2018</w:t>
            </w:r>
          </w:p>
        </w:tc>
      </w:tr>
      <w:tr>
        <w:trPr>
          <w:trHeight w:val="237"/>
        </w:trPr>
        <w:tc>
          <w:tcPr>
            <w:tcW w:w="2920" w:type="dxa"/>
            <w:vAlign w:val="bottom"/>
            <w:gridSpan w:val="9"/>
          </w:tcPr>
          <w:p>
            <w:pPr>
              <w:spacing w:after="0"/>
              <w:rPr>
                <w:sz w:val="20"/>
                <w:szCs w:val="20"/>
                <w:color w:val="auto"/>
              </w:rPr>
            </w:pPr>
            <w:r>
              <w:rPr>
                <w:rFonts w:ascii="Arial" w:cs="Arial" w:eastAsia="Arial" w:hAnsi="Arial"/>
                <w:sz w:val="18"/>
                <w:szCs w:val="18"/>
                <w:color w:val="auto"/>
              </w:rPr>
              <w:t>Dr. Kennon Guglielmo</w:t>
            </w:r>
          </w:p>
        </w:tc>
        <w:tc>
          <w:tcPr>
            <w:tcW w:w="2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608"/>
        </w:trPr>
        <w:tc>
          <w:tcPr>
            <w:tcW w:w="2920" w:type="dxa"/>
            <w:vAlign w:val="bottom"/>
            <w:gridSpan w:val="9"/>
          </w:tcPr>
          <w:p>
            <w:pPr>
              <w:spacing w:after="0"/>
              <w:rPr>
                <w:sz w:val="20"/>
                <w:szCs w:val="20"/>
                <w:color w:val="auto"/>
              </w:rPr>
            </w:pPr>
            <w:r>
              <w:rPr>
                <w:rFonts w:ascii="Arial" w:cs="Arial" w:eastAsia="Arial" w:hAnsi="Arial"/>
                <w:sz w:val="18"/>
                <w:szCs w:val="18"/>
                <w:color w:val="auto"/>
              </w:rPr>
              <w:t>/s/ WILLIAM H. CARY</w:t>
            </w:r>
          </w:p>
        </w:tc>
        <w:tc>
          <w:tcPr>
            <w:tcW w:w="514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460" w:type="dxa"/>
            <w:vAlign w:val="bottom"/>
            <w:gridSpan w:val="3"/>
          </w:tcPr>
          <w:p>
            <w:pPr>
              <w:jc w:val="center"/>
              <w:ind w:left="1310"/>
              <w:spacing w:after="0"/>
              <w:rPr>
                <w:sz w:val="20"/>
                <w:szCs w:val="20"/>
                <w:color w:val="auto"/>
              </w:rPr>
            </w:pPr>
            <w:r>
              <w:rPr>
                <w:rFonts w:ascii="Arial" w:cs="Arial" w:eastAsia="Arial" w:hAnsi="Arial"/>
                <w:sz w:val="18"/>
                <w:szCs w:val="18"/>
                <w:color w:val="auto"/>
                <w:w w:val="92"/>
              </w:rPr>
              <w:t>March 1, 2018</w:t>
            </w:r>
          </w:p>
        </w:tc>
      </w:tr>
      <w:tr>
        <w:trPr>
          <w:trHeight w:val="237"/>
        </w:trPr>
        <w:tc>
          <w:tcPr>
            <w:tcW w:w="17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William H. Cary</w:t>
            </w:r>
          </w:p>
        </w:tc>
        <w:tc>
          <w:tcPr>
            <w:tcW w:w="1140" w:type="dxa"/>
            <w:vAlign w:val="bottom"/>
            <w:gridSpan w:val="6"/>
          </w:tcPr>
          <w:p>
            <w:pPr>
              <w:spacing w:after="0"/>
              <w:rPr>
                <w:sz w:val="20"/>
                <w:szCs w:val="20"/>
                <w:color w:val="auto"/>
              </w:rPr>
            </w:pPr>
          </w:p>
        </w:tc>
        <w:tc>
          <w:tcPr>
            <w:tcW w:w="2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648"/>
        </w:trPr>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80" w:type="dxa"/>
            <w:vAlign w:val="bottom"/>
            <w:gridSpan w:val="2"/>
          </w:tcPr>
          <w:p>
            <w:pPr>
              <w:ind w:left="2700"/>
              <w:spacing w:after="0"/>
              <w:rPr>
                <w:sz w:val="20"/>
                <w:szCs w:val="20"/>
                <w:color w:val="auto"/>
              </w:rPr>
            </w:pPr>
            <w:r>
              <w:rPr>
                <w:rFonts w:ascii="Arial" w:cs="Arial" w:eastAsia="Arial" w:hAnsi="Arial"/>
                <w:sz w:val="18"/>
                <w:szCs w:val="18"/>
                <w:color w:val="auto"/>
              </w:rPr>
              <w:t>83</w:t>
            </w:r>
          </w:p>
        </w:tc>
        <w:tc>
          <w:tcPr>
            <w:tcW w:w="1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00" w:type="dxa"/>
            <w:vAlign w:val="bottom"/>
            <w:gridSpan w:val="3"/>
          </w:tcPr>
          <w:p>
            <w:pPr>
              <w:ind w:left="3420"/>
              <w:spacing w:after="0"/>
              <w:rPr>
                <w:sz w:val="20"/>
                <w:szCs w:val="20"/>
                <w:color w:val="auto"/>
              </w:rPr>
            </w:pPr>
            <w:r>
              <w:rPr>
                <w:rFonts w:ascii="Arial" w:cs="Arial" w:eastAsia="Arial" w:hAnsi="Arial"/>
                <w:sz w:val="18"/>
                <w:szCs w:val="18"/>
                <w:color w:val="auto"/>
                <w:w w:val="96"/>
              </w:rPr>
              <w:t>EXHIBIT 21.1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380" w:type="dxa"/>
            <w:vAlign w:val="bottom"/>
            <w:gridSpan w:val="7"/>
          </w:tcPr>
          <w:p>
            <w:pPr>
              <w:ind w:left="260"/>
              <w:spacing w:after="0"/>
              <w:rPr>
                <w:sz w:val="20"/>
                <w:szCs w:val="20"/>
                <w:color w:val="auto"/>
              </w:rPr>
            </w:pPr>
            <w:r>
              <w:rPr>
                <w:rFonts w:ascii="Arial" w:cs="Arial" w:eastAsia="Arial" w:hAnsi="Arial"/>
                <w:sz w:val="18"/>
                <w:szCs w:val="18"/>
                <w:color w:val="auto"/>
              </w:rPr>
              <w:t>SUBSIDIARIES OF THE COMPANY</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State of</w:t>
            </w:r>
          </w:p>
        </w:tc>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80" w:type="dxa"/>
            <w:vAlign w:val="bottom"/>
            <w:gridSpan w:val="2"/>
          </w:tcPr>
          <w:p>
            <w:pPr>
              <w:spacing w:after="0" w:line="190" w:lineRule="exact"/>
              <w:rPr>
                <w:sz w:val="20"/>
                <w:szCs w:val="20"/>
                <w:color w:val="auto"/>
              </w:rPr>
            </w:pPr>
            <w:r>
              <w:rPr>
                <w:rFonts w:ascii="Arial" w:cs="Arial" w:eastAsia="Arial" w:hAnsi="Arial"/>
                <w:sz w:val="18"/>
                <w:szCs w:val="18"/>
                <w:color w:val="auto"/>
              </w:rPr>
              <w:t>Name</w:t>
            </w:r>
          </w:p>
        </w:tc>
        <w:tc>
          <w:tcPr>
            <w:tcW w:w="660" w:type="dxa"/>
            <w:vAlign w:val="bottom"/>
          </w:tcPr>
          <w:p>
            <w:pPr>
              <w:spacing w:after="0"/>
              <w:rPr>
                <w:sz w:val="16"/>
                <w:szCs w:val="16"/>
                <w:color w:val="auto"/>
              </w:rPr>
            </w:pPr>
          </w:p>
        </w:tc>
        <w:tc>
          <w:tcPr>
            <w:tcW w:w="1140" w:type="dxa"/>
            <w:vAlign w:val="bottom"/>
            <w:gridSpan w:val="2"/>
          </w:tcPr>
          <w:p>
            <w:pPr>
              <w:jc w:val="center"/>
              <w:ind w:right="160"/>
              <w:spacing w:after="0" w:line="190" w:lineRule="exact"/>
              <w:rPr>
                <w:sz w:val="20"/>
                <w:szCs w:val="20"/>
                <w:color w:val="auto"/>
              </w:rPr>
            </w:pPr>
            <w:r>
              <w:rPr>
                <w:rFonts w:ascii="Arial" w:cs="Arial" w:eastAsia="Arial" w:hAnsi="Arial"/>
                <w:sz w:val="18"/>
                <w:szCs w:val="18"/>
                <w:color w:val="auto"/>
                <w:w w:val="93"/>
              </w:rPr>
              <w:t>Incorporation</w:t>
            </w:r>
          </w:p>
        </w:tc>
        <w:tc>
          <w:tcPr>
            <w:tcW w:w="5580" w:type="dxa"/>
            <w:vAlign w:val="bottom"/>
            <w:gridSpan w:val="4"/>
          </w:tcPr>
          <w:p>
            <w:pPr>
              <w:ind w:left="1080"/>
              <w:spacing w:after="0" w:line="190" w:lineRule="exact"/>
              <w:rPr>
                <w:sz w:val="20"/>
                <w:szCs w:val="20"/>
                <w:color w:val="auto"/>
              </w:rPr>
            </w:pPr>
            <w:r>
              <w:rPr>
                <w:rFonts w:ascii="Arial" w:cs="Arial" w:eastAsia="Arial" w:hAnsi="Arial"/>
                <w:sz w:val="18"/>
                <w:szCs w:val="18"/>
                <w:color w:val="auto"/>
              </w:rPr>
              <w:t>Names Under Which Subsidiary Does Business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4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Alabama, Inc.</w:t>
            </w:r>
          </w:p>
        </w:tc>
        <w:tc>
          <w:tcPr>
            <w:tcW w:w="1800" w:type="dxa"/>
            <w:vAlign w:val="bottom"/>
            <w:gridSpan w:val="3"/>
            <w:shd w:val="clear" w:color="auto" w:fill="CCEEFF"/>
          </w:tcPr>
          <w:p>
            <w:pPr>
              <w:ind w:left="320"/>
              <w:spacing w:after="0" w:line="201" w:lineRule="exact"/>
              <w:rPr>
                <w:sz w:val="20"/>
                <w:szCs w:val="20"/>
                <w:color w:val="auto"/>
              </w:rPr>
            </w:pPr>
            <w:r>
              <w:rPr>
                <w:rFonts w:ascii="Arial" w:cs="Arial" w:eastAsia="Arial" w:hAnsi="Arial"/>
                <w:sz w:val="18"/>
                <w:szCs w:val="18"/>
                <w:color w:val="auto"/>
              </w:rPr>
              <w:t>Delaware</w:t>
            </w:r>
          </w:p>
        </w:tc>
        <w:tc>
          <w:tcPr>
            <w:tcW w:w="54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Rush Truck Center, Mobile</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Peterbilt Truck Center, Mobile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3"/>
          </w:tcPr>
          <w:p>
            <w:pPr>
              <w:spacing w:after="0" w:line="201" w:lineRule="exact"/>
              <w:rPr>
                <w:sz w:val="20"/>
                <w:szCs w:val="20"/>
                <w:color w:val="auto"/>
              </w:rPr>
            </w:pPr>
            <w:r>
              <w:rPr>
                <w:rFonts w:ascii="Arial" w:cs="Arial" w:eastAsia="Arial" w:hAnsi="Arial"/>
                <w:sz w:val="18"/>
                <w:szCs w:val="18"/>
                <w:color w:val="auto"/>
              </w:rPr>
              <w:t>Rush Truck Centers of Arizona, Inc.</w:t>
            </w:r>
          </w:p>
        </w:tc>
        <w:tc>
          <w:tcPr>
            <w:tcW w:w="1800" w:type="dxa"/>
            <w:vAlign w:val="bottom"/>
            <w:gridSpan w:val="3"/>
          </w:tcPr>
          <w:p>
            <w:pPr>
              <w:ind w:left="320"/>
              <w:spacing w:after="0" w:line="201" w:lineRule="exact"/>
              <w:rPr>
                <w:sz w:val="20"/>
                <w:szCs w:val="20"/>
                <w:color w:val="auto"/>
              </w:rPr>
            </w:pPr>
            <w:r>
              <w:rPr>
                <w:rFonts w:ascii="Arial" w:cs="Arial" w:eastAsia="Arial" w:hAnsi="Arial"/>
                <w:sz w:val="18"/>
                <w:szCs w:val="18"/>
                <w:color w:val="auto"/>
              </w:rPr>
              <w:t>Delaware</w:t>
            </w:r>
          </w:p>
        </w:tc>
        <w:tc>
          <w:tcPr>
            <w:tcW w:w="54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Rush Truck Center, Phoenix</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Arial" w:cs="Arial" w:eastAsia="Arial" w:hAnsi="Arial"/>
                <w:sz w:val="18"/>
                <w:szCs w:val="18"/>
                <w:color w:val="auto"/>
              </w:rPr>
              <w:t>Rush Peterbilt Truck Center, Phoenix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Arial" w:cs="Arial" w:eastAsia="Arial" w:hAnsi="Arial"/>
                <w:sz w:val="18"/>
                <w:szCs w:val="18"/>
                <w:color w:val="auto"/>
              </w:rPr>
              <w:t>Rush Truck Center, Flagstaff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Arial" w:cs="Arial" w:eastAsia="Arial" w:hAnsi="Arial"/>
                <w:sz w:val="18"/>
                <w:szCs w:val="18"/>
                <w:color w:val="auto"/>
              </w:rPr>
              <w:t>Rush Peterbilt Truck Center, Flagstaff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Arial" w:cs="Arial" w:eastAsia="Arial" w:hAnsi="Arial"/>
                <w:sz w:val="18"/>
                <w:szCs w:val="18"/>
                <w:color w:val="auto"/>
              </w:rPr>
              <w:t>Rush Truck Center, Tucson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Arial" w:cs="Arial" w:eastAsia="Arial" w:hAnsi="Arial"/>
                <w:sz w:val="18"/>
                <w:szCs w:val="18"/>
                <w:color w:val="auto"/>
              </w:rPr>
              <w:t>Rush Peterbilt Truck Center, Tucson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Arial" w:cs="Arial" w:eastAsia="Arial" w:hAnsi="Arial"/>
                <w:sz w:val="18"/>
                <w:szCs w:val="18"/>
                <w:color w:val="auto"/>
              </w:rPr>
              <w:t>Rush Truck Center, Yuma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4"/>
          </w:tcPr>
          <w:p>
            <w:pPr>
              <w:ind w:left="160"/>
              <w:spacing w:after="0"/>
              <w:rPr>
                <w:sz w:val="20"/>
                <w:szCs w:val="20"/>
                <w:color w:val="auto"/>
              </w:rPr>
            </w:pPr>
            <w:r>
              <w:rPr>
                <w:rFonts w:ascii="Arial" w:cs="Arial" w:eastAsia="Arial" w:hAnsi="Arial"/>
                <w:sz w:val="18"/>
                <w:szCs w:val="18"/>
                <w:color w:val="auto"/>
              </w:rPr>
              <w:t>Rush Peterbilt Truck Center, Yuma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California, Inc.</w:t>
            </w:r>
          </w:p>
        </w:tc>
        <w:tc>
          <w:tcPr>
            <w:tcW w:w="1800" w:type="dxa"/>
            <w:vAlign w:val="bottom"/>
            <w:gridSpan w:val="3"/>
            <w:shd w:val="clear" w:color="auto" w:fill="CCEEFF"/>
          </w:tcPr>
          <w:p>
            <w:pPr>
              <w:ind w:left="320"/>
              <w:spacing w:after="0" w:line="201" w:lineRule="exact"/>
              <w:rPr>
                <w:sz w:val="20"/>
                <w:szCs w:val="20"/>
                <w:color w:val="auto"/>
              </w:rPr>
            </w:pPr>
            <w:r>
              <w:rPr>
                <w:rFonts w:ascii="Arial" w:cs="Arial" w:eastAsia="Arial" w:hAnsi="Arial"/>
                <w:sz w:val="18"/>
                <w:szCs w:val="18"/>
                <w:color w:val="auto"/>
              </w:rPr>
              <w:t>Delaware</w:t>
            </w:r>
          </w:p>
        </w:tc>
        <w:tc>
          <w:tcPr>
            <w:tcW w:w="54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Rush Peterbilt Truck Center, Pico Rivera</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Pico Rivera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Peterbilt Truck Center, Fontana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Fontana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Peterbilt Medium Duty Truck Center, Fontana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Isuzu Trucks, Fontana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Medium Duty Truck Center, Fontana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Towing Systems, Fontana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Fontana Used Trucks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Fontana Vocational Service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Long Beach</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Peterbilt Truck Center, Long Beach</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Sylmar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Peterbilt Truck Center, Sylmar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San Diego</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Peterbilt Truck Center, San Diego</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Whittier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Isuzu Trucks, Whittier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Peterbilt Truck Center, Whittier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Peterbilt Truck Center, Los Angeles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Los Angeles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Towing Systems, Fontana</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3"/>
          </w:tcPr>
          <w:p>
            <w:pPr>
              <w:spacing w:after="0" w:line="201" w:lineRule="exact"/>
              <w:rPr>
                <w:sz w:val="20"/>
                <w:szCs w:val="20"/>
                <w:color w:val="auto"/>
              </w:rPr>
            </w:pPr>
            <w:r>
              <w:rPr>
                <w:rFonts w:ascii="Arial" w:cs="Arial" w:eastAsia="Arial" w:hAnsi="Arial"/>
                <w:sz w:val="18"/>
                <w:szCs w:val="18"/>
                <w:color w:val="auto"/>
                <w:w w:val="97"/>
              </w:rPr>
              <w:t>Rush Medium Duty Truck Centers of Colorado, Inc.</w:t>
            </w:r>
          </w:p>
        </w:tc>
        <w:tc>
          <w:tcPr>
            <w:tcW w:w="1800" w:type="dxa"/>
            <w:vAlign w:val="bottom"/>
            <w:gridSpan w:val="3"/>
          </w:tcPr>
          <w:p>
            <w:pPr>
              <w:ind w:left="320"/>
              <w:spacing w:after="0" w:line="201" w:lineRule="exact"/>
              <w:rPr>
                <w:sz w:val="20"/>
                <w:szCs w:val="20"/>
                <w:color w:val="auto"/>
              </w:rPr>
            </w:pPr>
            <w:r>
              <w:rPr>
                <w:rFonts w:ascii="Arial" w:cs="Arial" w:eastAsia="Arial" w:hAnsi="Arial"/>
                <w:sz w:val="18"/>
                <w:szCs w:val="18"/>
                <w:color w:val="auto"/>
              </w:rPr>
              <w:t>Delaware</w:t>
            </w:r>
          </w:p>
        </w:tc>
        <w:tc>
          <w:tcPr>
            <w:tcW w:w="544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Rush Medium Duty Truck Center, Denver</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Arial" w:cs="Arial" w:eastAsia="Arial" w:hAnsi="Arial"/>
                <w:sz w:val="18"/>
                <w:szCs w:val="18"/>
                <w:color w:val="auto"/>
              </w:rPr>
              <w:t>Rush Medium Duty Ford Trucks, Denver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Arial" w:cs="Arial" w:eastAsia="Arial" w:hAnsi="Arial"/>
                <w:sz w:val="18"/>
                <w:szCs w:val="18"/>
                <w:color w:val="auto"/>
              </w:rPr>
              <w:t>Rush Isuzu Trucks, Denver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Arial" w:cs="Arial" w:eastAsia="Arial" w:hAnsi="Arial"/>
                <w:sz w:val="18"/>
                <w:szCs w:val="18"/>
                <w:color w:val="auto"/>
              </w:rPr>
              <w:t>Rush Towing Systems, Denver</w:t>
            </w:r>
          </w:p>
        </w:tc>
        <w:tc>
          <w:tcPr>
            <w:tcW w:w="0" w:type="dxa"/>
            <w:vAlign w:val="bottom"/>
          </w:tcPr>
          <w:p>
            <w:pPr>
              <w:spacing w:after="0"/>
              <w:rPr>
                <w:sz w:val="1"/>
                <w:szCs w:val="1"/>
                <w:color w:val="auto"/>
              </w:rPr>
            </w:pPr>
          </w:p>
        </w:tc>
      </w:tr>
      <w:tr>
        <w:trPr>
          <w:trHeight w:val="216"/>
        </w:trPr>
        <w:tc>
          <w:tcPr>
            <w:tcW w:w="4040" w:type="dxa"/>
            <w:vAlign w:val="bottom"/>
            <w:gridSpan w:val="4"/>
          </w:tcPr>
          <w:p>
            <w:pPr>
              <w:spacing w:after="0"/>
              <w:rPr>
                <w:sz w:val="20"/>
                <w:szCs w:val="20"/>
                <w:color w:val="auto"/>
              </w:rPr>
            </w:pPr>
            <w:r>
              <w:rPr>
                <w:rFonts w:ascii="Arial" w:cs="Arial" w:eastAsia="Arial" w:hAnsi="Arial"/>
                <w:sz w:val="18"/>
                <w:szCs w:val="18"/>
                <w:color w:val="auto"/>
              </w:rPr>
              <w:t>Rush Truck Centers of Colorado, Inc.</w:t>
            </w:r>
          </w:p>
        </w:tc>
        <w:tc>
          <w:tcPr>
            <w:tcW w:w="1800" w:type="dxa"/>
            <w:vAlign w:val="bottom"/>
            <w:gridSpan w:val="3"/>
          </w:tcPr>
          <w:p>
            <w:pPr>
              <w:ind w:left="320"/>
              <w:spacing w:after="0"/>
              <w:rPr>
                <w:sz w:val="20"/>
                <w:szCs w:val="20"/>
                <w:color w:val="auto"/>
              </w:rPr>
            </w:pPr>
            <w:r>
              <w:rPr>
                <w:rFonts w:ascii="Arial" w:cs="Arial" w:eastAsia="Arial" w:hAnsi="Arial"/>
                <w:sz w:val="18"/>
                <w:szCs w:val="18"/>
                <w:color w:val="auto"/>
              </w:rPr>
              <w:t>Delaware</w:t>
            </w:r>
          </w:p>
        </w:tc>
        <w:tc>
          <w:tcPr>
            <w:tcW w:w="5580" w:type="dxa"/>
            <w:vAlign w:val="bottom"/>
            <w:gridSpan w:val="4"/>
          </w:tcPr>
          <w:p>
            <w:pPr>
              <w:ind w:left="160"/>
              <w:spacing w:after="0"/>
              <w:rPr>
                <w:sz w:val="20"/>
                <w:szCs w:val="20"/>
                <w:color w:val="auto"/>
              </w:rPr>
            </w:pPr>
            <w:r>
              <w:rPr>
                <w:rFonts w:ascii="Arial" w:cs="Arial" w:eastAsia="Arial" w:hAnsi="Arial"/>
                <w:sz w:val="18"/>
                <w:szCs w:val="18"/>
                <w:color w:val="auto"/>
              </w:rPr>
              <w:t>Rush Truck Centers,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80" w:type="dxa"/>
            <w:vAlign w:val="bottom"/>
            <w:gridSpan w:val="4"/>
          </w:tcPr>
          <w:p>
            <w:pPr>
              <w:ind w:left="160"/>
              <w:spacing w:after="0"/>
              <w:rPr>
                <w:sz w:val="20"/>
                <w:szCs w:val="20"/>
                <w:color w:val="auto"/>
              </w:rPr>
            </w:pPr>
            <w:r>
              <w:rPr>
                <w:rFonts w:ascii="Arial" w:cs="Arial" w:eastAsia="Arial" w:hAnsi="Arial"/>
                <w:sz w:val="18"/>
                <w:szCs w:val="18"/>
                <w:color w:val="auto"/>
              </w:rPr>
              <w:t>Rush Peterbilt Truck Center, Denver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4"/>
          </w:tcPr>
          <w:p>
            <w:pPr>
              <w:ind w:left="160"/>
              <w:spacing w:after="0"/>
              <w:rPr>
                <w:sz w:val="20"/>
                <w:szCs w:val="20"/>
                <w:color w:val="auto"/>
              </w:rPr>
            </w:pPr>
            <w:r>
              <w:rPr>
                <w:rFonts w:ascii="Arial" w:cs="Arial" w:eastAsia="Arial" w:hAnsi="Arial"/>
                <w:sz w:val="18"/>
                <w:szCs w:val="18"/>
                <w:color w:val="auto"/>
              </w:rPr>
              <w:t>Rush Truck Center, Denver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52005" cy="9607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7152005" cy="960755"/>
                    </a:xfrm>
                    <a:prstGeom prst="rect">
                      <a:avLst/>
                    </a:prstGeom>
                    <a:noFill/>
                  </pic:spPr>
                </pic:pic>
              </a:graphicData>
            </a:graphic>
          </wp:anchor>
        </w:drawing>
      </w:r>
    </w:p>
    <w:p>
      <w:pPr>
        <w:ind w:left="6000"/>
        <w:spacing w:after="0"/>
        <w:rPr>
          <w:sz w:val="20"/>
          <w:szCs w:val="20"/>
          <w:color w:val="auto"/>
        </w:rPr>
      </w:pPr>
      <w:r>
        <w:rPr>
          <w:rFonts w:ascii="Arial" w:cs="Arial" w:eastAsia="Arial" w:hAnsi="Arial"/>
          <w:sz w:val="18"/>
          <w:szCs w:val="18"/>
          <w:color w:val="auto"/>
        </w:rPr>
        <w:t>Rush Peterbilt Truck Center, Greeley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Rush Truck Center, Greeley</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Rush Peterbilt Truck Center, Pueblo</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Rush Truck Center, Pueblo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Florida, Inc.</w:t>
            </w:r>
          </w:p>
        </w:tc>
        <w:tc>
          <w:tcPr>
            <w:tcW w:w="1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Delaware</w:t>
            </w: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Isuzu Trucks, Orlando</w:t>
            </w:r>
          </w:p>
        </w:tc>
        <w:tc>
          <w:tcPr>
            <w:tcW w:w="140" w:type="dxa"/>
            <w:vAlign w:val="bottom"/>
          </w:tcPr>
          <w:p>
            <w:pPr>
              <w:spacing w:after="0"/>
              <w:rPr>
                <w:sz w:val="17"/>
                <w:szCs w:val="17"/>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Truck Center, Orlando</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Isuzu Truck Center, Orlando</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Peterbilt Truck Center, Orlando</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Truck Center, Orlando Light &amp; Medium Duty</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Truck Center, Orlando South</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Peterbilt Truck Center, Orlando South</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Truck Center, Orlando Used Trucks</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Truck Center, Haines City</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Peterbilt Truck Center, Haines City</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Truck Center, Tampa</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Peterbilt Truck Center, Tampa</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Truck Center, Jacksonville</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Peterbilt Truck Center, Jacksonville</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Truck Center, Lake City</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Peterbilt Truck Center, Lake City</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Peterbilt Truck Center</w:t>
            </w:r>
          </w:p>
        </w:tc>
        <w:tc>
          <w:tcPr>
            <w:tcW w:w="140" w:type="dxa"/>
            <w:vAlign w:val="bottom"/>
          </w:tcPr>
          <w:p>
            <w:pPr>
              <w:spacing w:after="0"/>
              <w:rPr>
                <w:sz w:val="18"/>
                <w:szCs w:val="18"/>
                <w:color w:val="auto"/>
              </w:rPr>
            </w:pPr>
          </w:p>
        </w:tc>
      </w:tr>
      <w:tr>
        <w:trPr>
          <w:trHeight w:val="230"/>
        </w:trPr>
        <w:tc>
          <w:tcPr>
            <w:tcW w:w="34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Rig Tough Used Trucks, Miami</w:t>
            </w:r>
          </w:p>
        </w:tc>
        <w:tc>
          <w:tcPr>
            <w:tcW w:w="140" w:type="dxa"/>
            <w:vAlign w:val="bottom"/>
          </w:tcPr>
          <w:p>
            <w:pPr>
              <w:spacing w:after="0"/>
              <w:rPr>
                <w:sz w:val="20"/>
                <w:szCs w:val="20"/>
                <w:color w:val="auto"/>
              </w:rPr>
            </w:pPr>
          </w:p>
        </w:tc>
      </w:tr>
      <w:tr>
        <w:trPr>
          <w:trHeight w:val="202"/>
        </w:trPr>
        <w:tc>
          <w:tcPr>
            <w:tcW w:w="3480" w:type="dxa"/>
            <w:vAlign w:val="bottom"/>
          </w:tcPr>
          <w:p>
            <w:pPr>
              <w:spacing w:after="0" w:line="201" w:lineRule="exact"/>
              <w:rPr>
                <w:sz w:val="20"/>
                <w:szCs w:val="20"/>
                <w:color w:val="auto"/>
              </w:rPr>
            </w:pPr>
            <w:r>
              <w:rPr>
                <w:rFonts w:ascii="Arial" w:cs="Arial" w:eastAsia="Arial" w:hAnsi="Arial"/>
                <w:sz w:val="18"/>
                <w:szCs w:val="18"/>
                <w:color w:val="auto"/>
              </w:rPr>
              <w:t>Rush Truck Centers of Georgia, Inc.</w:t>
            </w:r>
          </w:p>
        </w:tc>
        <w:tc>
          <w:tcPr>
            <w:tcW w:w="1880" w:type="dxa"/>
            <w:vAlign w:val="bottom"/>
          </w:tcPr>
          <w:p>
            <w:pPr>
              <w:ind w:left="880"/>
              <w:spacing w:after="0" w:line="201" w:lineRule="exact"/>
              <w:rPr>
                <w:sz w:val="20"/>
                <w:szCs w:val="20"/>
                <w:color w:val="auto"/>
              </w:rPr>
            </w:pPr>
            <w:r>
              <w:rPr>
                <w:rFonts w:ascii="Arial" w:cs="Arial" w:eastAsia="Arial" w:hAnsi="Arial"/>
                <w:sz w:val="18"/>
                <w:szCs w:val="18"/>
                <w:color w:val="auto"/>
              </w:rPr>
              <w:t>Delaware</w:t>
            </w:r>
          </w:p>
        </w:tc>
        <w:tc>
          <w:tcPr>
            <w:tcW w:w="5920" w:type="dxa"/>
            <w:vAlign w:val="bottom"/>
          </w:tcPr>
          <w:p>
            <w:pPr>
              <w:ind w:left="640"/>
              <w:spacing w:after="0" w:line="201" w:lineRule="exact"/>
              <w:rPr>
                <w:sz w:val="20"/>
                <w:szCs w:val="20"/>
                <w:color w:val="auto"/>
              </w:rPr>
            </w:pPr>
            <w:r>
              <w:rPr>
                <w:rFonts w:ascii="Arial" w:cs="Arial" w:eastAsia="Arial" w:hAnsi="Arial"/>
                <w:sz w:val="18"/>
                <w:szCs w:val="18"/>
                <w:color w:val="auto"/>
              </w:rPr>
              <w:t>Rush Truck Center, Adairsville</w:t>
            </w:r>
          </w:p>
        </w:tc>
        <w:tc>
          <w:tcPr>
            <w:tcW w:w="140" w:type="dxa"/>
            <w:vAlign w:val="bottom"/>
          </w:tcPr>
          <w:p>
            <w:pPr>
              <w:spacing w:after="0"/>
              <w:rPr>
                <w:sz w:val="17"/>
                <w:szCs w:val="17"/>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Medium Duty Truck Center, Atlanta</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Isuzu Trucks, Atlanta</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Atlanta</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Bus Center, Atlanta</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International Truck Center, Atlanta</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Collision Center, Atlanta</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Atlanta Collision Center</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Doraville</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International Truck Center, Doraville</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Isuzu Trucks, Doraville</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Smyrna</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Tifton</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Bus Center, Tifton</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Columbus</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Gainesville</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Augusta</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Blackshear</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Columbus</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Columbus North</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Columbus South</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Macon</w:t>
            </w:r>
          </w:p>
        </w:tc>
        <w:tc>
          <w:tcPr>
            <w:tcW w:w="14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Valdosta</w:t>
            </w:r>
          </w:p>
        </w:tc>
        <w:tc>
          <w:tcPr>
            <w:tcW w:w="140" w:type="dxa"/>
            <w:vAlign w:val="bottom"/>
          </w:tcPr>
          <w:p>
            <w:pPr>
              <w:spacing w:after="0"/>
              <w:rPr>
                <w:sz w:val="20"/>
                <w:szCs w:val="20"/>
                <w:color w:val="auto"/>
              </w:rPr>
            </w:pPr>
          </w:p>
        </w:tc>
      </w:tr>
      <w:tr>
        <w:trPr>
          <w:trHeight w:val="202"/>
        </w:trPr>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Idaho, Inc.</w:t>
            </w:r>
          </w:p>
        </w:tc>
        <w:tc>
          <w:tcPr>
            <w:tcW w:w="1880" w:type="dxa"/>
            <w:vAlign w:val="bottom"/>
            <w:shd w:val="clear" w:color="auto" w:fill="CCEEFF"/>
          </w:tcPr>
          <w:p>
            <w:pPr>
              <w:ind w:left="880"/>
              <w:spacing w:after="0" w:line="201" w:lineRule="exact"/>
              <w:rPr>
                <w:sz w:val="20"/>
                <w:szCs w:val="20"/>
                <w:color w:val="auto"/>
              </w:rPr>
            </w:pPr>
            <w:r>
              <w:rPr>
                <w:rFonts w:ascii="Arial" w:cs="Arial" w:eastAsia="Arial" w:hAnsi="Arial"/>
                <w:sz w:val="18"/>
                <w:szCs w:val="18"/>
                <w:color w:val="auto"/>
              </w:rPr>
              <w:t>Delaware</w:t>
            </w:r>
          </w:p>
        </w:tc>
        <w:tc>
          <w:tcPr>
            <w:tcW w:w="592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Rush International Truck Center, Boise</w:t>
            </w:r>
          </w:p>
        </w:tc>
        <w:tc>
          <w:tcPr>
            <w:tcW w:w="140" w:type="dxa"/>
            <w:vAlign w:val="bottom"/>
          </w:tcPr>
          <w:p>
            <w:pPr>
              <w:spacing w:after="0"/>
              <w:rPr>
                <w:sz w:val="17"/>
                <w:szCs w:val="17"/>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International Truck Center, Idaho Falls</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International Truck Center, Lewiston</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International Truck Center, Twin Falls</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Truck Center, Boise</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Truck Center, Idaho Falls</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Truck Center, Lewiston</w:t>
            </w:r>
          </w:p>
        </w:tc>
        <w:tc>
          <w:tcPr>
            <w:tcW w:w="140" w:type="dxa"/>
            <w:vAlign w:val="bottom"/>
          </w:tcPr>
          <w:p>
            <w:pPr>
              <w:spacing w:after="0"/>
              <w:rPr>
                <w:sz w:val="18"/>
                <w:szCs w:val="18"/>
                <w:color w:val="auto"/>
              </w:rPr>
            </w:pPr>
          </w:p>
        </w:tc>
      </w:tr>
      <w:tr>
        <w:trPr>
          <w:trHeight w:val="230"/>
        </w:trPr>
        <w:tc>
          <w:tcPr>
            <w:tcW w:w="34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5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Rush Truck Center, Twin Falls</w:t>
            </w:r>
          </w:p>
        </w:tc>
        <w:tc>
          <w:tcPr>
            <w:tcW w:w="140" w:type="dxa"/>
            <w:vAlign w:val="bottom"/>
          </w:tcPr>
          <w:p>
            <w:pPr>
              <w:spacing w:after="0"/>
              <w:rPr>
                <w:sz w:val="20"/>
                <w:szCs w:val="20"/>
                <w:color w:val="auto"/>
              </w:rPr>
            </w:pPr>
          </w:p>
        </w:tc>
      </w:tr>
      <w:tr>
        <w:trPr>
          <w:trHeight w:val="202"/>
        </w:trPr>
        <w:tc>
          <w:tcPr>
            <w:tcW w:w="3480" w:type="dxa"/>
            <w:vAlign w:val="bottom"/>
          </w:tcPr>
          <w:p>
            <w:pPr>
              <w:spacing w:after="0" w:line="201" w:lineRule="exact"/>
              <w:rPr>
                <w:sz w:val="20"/>
                <w:szCs w:val="20"/>
                <w:color w:val="auto"/>
              </w:rPr>
            </w:pPr>
            <w:r>
              <w:rPr>
                <w:rFonts w:ascii="Arial" w:cs="Arial" w:eastAsia="Arial" w:hAnsi="Arial"/>
                <w:sz w:val="18"/>
                <w:szCs w:val="18"/>
                <w:color w:val="auto"/>
              </w:rPr>
              <w:t>Rush Truck Centers of Illinois, Inc.</w:t>
            </w:r>
          </w:p>
        </w:tc>
        <w:tc>
          <w:tcPr>
            <w:tcW w:w="1880" w:type="dxa"/>
            <w:vAlign w:val="bottom"/>
          </w:tcPr>
          <w:p>
            <w:pPr>
              <w:ind w:left="880"/>
              <w:spacing w:after="0" w:line="201" w:lineRule="exact"/>
              <w:rPr>
                <w:sz w:val="20"/>
                <w:szCs w:val="20"/>
                <w:color w:val="auto"/>
              </w:rPr>
            </w:pPr>
            <w:r>
              <w:rPr>
                <w:rFonts w:ascii="Arial" w:cs="Arial" w:eastAsia="Arial" w:hAnsi="Arial"/>
                <w:sz w:val="18"/>
                <w:szCs w:val="18"/>
                <w:color w:val="auto"/>
              </w:rPr>
              <w:t>Delaware</w:t>
            </w:r>
          </w:p>
        </w:tc>
        <w:tc>
          <w:tcPr>
            <w:tcW w:w="5920" w:type="dxa"/>
            <w:vAlign w:val="bottom"/>
          </w:tcPr>
          <w:p>
            <w:pPr>
              <w:ind w:left="640"/>
              <w:spacing w:after="0" w:line="201" w:lineRule="exact"/>
              <w:rPr>
                <w:sz w:val="20"/>
                <w:szCs w:val="20"/>
                <w:color w:val="auto"/>
              </w:rPr>
            </w:pPr>
            <w:r>
              <w:rPr>
                <w:rFonts w:ascii="Arial" w:cs="Arial" w:eastAsia="Arial" w:hAnsi="Arial"/>
                <w:sz w:val="18"/>
                <w:szCs w:val="18"/>
                <w:color w:val="auto"/>
              </w:rPr>
              <w:t>Rush Truck Center, Bloomington</w:t>
            </w:r>
          </w:p>
        </w:tc>
        <w:tc>
          <w:tcPr>
            <w:tcW w:w="140" w:type="dxa"/>
            <w:vAlign w:val="bottom"/>
          </w:tcPr>
          <w:p>
            <w:pPr>
              <w:spacing w:after="0"/>
              <w:rPr>
                <w:sz w:val="17"/>
                <w:szCs w:val="17"/>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Carol Stream</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Chambersburg</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Champaign</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Chicago</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Effingham</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Huntley</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Joliet</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Quincy</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Springfield Collision Center</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Springfield East</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Rush Truck Center, Springfield West</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House of Trucks</w:t>
            </w:r>
          </w:p>
        </w:tc>
        <w:tc>
          <w:tcPr>
            <w:tcW w:w="1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House of Trucks, Willowbrook</w:t>
            </w:r>
          </w:p>
        </w:tc>
        <w:tc>
          <w:tcPr>
            <w:tcW w:w="14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House of Trucks, Wilmington</w:t>
            </w:r>
          </w:p>
        </w:tc>
        <w:tc>
          <w:tcPr>
            <w:tcW w:w="140" w:type="dxa"/>
            <w:vAlign w:val="bottom"/>
          </w:tcPr>
          <w:p>
            <w:pPr>
              <w:spacing w:after="0"/>
              <w:rPr>
                <w:sz w:val="20"/>
                <w:szCs w:val="20"/>
                <w:color w:val="auto"/>
              </w:rPr>
            </w:pPr>
          </w:p>
        </w:tc>
      </w:tr>
      <w:tr>
        <w:trPr>
          <w:trHeight w:val="459"/>
        </w:trPr>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920" w:type="dxa"/>
            <w:vAlign w:val="bottom"/>
          </w:tcPr>
          <w:p>
            <w:pPr>
              <w:ind w:left="3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r>
      <w:tr>
        <w:trPr>
          <w:trHeight w:val="115"/>
        </w:trPr>
        <w:tc>
          <w:tcPr>
            <w:tcW w:w="34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5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93" w:right="2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Indiana, Inc.</w:t>
            </w:r>
          </w:p>
        </w:tc>
        <w:tc>
          <w:tcPr>
            <w:tcW w:w="1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Delaware</w:t>
            </w: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Truck Center, Gary</w:t>
            </w:r>
          </w:p>
        </w:tc>
      </w:tr>
      <w:tr>
        <w:trPr>
          <w:trHeight w:val="230"/>
        </w:trPr>
        <w:tc>
          <w:tcPr>
            <w:tcW w:w="37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Truck Center, Indianapolis</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Rush Truck Centers of Kansas, Inc.</w:t>
            </w:r>
          </w:p>
        </w:tc>
        <w:tc>
          <w:tcPr>
            <w:tcW w:w="1780" w:type="dxa"/>
            <w:vAlign w:val="bottom"/>
          </w:tcPr>
          <w:p>
            <w:pPr>
              <w:ind w:left="620"/>
              <w:spacing w:after="0"/>
              <w:rPr>
                <w:sz w:val="20"/>
                <w:szCs w:val="20"/>
                <w:color w:val="auto"/>
              </w:rPr>
            </w:pPr>
            <w:r>
              <w:rPr>
                <w:rFonts w:ascii="Arial" w:cs="Arial" w:eastAsia="Arial" w:hAnsi="Arial"/>
                <w:sz w:val="18"/>
                <w:szCs w:val="18"/>
                <w:color w:val="auto"/>
              </w:rPr>
              <w:t>Delaware</w:t>
            </w:r>
          </w:p>
        </w:tc>
        <w:tc>
          <w:tcPr>
            <w:tcW w:w="5760" w:type="dxa"/>
            <w:vAlign w:val="bottom"/>
          </w:tcPr>
          <w:p>
            <w:pPr>
              <w:ind w:left="480"/>
              <w:spacing w:after="0"/>
              <w:rPr>
                <w:sz w:val="20"/>
                <w:szCs w:val="20"/>
                <w:color w:val="auto"/>
              </w:rPr>
            </w:pPr>
            <w:r>
              <w:rPr>
                <w:rFonts w:ascii="Arial" w:cs="Arial" w:eastAsia="Arial" w:hAnsi="Arial"/>
                <w:sz w:val="18"/>
                <w:szCs w:val="18"/>
                <w:color w:val="auto"/>
              </w:rPr>
              <w:t>Rush Truck Center, Kansas</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Kentucky, Inc.</w:t>
            </w:r>
          </w:p>
        </w:tc>
        <w:tc>
          <w:tcPr>
            <w:tcW w:w="1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Delaware</w:t>
            </w: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Truck Center, Bowling Green</w:t>
            </w: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Rush Truck Centers of Missouri, Inc.</w:t>
            </w:r>
          </w:p>
        </w:tc>
        <w:tc>
          <w:tcPr>
            <w:tcW w:w="1780" w:type="dxa"/>
            <w:vAlign w:val="bottom"/>
          </w:tcPr>
          <w:p>
            <w:pPr>
              <w:ind w:left="620"/>
              <w:spacing w:after="0" w:line="201" w:lineRule="exact"/>
              <w:rPr>
                <w:sz w:val="20"/>
                <w:szCs w:val="20"/>
                <w:color w:val="auto"/>
              </w:rPr>
            </w:pPr>
            <w:r>
              <w:rPr>
                <w:rFonts w:ascii="Arial" w:cs="Arial" w:eastAsia="Arial" w:hAnsi="Arial"/>
                <w:sz w:val="18"/>
                <w:szCs w:val="18"/>
                <w:color w:val="auto"/>
              </w:rPr>
              <w:t>Delaware</w:t>
            </w:r>
          </w:p>
        </w:tc>
        <w:tc>
          <w:tcPr>
            <w:tcW w:w="5760" w:type="dxa"/>
            <w:vAlign w:val="bottom"/>
          </w:tcPr>
          <w:p>
            <w:pPr>
              <w:ind w:left="480"/>
              <w:spacing w:after="0" w:line="201" w:lineRule="exact"/>
              <w:rPr>
                <w:sz w:val="20"/>
                <w:szCs w:val="20"/>
                <w:color w:val="auto"/>
              </w:rPr>
            </w:pPr>
            <w:r>
              <w:rPr>
                <w:rFonts w:ascii="Arial" w:cs="Arial" w:eastAsia="Arial" w:hAnsi="Arial"/>
                <w:sz w:val="18"/>
                <w:szCs w:val="18"/>
                <w:color w:val="auto"/>
              </w:rPr>
              <w:t>Rush Truck Center, St. Peters</w:t>
            </w:r>
          </w:p>
        </w:tc>
      </w:tr>
      <w:tr>
        <w:trPr>
          <w:trHeight w:val="230"/>
        </w:trPr>
        <w:tc>
          <w:tcPr>
            <w:tcW w:w="3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Truck Center, St. Louis</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Nebraska, Inc.</w:t>
            </w:r>
          </w:p>
        </w:tc>
        <w:tc>
          <w:tcPr>
            <w:tcW w:w="1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Delaware</w:t>
            </w:r>
          </w:p>
        </w:tc>
        <w:tc>
          <w:tcPr>
            <w:tcW w:w="5760" w:type="dxa"/>
            <w:vAlign w:val="bottom"/>
            <w:shd w:val="clear" w:color="auto" w:fill="CCEEFF"/>
          </w:tcPr>
          <w:p>
            <w:pPr>
              <w:spacing w:after="0"/>
              <w:rPr>
                <w:sz w:val="18"/>
                <w:szCs w:val="18"/>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Rush Truck Centers of Nevada, Inc.</w:t>
            </w:r>
          </w:p>
        </w:tc>
        <w:tc>
          <w:tcPr>
            <w:tcW w:w="1780" w:type="dxa"/>
            <w:vAlign w:val="bottom"/>
          </w:tcPr>
          <w:p>
            <w:pPr>
              <w:ind w:left="620"/>
              <w:spacing w:after="0" w:line="201" w:lineRule="exact"/>
              <w:rPr>
                <w:sz w:val="20"/>
                <w:szCs w:val="20"/>
                <w:color w:val="auto"/>
              </w:rPr>
            </w:pPr>
            <w:r>
              <w:rPr>
                <w:rFonts w:ascii="Arial" w:cs="Arial" w:eastAsia="Arial" w:hAnsi="Arial"/>
                <w:sz w:val="18"/>
                <w:szCs w:val="18"/>
                <w:color w:val="auto"/>
              </w:rPr>
              <w:t>Delaware</w:t>
            </w:r>
          </w:p>
        </w:tc>
        <w:tc>
          <w:tcPr>
            <w:tcW w:w="5760" w:type="dxa"/>
            <w:vAlign w:val="bottom"/>
          </w:tcPr>
          <w:p>
            <w:pPr>
              <w:ind w:left="480"/>
              <w:spacing w:after="0" w:line="201" w:lineRule="exact"/>
              <w:rPr>
                <w:sz w:val="20"/>
                <w:szCs w:val="20"/>
                <w:color w:val="auto"/>
              </w:rPr>
            </w:pPr>
            <w:r>
              <w:rPr>
                <w:rFonts w:ascii="Arial" w:cs="Arial" w:eastAsia="Arial" w:hAnsi="Arial"/>
                <w:sz w:val="18"/>
                <w:szCs w:val="18"/>
                <w:color w:val="auto"/>
              </w:rPr>
              <w:t>Rush Truck Center, Las Vegas</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Peterbilt Truck Center, Las Vegas</w:t>
            </w:r>
          </w:p>
        </w:tc>
      </w:tr>
      <w:tr>
        <w:trPr>
          <w:trHeight w:val="230"/>
        </w:trPr>
        <w:tc>
          <w:tcPr>
            <w:tcW w:w="3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Truck Leasing</w:t>
            </w:r>
          </w:p>
        </w:tc>
      </w:tr>
      <w:tr>
        <w:trPr>
          <w:trHeight w:val="202"/>
        </w:trPr>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New Mexico, Inc.</w:t>
            </w:r>
          </w:p>
        </w:tc>
        <w:tc>
          <w:tcPr>
            <w:tcW w:w="178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Delaware</w:t>
            </w:r>
          </w:p>
        </w:tc>
        <w:tc>
          <w:tcPr>
            <w:tcW w:w="576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Rush Truck Center, Albuquerque</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Peterbilt Truck Center, Albuquerque</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Truck Center, Farmington</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Peterbilt Truck Center, Farmington</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Truck Center, Las Cruces</w:t>
            </w:r>
          </w:p>
        </w:tc>
      </w:tr>
      <w:tr>
        <w:trPr>
          <w:trHeight w:val="230"/>
        </w:trPr>
        <w:tc>
          <w:tcPr>
            <w:tcW w:w="37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Peterbilt Truck Center, Las Cruces</w:t>
            </w: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Rush Truck Centers of North Carolina, Inc.</w:t>
            </w:r>
          </w:p>
        </w:tc>
        <w:tc>
          <w:tcPr>
            <w:tcW w:w="1780" w:type="dxa"/>
            <w:vAlign w:val="bottom"/>
          </w:tcPr>
          <w:p>
            <w:pPr>
              <w:ind w:left="620"/>
              <w:spacing w:after="0" w:line="201" w:lineRule="exact"/>
              <w:rPr>
                <w:sz w:val="20"/>
                <w:szCs w:val="20"/>
                <w:color w:val="auto"/>
              </w:rPr>
            </w:pPr>
            <w:r>
              <w:rPr>
                <w:rFonts w:ascii="Arial" w:cs="Arial" w:eastAsia="Arial" w:hAnsi="Arial"/>
                <w:sz w:val="18"/>
                <w:szCs w:val="18"/>
                <w:color w:val="auto"/>
              </w:rPr>
              <w:t>Delaware</w:t>
            </w:r>
          </w:p>
        </w:tc>
        <w:tc>
          <w:tcPr>
            <w:tcW w:w="5760" w:type="dxa"/>
            <w:vAlign w:val="bottom"/>
          </w:tcPr>
          <w:p>
            <w:pPr>
              <w:ind w:left="480"/>
              <w:spacing w:after="0" w:line="201" w:lineRule="exact"/>
              <w:rPr>
                <w:sz w:val="20"/>
                <w:szCs w:val="20"/>
                <w:color w:val="auto"/>
              </w:rPr>
            </w:pPr>
            <w:r>
              <w:rPr>
                <w:rFonts w:ascii="Arial" w:cs="Arial" w:eastAsia="Arial" w:hAnsi="Arial"/>
                <w:sz w:val="18"/>
                <w:szCs w:val="18"/>
                <w:color w:val="auto"/>
              </w:rPr>
              <w:t>Rush Collision Center, Charlotte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International Truck Center, Charlotte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Isuzu Trucks, Charlotte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Truck Center, Charlotte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Truck Center Body Shop, Charlotte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Truck Center, Charlotte Collision Center</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Truck Center, Hickory</w:t>
            </w:r>
          </w:p>
        </w:tc>
      </w:tr>
      <w:tr>
        <w:trPr>
          <w:trHeight w:val="230"/>
        </w:trPr>
        <w:tc>
          <w:tcPr>
            <w:tcW w:w="3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Truck Center, Asheville</w:t>
            </w:r>
          </w:p>
        </w:tc>
      </w:tr>
      <w:tr>
        <w:trPr>
          <w:trHeight w:val="202"/>
        </w:trPr>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Ohio, Inc.</w:t>
            </w:r>
          </w:p>
        </w:tc>
        <w:tc>
          <w:tcPr>
            <w:tcW w:w="178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Delaware</w:t>
            </w:r>
          </w:p>
        </w:tc>
        <w:tc>
          <w:tcPr>
            <w:tcW w:w="576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Rush Truck Center, Akron</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Isuzu Trucks, Akron</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Truck Center, Cincinnati</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Isuzu Trucks, Cincinnati</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Truck Center, Cleveland</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Isuzu Trucks, Cleveland</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Truck Center, Columbus</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Isuzu Trucks, Columbus</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Truck Center, Columbus East</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Isuzu Trucks, Columbus East</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Truck Center, Columbus West</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Isuzu Trucks, Columbus West</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Truck Center, Columbus OH</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Truck Center, Dayton</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Isuzu Trucks, Dayton</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Truck Center, Lima</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Isuzu Trucks, Lima</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Truck Center, Springfield, Ohio</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Bus Center, Cincinnati</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RTC Truck Parts</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Bus Center, Akron</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Bus Center, Cleveland</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Bus Center, Columbus</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Bus Center, Columbus East</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Bus Center, Columbus West</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Bus Center, Dayton</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Bus Center, Lima</w:t>
            </w:r>
          </w:p>
        </w:tc>
      </w:tr>
      <w:tr>
        <w:trPr>
          <w:trHeight w:val="230"/>
        </w:trPr>
        <w:tc>
          <w:tcPr>
            <w:tcW w:w="37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Rig Tough Truck Parts, Cincinnati</w:t>
            </w: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Rush Truck Centers of Oklahoma, Inc.</w:t>
            </w:r>
          </w:p>
        </w:tc>
        <w:tc>
          <w:tcPr>
            <w:tcW w:w="1780" w:type="dxa"/>
            <w:vAlign w:val="bottom"/>
          </w:tcPr>
          <w:p>
            <w:pPr>
              <w:ind w:left="620"/>
              <w:spacing w:after="0" w:line="201" w:lineRule="exact"/>
              <w:rPr>
                <w:sz w:val="20"/>
                <w:szCs w:val="20"/>
                <w:color w:val="auto"/>
              </w:rPr>
            </w:pPr>
            <w:r>
              <w:rPr>
                <w:rFonts w:ascii="Arial" w:cs="Arial" w:eastAsia="Arial" w:hAnsi="Arial"/>
                <w:sz w:val="18"/>
                <w:szCs w:val="18"/>
                <w:color w:val="auto"/>
              </w:rPr>
              <w:t>Delaware</w:t>
            </w:r>
          </w:p>
        </w:tc>
        <w:tc>
          <w:tcPr>
            <w:tcW w:w="5760" w:type="dxa"/>
            <w:vAlign w:val="bottom"/>
          </w:tcPr>
          <w:p>
            <w:pPr>
              <w:ind w:left="480"/>
              <w:spacing w:after="0" w:line="201" w:lineRule="exact"/>
              <w:rPr>
                <w:sz w:val="20"/>
                <w:szCs w:val="20"/>
                <w:color w:val="auto"/>
              </w:rPr>
            </w:pPr>
            <w:r>
              <w:rPr>
                <w:rFonts w:ascii="Arial" w:cs="Arial" w:eastAsia="Arial" w:hAnsi="Arial"/>
                <w:sz w:val="18"/>
                <w:szCs w:val="18"/>
                <w:color w:val="auto"/>
              </w:rPr>
              <w:t>Rush Peterbilt Truck Center, Ardmore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Peterbilt Truck Center, Oklahoma City</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Peterbilt Truck Center, Tulsa</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Truck Center, Ardmore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Truck Center, Oklahoma City</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Truck Center, Tulsa</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Isuzu Trucks, Oklahoma City</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Used Truck Center, Tulsa</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Rush Truck Rigging</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Perfection Equipment</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Perfection Truck Parts &amp; Equipment, Oklahoma City</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Perfection Truck Parts &amp; Equipment, Tulsa</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Perfection Crane Services</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Translease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Oklahoma Trucks, Inc.</w:t>
            </w:r>
          </w:p>
        </w:tc>
      </w:tr>
      <w:tr>
        <w:trPr>
          <w:trHeight w:val="230"/>
        </w:trPr>
        <w:tc>
          <w:tcPr>
            <w:tcW w:w="3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Tulsa Trucks, Inc.</w:t>
            </w:r>
          </w:p>
        </w:tc>
      </w:tr>
      <w:tr>
        <w:trPr>
          <w:trHeight w:val="202"/>
        </w:trPr>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Tennessee, Inc.</w:t>
            </w:r>
          </w:p>
        </w:tc>
        <w:tc>
          <w:tcPr>
            <w:tcW w:w="178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Delaware</w:t>
            </w:r>
          </w:p>
        </w:tc>
        <w:tc>
          <w:tcPr>
            <w:tcW w:w="576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Rush Truck Center, Nashville</w:t>
            </w:r>
          </w:p>
        </w:tc>
      </w:tr>
      <w:tr>
        <w:trPr>
          <w:trHeight w:val="216"/>
        </w:trPr>
        <w:tc>
          <w:tcPr>
            <w:tcW w:w="37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Peterbilt Truck Center, Nashville</w:t>
            </w:r>
          </w:p>
        </w:tc>
      </w:tr>
      <w:tr>
        <w:trPr>
          <w:trHeight w:val="230"/>
        </w:trPr>
        <w:tc>
          <w:tcPr>
            <w:tcW w:w="37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Towing Systems, Nashville</w:t>
            </w:r>
          </w:p>
        </w:tc>
      </w:tr>
    </w:tbl>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593" w:right="379" w:bottom="0" w:gutter="0" w:footer="0" w:header="0"/>
        </w:sectPr>
      </w:pPr>
    </w:p>
    <w:bookmarkStart w:id="85" w:name="page86"/>
    <w:bookmarkEnd w:id="8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Texas, L.P.</w:t>
            </w:r>
          </w:p>
        </w:tc>
        <w:tc>
          <w:tcPr>
            <w:tcW w:w="19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Texas</w:t>
            </w: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Custom Vehicle Solutions</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Rig Tough Used Trucks, Dallas</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Bus Center, Austin</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Bus Center, Corpus Christi</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Bus Center, Dallas</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Bus Center, Dallas, Number 2</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Bus Center, Fort Worth</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Bus Center, Houston</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Bus Center, Laredo</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Bus Center, Lufkin</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Bus Center, Pharr</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Bus Center, San Antonio</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Bus Center, San Antonio, Number 2</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Bus Center, Sealy</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Bus Center, Selma</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Bus Center, Texarkana</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Bus Center, Tyler</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Bus Center, Waco</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Isuzu Trucks, Austin</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Isuzu Trucks, Corpus Christi</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Isuzu Trucks, Dallas</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Isuzu Trucks, El Paso</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Isuzu Trucks, Sealy</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Isuzu Trucks, Texarkana</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Isuzu Trucks, Waco</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Medium Duty Truck Center, Dallas</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Medium Duty Truck Center, San Antonio</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Medium Duty Truck Center, Waco</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Abilene</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Amarillo</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Austin</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Brownsville</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College Station</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Corpus Christi</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Cotulla</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Dalhart</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Dallas</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El Paso</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Fort Worth</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Houston</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Houston Northwest</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Laredo</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Lubbock</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Lufkin</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Odessa</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Pharr</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San Antonio</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Sealy</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Texarkana</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Tyler</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Peterbilt Truck Center, Waco</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Refuse Systems</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Towing Systems</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Towing Systems, Houston</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Towing Systems, San Antonio</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Abilene</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Amarillo</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Austin</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Bryan</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Brownsville</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College Station</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Corpus Christi</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Cotulla</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Dalhart</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Dallas</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Dallas Medium Duty</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Dallas Light and Medium Duty</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Denton</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El Paso</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Fort Worth</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Houston</w:t>
            </w:r>
          </w:p>
        </w:tc>
      </w:tr>
      <w:tr>
        <w:trPr>
          <w:trHeight w:val="216"/>
        </w:trPr>
        <w:tc>
          <w:tcPr>
            <w:tcW w:w="3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Houston Medium Duty</w:t>
            </w:r>
          </w:p>
        </w:tc>
      </w:tr>
      <w:tr>
        <w:trPr>
          <w:trHeight w:val="230"/>
        </w:trPr>
        <w:tc>
          <w:tcPr>
            <w:tcW w:w="34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Houston Northwest</w:t>
            </w:r>
          </w:p>
        </w:tc>
      </w:tr>
      <w:tr>
        <w:trPr>
          <w:trHeight w:val="111"/>
        </w:trPr>
        <w:tc>
          <w:tcPr>
            <w:tcW w:w="3420" w:type="dxa"/>
            <w:vAlign w:val="bottom"/>
            <w:shd w:val="clear" w:color="auto" w:fill="CCEEFF"/>
          </w:tcPr>
          <w:p>
            <w:pPr>
              <w:spacing w:after="0"/>
              <w:rPr>
                <w:sz w:val="9"/>
                <w:szCs w:val="9"/>
                <w:color w:val="auto"/>
              </w:rPr>
            </w:pPr>
          </w:p>
        </w:tc>
        <w:tc>
          <w:tcPr>
            <w:tcW w:w="1960" w:type="dxa"/>
            <w:vAlign w:val="bottom"/>
            <w:shd w:val="clear" w:color="auto" w:fill="CCEEFF"/>
          </w:tcPr>
          <w:p>
            <w:pPr>
              <w:spacing w:after="0"/>
              <w:rPr>
                <w:sz w:val="9"/>
                <w:szCs w:val="9"/>
                <w:color w:val="auto"/>
              </w:rPr>
            </w:pPr>
          </w:p>
        </w:tc>
        <w:tc>
          <w:tcPr>
            <w:tcW w:w="5900" w:type="dxa"/>
            <w:vAlign w:val="bottom"/>
            <w:shd w:val="clear" w:color="auto" w:fill="CCEEFF"/>
          </w:tcPr>
          <w:p>
            <w:pPr>
              <w:spacing w:after="0"/>
              <w:rPr>
                <w:sz w:val="9"/>
                <w:szCs w:val="9"/>
                <w:color w:val="auto"/>
              </w:rPr>
            </w:pPr>
          </w:p>
        </w:tc>
      </w:tr>
    </w:tbl>
    <w:p>
      <w:pPr>
        <w:sectPr>
          <w:pgSz w:w="11900" w:h="16900" w:orient="portrait"/>
          <w:cols w:equalWidth="0" w:num="1">
            <w:col w:w="11280"/>
          </w:cols>
          <w:pgMar w:left="240" w:top="593" w:right="379" w:bottom="0" w:gutter="0" w:footer="0" w:header="0"/>
        </w:sectPr>
      </w:pPr>
    </w:p>
    <w:bookmarkStart w:id="86" w:name="page87"/>
    <w:bookmarkEnd w:id="86"/>
    <w:p>
      <w:pPr>
        <w:ind w:left="4800"/>
        <w:spacing w:after="0"/>
        <w:rPr>
          <w:sz w:val="20"/>
          <w:szCs w:val="20"/>
          <w:color w:val="auto"/>
        </w:rPr>
      </w:pPr>
      <w:r>
        <w:rPr>
          <w:rFonts w:ascii="Arial" w:cs="Arial" w:eastAsia="Arial" w:hAnsi="Arial"/>
          <w:sz w:val="18"/>
          <w:szCs w:val="18"/>
          <w:color w:val="auto"/>
        </w:rPr>
        <w:t>Rush Truck Center, Laredo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-121920</wp:posOffset>
            </wp:positionV>
            <wp:extent cx="7152005" cy="1783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7152005" cy="1783715"/>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Rush Truck Center, Lubbock</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Rush Truck Center, Lufkin</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Rush Truck Center, New Braunfels</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Rush Truck Center, Odessa</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Rush Truck Center, Pharr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Rush Truck Center, San Antonio</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Rush Truck Center, Sealy</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Rush Truck Center, Texarkana</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Rush Truck Center, Tyler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Rush Truck Center, Waco</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Rush Crane and Refuse Systems International</w:t>
      </w:r>
    </w:p>
    <w:p>
      <w:pPr>
        <w:spacing w:after="0" w:line="3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World Wide Tires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90805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Utah, Inc.</w:t>
            </w:r>
          </w:p>
        </w:tc>
        <w:tc>
          <w:tcPr>
            <w:tcW w:w="1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Delaware</w:t>
            </w: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International Truck Center, Salt Lake City</w:t>
            </w:r>
          </w:p>
        </w:tc>
        <w:tc>
          <w:tcPr>
            <w:tcW w:w="140" w:type="dxa"/>
            <w:vAlign w:val="bottom"/>
          </w:tcPr>
          <w:p>
            <w:pPr>
              <w:spacing w:after="0"/>
              <w:rPr>
                <w:sz w:val="17"/>
                <w:szCs w:val="17"/>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International Truck Center, Springville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International Truck Center, St. George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International Truck Center, Ogden</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Salt Lake City</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Springville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St. George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Ogden</w:t>
            </w:r>
          </w:p>
        </w:tc>
        <w:tc>
          <w:tcPr>
            <w:tcW w:w="140" w:type="dxa"/>
            <w:vAlign w:val="bottom"/>
          </w:tcPr>
          <w:p>
            <w:pPr>
              <w:spacing w:after="0"/>
              <w:rPr>
                <w:sz w:val="18"/>
                <w:szCs w:val="18"/>
                <w:color w:val="auto"/>
              </w:rPr>
            </w:pPr>
          </w:p>
        </w:tc>
      </w:tr>
      <w:tr>
        <w:trPr>
          <w:trHeight w:val="230"/>
        </w:trPr>
        <w:tc>
          <w:tcPr>
            <w:tcW w:w="37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Farr West</w:t>
            </w:r>
          </w:p>
        </w:tc>
        <w:tc>
          <w:tcPr>
            <w:tcW w:w="140" w:type="dxa"/>
            <w:vAlign w:val="bottom"/>
          </w:tcPr>
          <w:p>
            <w:pPr>
              <w:spacing w:after="0"/>
              <w:rPr>
                <w:sz w:val="20"/>
                <w:szCs w:val="20"/>
                <w:color w:val="auto"/>
              </w:rPr>
            </w:pP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Rush Truck Centers of Virginia, Inc.</w:t>
            </w:r>
          </w:p>
        </w:tc>
        <w:tc>
          <w:tcPr>
            <w:tcW w:w="1680" w:type="dxa"/>
            <w:vAlign w:val="bottom"/>
          </w:tcPr>
          <w:p>
            <w:pPr>
              <w:ind w:left="660"/>
              <w:spacing w:after="0" w:line="201" w:lineRule="exact"/>
              <w:rPr>
                <w:sz w:val="20"/>
                <w:szCs w:val="20"/>
                <w:color w:val="auto"/>
              </w:rPr>
            </w:pPr>
            <w:r>
              <w:rPr>
                <w:rFonts w:ascii="Arial" w:cs="Arial" w:eastAsia="Arial" w:hAnsi="Arial"/>
                <w:sz w:val="18"/>
                <w:szCs w:val="18"/>
                <w:color w:val="auto"/>
              </w:rPr>
              <w:t>Delaware</w:t>
            </w:r>
          </w:p>
        </w:tc>
        <w:tc>
          <w:tcPr>
            <w:tcW w:w="5900" w:type="dxa"/>
            <w:vAlign w:val="bottom"/>
          </w:tcPr>
          <w:p>
            <w:pPr>
              <w:ind w:left="620"/>
              <w:spacing w:after="0" w:line="201" w:lineRule="exact"/>
              <w:rPr>
                <w:sz w:val="20"/>
                <w:szCs w:val="20"/>
                <w:color w:val="auto"/>
              </w:rPr>
            </w:pPr>
            <w:r>
              <w:rPr>
                <w:rFonts w:ascii="Arial" w:cs="Arial" w:eastAsia="Arial" w:hAnsi="Arial"/>
                <w:sz w:val="18"/>
                <w:szCs w:val="18"/>
                <w:color w:val="auto"/>
              </w:rPr>
              <w:t>Rush Truck Center, Richmond</w:t>
            </w:r>
          </w:p>
        </w:tc>
        <w:tc>
          <w:tcPr>
            <w:tcW w:w="140" w:type="dxa"/>
            <w:vAlign w:val="bottom"/>
          </w:tcPr>
          <w:p>
            <w:pPr>
              <w:spacing w:after="0"/>
              <w:rPr>
                <w:sz w:val="17"/>
                <w:szCs w:val="17"/>
                <w:color w:val="auto"/>
              </w:rPr>
            </w:pPr>
          </w:p>
        </w:tc>
      </w:tr>
      <w:tr>
        <w:trPr>
          <w:trHeight w:val="216"/>
        </w:trPr>
        <w:tc>
          <w:tcPr>
            <w:tcW w:w="3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620"/>
              <w:spacing w:after="0"/>
              <w:rPr>
                <w:sz w:val="20"/>
                <w:szCs w:val="20"/>
                <w:color w:val="auto"/>
              </w:rPr>
            </w:pPr>
            <w:r>
              <w:rPr>
                <w:rFonts w:ascii="Arial" w:cs="Arial" w:eastAsia="Arial" w:hAnsi="Arial"/>
                <w:sz w:val="18"/>
                <w:szCs w:val="18"/>
                <w:color w:val="auto"/>
              </w:rPr>
              <w:t>Rush Truck Center, Chester</w:t>
            </w:r>
          </w:p>
        </w:tc>
        <w:tc>
          <w:tcPr>
            <w:tcW w:w="1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900" w:type="dxa"/>
            <w:vAlign w:val="bottom"/>
          </w:tcPr>
          <w:p>
            <w:pPr>
              <w:ind w:left="620"/>
              <w:spacing w:after="0"/>
              <w:rPr>
                <w:sz w:val="20"/>
                <w:szCs w:val="20"/>
                <w:color w:val="auto"/>
              </w:rPr>
            </w:pPr>
            <w:r>
              <w:rPr>
                <w:rFonts w:ascii="Arial" w:cs="Arial" w:eastAsia="Arial" w:hAnsi="Arial"/>
                <w:sz w:val="18"/>
                <w:szCs w:val="18"/>
                <w:color w:val="auto"/>
              </w:rPr>
              <w:t>Rush Truck Center, Fredericksburg</w:t>
            </w:r>
          </w:p>
        </w:tc>
        <w:tc>
          <w:tcPr>
            <w:tcW w:w="140" w:type="dxa"/>
            <w:vAlign w:val="bottom"/>
          </w:tcPr>
          <w:p>
            <w:pPr>
              <w:spacing w:after="0"/>
              <w:rPr>
                <w:sz w:val="20"/>
                <w:szCs w:val="20"/>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Truck Leasing, Inc.</w:t>
            </w:r>
          </w:p>
        </w:tc>
        <w:tc>
          <w:tcPr>
            <w:tcW w:w="168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rPr>
              <w:t>Delaware</w:t>
            </w:r>
          </w:p>
        </w:tc>
        <w:tc>
          <w:tcPr>
            <w:tcW w:w="590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Rush Crane Systems</w:t>
            </w:r>
          </w:p>
        </w:tc>
        <w:tc>
          <w:tcPr>
            <w:tcW w:w="140" w:type="dxa"/>
            <w:vAlign w:val="bottom"/>
          </w:tcPr>
          <w:p>
            <w:pPr>
              <w:spacing w:after="0"/>
              <w:rPr>
                <w:sz w:val="17"/>
                <w:szCs w:val="17"/>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Idealease, Charlotte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Refuse Systems</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Akron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Albany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Augusta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Asheville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Boise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Champaign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Charlotte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Chicago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Cincinnati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Cleveland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Cleveland Idealease West</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Cleveland Idealease East</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Columbus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Columbus Idealease East</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Columbus Idealease West</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Dayton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Decatur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Effingham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Findlay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Hickory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Indianapolis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Indy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Lima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Macon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Norfolk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Quincy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Richmond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Salt Lake City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Springfield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St. Peters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St. Louis Idealease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Tidewater Idealease</w:t>
            </w:r>
          </w:p>
        </w:tc>
        <w:tc>
          <w:tcPr>
            <w:tcW w:w="140" w:type="dxa"/>
            <w:vAlign w:val="bottom"/>
          </w:tcPr>
          <w:p>
            <w:pPr>
              <w:spacing w:after="0"/>
              <w:rPr>
                <w:sz w:val="18"/>
                <w:szCs w:val="18"/>
                <w:color w:val="auto"/>
              </w:rPr>
            </w:pPr>
          </w:p>
        </w:tc>
      </w:tr>
      <w:tr>
        <w:trPr>
          <w:trHeight w:val="230"/>
        </w:trPr>
        <w:tc>
          <w:tcPr>
            <w:tcW w:w="37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Valdosta Idealease</w:t>
            </w:r>
          </w:p>
        </w:tc>
        <w:tc>
          <w:tcPr>
            <w:tcW w:w="140" w:type="dxa"/>
            <w:vAlign w:val="bottom"/>
          </w:tcPr>
          <w:p>
            <w:pPr>
              <w:spacing w:after="0"/>
              <w:rPr>
                <w:sz w:val="20"/>
                <w:szCs w:val="20"/>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Advance Premium Finance, Inc.</w:t>
            </w:r>
          </w:p>
        </w:tc>
        <w:tc>
          <w:tcPr>
            <w:tcW w:w="1680" w:type="dxa"/>
            <w:vAlign w:val="bottom"/>
          </w:tcPr>
          <w:p>
            <w:pPr>
              <w:ind w:left="660"/>
              <w:spacing w:after="0"/>
              <w:rPr>
                <w:sz w:val="20"/>
                <w:szCs w:val="20"/>
                <w:color w:val="auto"/>
              </w:rPr>
            </w:pPr>
            <w:r>
              <w:rPr>
                <w:rFonts w:ascii="Arial" w:cs="Arial" w:eastAsia="Arial" w:hAnsi="Arial"/>
                <w:sz w:val="18"/>
                <w:szCs w:val="18"/>
                <w:color w:val="auto"/>
              </w:rPr>
              <w:t>California</w:t>
            </w:r>
          </w:p>
        </w:tc>
        <w:tc>
          <w:tcPr>
            <w:tcW w:w="5900" w:type="dxa"/>
            <w:vAlign w:val="bottom"/>
          </w:tcPr>
          <w:p>
            <w:pPr>
              <w:ind w:left="62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AiRush, Inc.</w:t>
            </w:r>
          </w:p>
        </w:tc>
        <w:tc>
          <w:tcPr>
            <w:tcW w:w="1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Delaware</w:t>
            </w: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18"/>
                <w:szCs w:val="18"/>
                <w:color w:val="auto"/>
              </w:rPr>
            </w:pP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Associated Acceptance, Inc.</w:t>
            </w:r>
          </w:p>
        </w:tc>
        <w:tc>
          <w:tcPr>
            <w:tcW w:w="1680" w:type="dxa"/>
            <w:vAlign w:val="bottom"/>
          </w:tcPr>
          <w:p>
            <w:pPr>
              <w:ind w:left="660"/>
              <w:spacing w:after="0" w:line="201" w:lineRule="exact"/>
              <w:rPr>
                <w:sz w:val="20"/>
                <w:szCs w:val="20"/>
                <w:color w:val="auto"/>
              </w:rPr>
            </w:pPr>
            <w:r>
              <w:rPr>
                <w:rFonts w:ascii="Arial" w:cs="Arial" w:eastAsia="Arial" w:hAnsi="Arial"/>
                <w:sz w:val="18"/>
                <w:szCs w:val="18"/>
                <w:color w:val="auto"/>
              </w:rPr>
              <w:t>Texas</w:t>
            </w:r>
          </w:p>
        </w:tc>
        <w:tc>
          <w:tcPr>
            <w:tcW w:w="5900" w:type="dxa"/>
            <w:vAlign w:val="bottom"/>
          </w:tcPr>
          <w:p>
            <w:pPr>
              <w:ind w:left="620"/>
              <w:spacing w:after="0" w:line="201" w:lineRule="exact"/>
              <w:rPr>
                <w:sz w:val="20"/>
                <w:szCs w:val="20"/>
                <w:color w:val="auto"/>
              </w:rPr>
            </w:pPr>
            <w:r>
              <w:rPr>
                <w:rFonts w:ascii="Arial" w:cs="Arial" w:eastAsia="Arial" w:hAnsi="Arial"/>
                <w:sz w:val="18"/>
                <w:szCs w:val="18"/>
                <w:color w:val="auto"/>
              </w:rPr>
              <w:t>Associated Insurance Services</w:t>
            </w:r>
          </w:p>
        </w:tc>
        <w:tc>
          <w:tcPr>
            <w:tcW w:w="140" w:type="dxa"/>
            <w:vAlign w:val="bottom"/>
          </w:tcPr>
          <w:p>
            <w:pPr>
              <w:spacing w:after="0"/>
              <w:rPr>
                <w:sz w:val="17"/>
                <w:szCs w:val="17"/>
                <w:color w:val="auto"/>
              </w:rPr>
            </w:pPr>
          </w:p>
        </w:tc>
      </w:tr>
      <w:tr>
        <w:trPr>
          <w:trHeight w:val="216"/>
        </w:trPr>
        <w:tc>
          <w:tcPr>
            <w:tcW w:w="3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620"/>
              <w:spacing w:after="0"/>
              <w:rPr>
                <w:sz w:val="20"/>
                <w:szCs w:val="20"/>
                <w:color w:val="auto"/>
              </w:rPr>
            </w:pPr>
            <w:r>
              <w:rPr>
                <w:rFonts w:ascii="Arial" w:cs="Arial" w:eastAsia="Arial" w:hAnsi="Arial"/>
                <w:sz w:val="18"/>
                <w:szCs w:val="18"/>
                <w:color w:val="auto"/>
              </w:rPr>
              <w:t>Automotive Industry Insurance</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620"/>
              <w:spacing w:after="0"/>
              <w:rPr>
                <w:sz w:val="20"/>
                <w:szCs w:val="20"/>
                <w:color w:val="auto"/>
              </w:rPr>
            </w:pPr>
            <w:r>
              <w:rPr>
                <w:rFonts w:ascii="Arial" w:cs="Arial" w:eastAsia="Arial" w:hAnsi="Arial"/>
                <w:sz w:val="18"/>
                <w:szCs w:val="18"/>
                <w:color w:val="auto"/>
              </w:rPr>
              <w:t>Associated Truck Insurance Services</w:t>
            </w:r>
          </w:p>
        </w:tc>
        <w:tc>
          <w:tcPr>
            <w:tcW w:w="1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900" w:type="dxa"/>
            <w:vAlign w:val="bottom"/>
          </w:tcPr>
          <w:p>
            <w:pPr>
              <w:ind w:left="620"/>
              <w:spacing w:after="0"/>
              <w:rPr>
                <w:sz w:val="20"/>
                <w:szCs w:val="20"/>
                <w:color w:val="auto"/>
              </w:rPr>
            </w:pPr>
            <w:r>
              <w:rPr>
                <w:rFonts w:ascii="Arial" w:cs="Arial" w:eastAsia="Arial" w:hAnsi="Arial"/>
                <w:sz w:val="18"/>
                <w:szCs w:val="18"/>
                <w:color w:val="auto"/>
              </w:rPr>
              <w:t>Rush Truck Insurance Services</w:t>
            </w:r>
          </w:p>
        </w:tc>
        <w:tc>
          <w:tcPr>
            <w:tcW w:w="140" w:type="dxa"/>
            <w:vAlign w:val="bottom"/>
          </w:tcPr>
          <w:p>
            <w:pPr>
              <w:spacing w:after="0"/>
              <w:rPr>
                <w:sz w:val="20"/>
                <w:szCs w:val="20"/>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Associated Acceptance of Florida, Inc.</w:t>
            </w:r>
          </w:p>
        </w:tc>
        <w:tc>
          <w:tcPr>
            <w:tcW w:w="1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Delaware</w:t>
            </w: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Associated Acceptance of Georgia, Inc.</w:t>
            </w:r>
          </w:p>
        </w:tc>
        <w:tc>
          <w:tcPr>
            <w:tcW w:w="1680" w:type="dxa"/>
            <w:vAlign w:val="bottom"/>
          </w:tcPr>
          <w:p>
            <w:pPr>
              <w:ind w:left="660"/>
              <w:spacing w:after="0"/>
              <w:rPr>
                <w:sz w:val="20"/>
                <w:szCs w:val="20"/>
                <w:color w:val="auto"/>
              </w:rPr>
            </w:pPr>
            <w:r>
              <w:rPr>
                <w:rFonts w:ascii="Arial" w:cs="Arial" w:eastAsia="Arial" w:hAnsi="Arial"/>
                <w:sz w:val="18"/>
                <w:szCs w:val="18"/>
                <w:color w:val="auto"/>
              </w:rPr>
              <w:t>Delaware</w:t>
            </w:r>
          </w:p>
        </w:tc>
        <w:tc>
          <w:tcPr>
            <w:tcW w:w="5900" w:type="dxa"/>
            <w:vAlign w:val="bottom"/>
          </w:tcPr>
          <w:p>
            <w:pPr>
              <w:ind w:left="62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Associated Acceptance of Oklahoma, Inc.</w:t>
            </w:r>
          </w:p>
        </w:tc>
        <w:tc>
          <w:tcPr>
            <w:tcW w:w="1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Delaware</w:t>
            </w: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Commercial Fleet Technologies, Inc.</w:t>
            </w:r>
          </w:p>
        </w:tc>
        <w:tc>
          <w:tcPr>
            <w:tcW w:w="1680" w:type="dxa"/>
            <w:vAlign w:val="bottom"/>
          </w:tcPr>
          <w:p>
            <w:pPr>
              <w:ind w:left="660"/>
              <w:spacing w:after="0"/>
              <w:rPr>
                <w:sz w:val="20"/>
                <w:szCs w:val="20"/>
                <w:color w:val="auto"/>
              </w:rPr>
            </w:pPr>
            <w:r>
              <w:rPr>
                <w:rFonts w:ascii="Arial" w:cs="Arial" w:eastAsia="Arial" w:hAnsi="Arial"/>
                <w:sz w:val="18"/>
                <w:szCs w:val="18"/>
                <w:color w:val="auto"/>
              </w:rPr>
              <w:t>Delaware</w:t>
            </w:r>
          </w:p>
        </w:tc>
        <w:tc>
          <w:tcPr>
            <w:tcW w:w="5900" w:type="dxa"/>
            <w:vAlign w:val="bottom"/>
          </w:tcPr>
          <w:p>
            <w:pPr>
              <w:ind w:left="620"/>
              <w:spacing w:after="0"/>
              <w:rPr>
                <w:sz w:val="20"/>
                <w:szCs w:val="20"/>
                <w:color w:val="auto"/>
              </w:rPr>
            </w:pPr>
            <w:r>
              <w:rPr>
                <w:rFonts w:ascii="Arial" w:cs="Arial" w:eastAsia="Arial" w:hAnsi="Arial"/>
                <w:sz w:val="18"/>
                <w:szCs w:val="18"/>
                <w:color w:val="auto"/>
              </w:rPr>
              <w:t>Partsriver, Inc.</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Idealease of Chicago LLC</w:t>
            </w:r>
          </w:p>
        </w:tc>
        <w:tc>
          <w:tcPr>
            <w:tcW w:w="1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Illinois</w:t>
            </w: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International General Agency, Inc.</w:t>
            </w:r>
          </w:p>
        </w:tc>
        <w:tc>
          <w:tcPr>
            <w:tcW w:w="1680" w:type="dxa"/>
            <w:vAlign w:val="bottom"/>
          </w:tcPr>
          <w:p>
            <w:pPr>
              <w:ind w:left="660"/>
              <w:spacing w:after="0"/>
              <w:rPr>
                <w:sz w:val="20"/>
                <w:szCs w:val="20"/>
                <w:color w:val="auto"/>
              </w:rPr>
            </w:pPr>
            <w:r>
              <w:rPr>
                <w:rFonts w:ascii="Arial" w:cs="Arial" w:eastAsia="Arial" w:hAnsi="Arial"/>
                <w:sz w:val="18"/>
                <w:szCs w:val="18"/>
                <w:color w:val="auto"/>
              </w:rPr>
              <w:t>Texas</w:t>
            </w:r>
          </w:p>
        </w:tc>
        <w:tc>
          <w:tcPr>
            <w:tcW w:w="5900" w:type="dxa"/>
            <w:vAlign w:val="bottom"/>
          </w:tcPr>
          <w:p>
            <w:pPr>
              <w:ind w:left="62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Los Cuernos, Inc.</w:t>
            </w:r>
          </w:p>
        </w:tc>
        <w:tc>
          <w:tcPr>
            <w:tcW w:w="1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Delaware</w:t>
            </w: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Los Cuernos Ranch</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Natural Gas Fuel Systems, Inc.</w:t>
            </w:r>
          </w:p>
        </w:tc>
        <w:tc>
          <w:tcPr>
            <w:tcW w:w="1680" w:type="dxa"/>
            <w:vAlign w:val="bottom"/>
          </w:tcPr>
          <w:p>
            <w:pPr>
              <w:ind w:left="660"/>
              <w:spacing w:after="0"/>
              <w:rPr>
                <w:sz w:val="20"/>
                <w:szCs w:val="20"/>
                <w:color w:val="auto"/>
              </w:rPr>
            </w:pPr>
            <w:r>
              <w:rPr>
                <w:rFonts w:ascii="Arial" w:cs="Arial" w:eastAsia="Arial" w:hAnsi="Arial"/>
                <w:sz w:val="18"/>
                <w:szCs w:val="18"/>
                <w:color w:val="auto"/>
              </w:rPr>
              <w:t>Delaware</w:t>
            </w:r>
          </w:p>
        </w:tc>
        <w:tc>
          <w:tcPr>
            <w:tcW w:w="5900" w:type="dxa"/>
            <w:vAlign w:val="bottom"/>
          </w:tcPr>
          <w:p>
            <w:pPr>
              <w:ind w:left="620"/>
              <w:spacing w:after="0"/>
              <w:rPr>
                <w:sz w:val="20"/>
                <w:szCs w:val="20"/>
                <w:color w:val="auto"/>
              </w:rPr>
            </w:pPr>
            <w:r>
              <w:rPr>
                <w:rFonts w:ascii="Arial" w:cs="Arial" w:eastAsia="Arial" w:hAnsi="Arial"/>
                <w:sz w:val="18"/>
                <w:szCs w:val="18"/>
                <w:color w:val="auto"/>
              </w:rPr>
              <w:t>Momentum Fuel Technologies</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Rig Tough, Inc.</w:t>
            </w:r>
          </w:p>
        </w:tc>
        <w:tc>
          <w:tcPr>
            <w:tcW w:w="1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Delaware</w:t>
            </w: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Rush Truck Center, Bakersfield</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RTC Nevada, LLC</w:t>
            </w:r>
          </w:p>
        </w:tc>
        <w:tc>
          <w:tcPr>
            <w:tcW w:w="1680" w:type="dxa"/>
            <w:vAlign w:val="bottom"/>
          </w:tcPr>
          <w:p>
            <w:pPr>
              <w:ind w:left="660"/>
              <w:spacing w:after="0"/>
              <w:rPr>
                <w:sz w:val="20"/>
                <w:szCs w:val="20"/>
                <w:color w:val="auto"/>
              </w:rPr>
            </w:pPr>
            <w:r>
              <w:rPr>
                <w:rFonts w:ascii="Arial" w:cs="Arial" w:eastAsia="Arial" w:hAnsi="Arial"/>
                <w:sz w:val="18"/>
                <w:szCs w:val="18"/>
                <w:color w:val="auto"/>
              </w:rPr>
              <w:t>Delaware</w:t>
            </w:r>
          </w:p>
        </w:tc>
        <w:tc>
          <w:tcPr>
            <w:tcW w:w="5900" w:type="dxa"/>
            <w:vAlign w:val="bottom"/>
          </w:tcPr>
          <w:p>
            <w:pPr>
              <w:ind w:left="62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Rush Accessories Corporation</w:t>
            </w:r>
          </w:p>
        </w:tc>
        <w:tc>
          <w:tcPr>
            <w:tcW w:w="1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Delaware</w:t>
            </w:r>
          </w:p>
        </w:tc>
        <w:tc>
          <w:tcPr>
            <w:tcW w:w="5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Chrome Country</w:t>
            </w:r>
          </w:p>
        </w:tc>
        <w:tc>
          <w:tcPr>
            <w:tcW w:w="140" w:type="dxa"/>
            <w:vAlign w:val="bottom"/>
          </w:tcPr>
          <w:p>
            <w:pPr>
              <w:spacing w:after="0"/>
              <w:rPr>
                <w:sz w:val="18"/>
                <w:szCs w:val="18"/>
                <w:color w:val="auto"/>
              </w:rPr>
            </w:pPr>
          </w:p>
        </w:tc>
      </w:tr>
      <w:tr>
        <w:trPr>
          <w:trHeight w:val="459"/>
        </w:trPr>
        <w:tc>
          <w:tcPr>
            <w:tcW w:w="3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900" w:type="dxa"/>
            <w:vAlign w:val="bottom"/>
          </w:tcPr>
          <w:p>
            <w:pPr>
              <w:ind w:left="2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r>
      <w:tr>
        <w:trPr>
          <w:trHeight w:val="115"/>
        </w:trPr>
        <w:tc>
          <w:tcPr>
            <w:tcW w:w="37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5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94" w:right="239" w:bottom="1035"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Rush Administrative Services, Inc.</w:t>
            </w:r>
          </w:p>
        </w:tc>
        <w:tc>
          <w:tcPr>
            <w:tcW w:w="1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Rushco, Inc.</w:t>
            </w:r>
          </w:p>
        </w:tc>
        <w:tc>
          <w:tcPr>
            <w:tcW w:w="1520" w:type="dxa"/>
            <w:vAlign w:val="bottom"/>
          </w:tcPr>
          <w:p>
            <w:pPr>
              <w:ind w:left="360"/>
              <w:spacing w:after="0"/>
              <w:rPr>
                <w:sz w:val="20"/>
                <w:szCs w:val="20"/>
                <w:color w:val="auto"/>
              </w:rPr>
            </w:pPr>
            <w:r>
              <w:rPr>
                <w:rFonts w:ascii="Arial" w:cs="Arial" w:eastAsia="Arial" w:hAnsi="Arial"/>
                <w:sz w:val="18"/>
                <w:szCs w:val="18"/>
                <w:color w:val="auto"/>
              </w:rPr>
              <w:t>Delaware</w:t>
            </w:r>
          </w:p>
        </w:tc>
        <w:tc>
          <w:tcPr>
            <w:tcW w:w="5760" w:type="dxa"/>
            <w:vAlign w:val="bottom"/>
          </w:tcPr>
          <w:p>
            <w:pPr>
              <w:ind w:left="480"/>
              <w:spacing w:after="0"/>
              <w:rPr>
                <w:sz w:val="20"/>
                <w:szCs w:val="20"/>
                <w:color w:val="auto"/>
              </w:rPr>
            </w:pPr>
            <w:r>
              <w:rPr>
                <w:rFonts w:ascii="Arial" w:cs="Arial" w:eastAsia="Arial" w:hAnsi="Arial"/>
                <w:sz w:val="18"/>
                <w:szCs w:val="18"/>
                <w:color w:val="auto"/>
              </w:rPr>
              <w:t>None</w:t>
            </w: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Equipment Centers of Texas, Inc.</w:t>
            </w:r>
          </w:p>
        </w:tc>
        <w:tc>
          <w:tcPr>
            <w:tcW w:w="15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Delaware</w:t>
            </w:r>
          </w:p>
        </w:tc>
        <w:tc>
          <w:tcPr>
            <w:tcW w:w="576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Rush Equipment Center, Houston</w:t>
            </w:r>
          </w:p>
        </w:tc>
      </w:tr>
      <w:tr>
        <w:trPr>
          <w:trHeight w:val="230"/>
        </w:trPr>
        <w:tc>
          <w:tcPr>
            <w:tcW w:w="40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Rush Equipment Rental Center, San Antonio</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w w:val="99"/>
              </w:rPr>
              <w:t>Rush Truck Centers do Brasil Participacoes LTDA</w:t>
            </w:r>
          </w:p>
        </w:tc>
        <w:tc>
          <w:tcPr>
            <w:tcW w:w="1520" w:type="dxa"/>
            <w:vAlign w:val="bottom"/>
          </w:tcPr>
          <w:p>
            <w:pPr>
              <w:ind w:left="360"/>
              <w:spacing w:after="0"/>
              <w:rPr>
                <w:sz w:val="20"/>
                <w:szCs w:val="20"/>
                <w:color w:val="auto"/>
              </w:rPr>
            </w:pPr>
            <w:r>
              <w:rPr>
                <w:rFonts w:ascii="Arial" w:cs="Arial" w:eastAsia="Arial" w:hAnsi="Arial"/>
                <w:sz w:val="18"/>
                <w:szCs w:val="18"/>
                <w:color w:val="auto"/>
              </w:rPr>
              <w:t>Brazil</w:t>
            </w:r>
          </w:p>
        </w:tc>
        <w:tc>
          <w:tcPr>
            <w:tcW w:w="5760" w:type="dxa"/>
            <w:vAlign w:val="bottom"/>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Rush Logistics, Inc.</w:t>
            </w:r>
          </w:p>
        </w:tc>
        <w:tc>
          <w:tcPr>
            <w:tcW w:w="1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Rush Real Estate Holdings, Inc.</w:t>
            </w:r>
          </w:p>
        </w:tc>
        <w:tc>
          <w:tcPr>
            <w:tcW w:w="1520" w:type="dxa"/>
            <w:vAlign w:val="bottom"/>
          </w:tcPr>
          <w:p>
            <w:pPr>
              <w:ind w:left="360"/>
              <w:spacing w:after="0"/>
              <w:rPr>
                <w:sz w:val="20"/>
                <w:szCs w:val="20"/>
                <w:color w:val="auto"/>
              </w:rPr>
            </w:pPr>
            <w:r>
              <w:rPr>
                <w:rFonts w:ascii="Arial" w:cs="Arial" w:eastAsia="Arial" w:hAnsi="Arial"/>
                <w:sz w:val="18"/>
                <w:szCs w:val="18"/>
                <w:color w:val="auto"/>
              </w:rPr>
              <w:t>Delaware</w:t>
            </w:r>
          </w:p>
        </w:tc>
        <w:tc>
          <w:tcPr>
            <w:tcW w:w="5760" w:type="dxa"/>
            <w:vAlign w:val="bottom"/>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Rush Retail Centers, Inc.</w:t>
            </w:r>
          </w:p>
        </w:tc>
        <w:tc>
          <w:tcPr>
            <w:tcW w:w="1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Rushtex, Inc.</w:t>
            </w:r>
          </w:p>
        </w:tc>
        <w:tc>
          <w:tcPr>
            <w:tcW w:w="1520" w:type="dxa"/>
            <w:vAlign w:val="bottom"/>
          </w:tcPr>
          <w:p>
            <w:pPr>
              <w:ind w:left="360"/>
              <w:spacing w:after="0"/>
              <w:rPr>
                <w:sz w:val="20"/>
                <w:szCs w:val="20"/>
                <w:color w:val="auto"/>
              </w:rPr>
            </w:pPr>
            <w:r>
              <w:rPr>
                <w:rFonts w:ascii="Arial" w:cs="Arial" w:eastAsia="Arial" w:hAnsi="Arial"/>
                <w:sz w:val="18"/>
                <w:szCs w:val="18"/>
                <w:color w:val="auto"/>
              </w:rPr>
              <w:t>Delaware</w:t>
            </w:r>
          </w:p>
        </w:tc>
        <w:tc>
          <w:tcPr>
            <w:tcW w:w="5760" w:type="dxa"/>
            <w:vAlign w:val="bottom"/>
          </w:tcPr>
          <w:p>
            <w:pPr>
              <w:ind w:left="480"/>
              <w:spacing w:after="0"/>
              <w:rPr>
                <w:sz w:val="20"/>
                <w:szCs w:val="20"/>
                <w:color w:val="auto"/>
              </w:rPr>
            </w:pPr>
            <w:r>
              <w:rPr>
                <w:rFonts w:ascii="Arial" w:cs="Arial" w:eastAsia="Arial" w:hAnsi="Arial"/>
                <w:sz w:val="18"/>
                <w:szCs w:val="18"/>
                <w:color w:val="auto"/>
              </w:rPr>
              <w:t>None</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Truck &amp; Trailer Finance, Inc.</w:t>
            </w:r>
          </w:p>
        </w:tc>
        <w:tc>
          <w:tcPr>
            <w:tcW w:w="1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5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None</w:t>
            </w:r>
          </w:p>
        </w:tc>
      </w:tr>
    </w:tbl>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80"/>
          </w:cols>
          <w:pgMar w:left="240" w:top="599" w:right="37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Registration Statement (Form S-8 No. 333-219878) pertaining to the Rush Enterprises, Inc. Amended and Restated 2007 Long-Term Incentive Plan,</w:t>
      </w:r>
    </w:p>
    <w:p>
      <w:pPr>
        <w:spacing w:after="0" w:line="46"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333-198080) pertaining to the Rush Enterprises, Inc. 2007 Long-Term Incentive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333-170732) pertaining to the Rush Enterprises, Inc. Deferred Compensation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333-168231) pertaining to the Rush Enterprises, Inc. 2007 Long-Term Incentive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333-144821) pertaining to the Rush Enterprises, Inc. 2007 Long-Term Incentive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Registration Statement (Form S-8 No. 333-138556) pertaining to the Rush Enterprises, Inc. 2006 Non-Employee Director Stock Option Plan, and</w:t>
      </w:r>
    </w:p>
    <w:p>
      <w:pPr>
        <w:spacing w:after="0" w:line="20" w:lineRule="exact"/>
        <w:rPr>
          <w:rFonts w:ascii="Arial" w:cs="Arial" w:eastAsia="Arial" w:hAnsi="Arial"/>
          <w:sz w:val="17"/>
          <w:szCs w:val="17"/>
          <w:color w:val="auto"/>
        </w:rPr>
      </w:pPr>
    </w:p>
    <w:p>
      <w:pPr>
        <w:ind w:left="340" w:hanging="332"/>
        <w:spacing w:after="0" w:line="26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333-121355) pertaining to the Rush Enterprises, Inc. Long-Term Incentive Plan, the Rush Enterprises, Inc. 2004 Employee Stock Purchase Plan and Certain Non-Plan Options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March 1, 2018, with respect to the consolidated financial statements of Rush Enterprises, Inc. and subsidiaries and the effectiveness of internal control over financial reporting of Rush Enterprises, Inc. and subsidiaries, included in this Annual Report (Form 10-K) of Rush Enterprises, Inc. for the year ended December 31, 2017.</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M. “Rusty” Rush, certify that:</w:t>
      </w:r>
    </w:p>
    <w:p>
      <w:pPr>
        <w:spacing w:after="0" w:line="225" w:lineRule="exact"/>
        <w:rPr>
          <w:sz w:val="20"/>
          <w:szCs w:val="20"/>
          <w:color w:val="auto"/>
        </w:rPr>
      </w:pPr>
    </w:p>
    <w:p>
      <w:pPr>
        <w:ind w:left="600" w:hanging="592"/>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225" w:lineRule="exact"/>
        <w:rPr>
          <w:rFonts w:ascii="Arial" w:cs="Arial" w:eastAsia="Arial" w:hAnsi="Arial"/>
          <w:sz w:val="18"/>
          <w:szCs w:val="18"/>
          <w:color w:val="auto"/>
        </w:rPr>
      </w:pPr>
    </w:p>
    <w:p>
      <w:pPr>
        <w:ind w:firstLine="8"/>
        <w:spacing w:after="0" w:line="342" w:lineRule="auto"/>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7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05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1169"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0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6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0" w:lineRule="exact"/>
        <w:rPr>
          <w:rFonts w:ascii="Arial" w:cs="Arial" w:eastAsia="Arial" w:hAnsi="Arial"/>
          <w:sz w:val="18"/>
          <w:szCs w:val="18"/>
          <w:color w:val="auto"/>
        </w:rPr>
      </w:pPr>
    </w:p>
    <w:p>
      <w:pPr>
        <w:ind w:firstLine="656"/>
        <w:spacing w:after="0" w:line="277" w:lineRule="auto"/>
        <w:tabs>
          <w:tab w:leader="none" w:pos="1041"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1039"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280" w:type="dxa"/>
            <w:vAlign w:val="bottom"/>
          </w:tcPr>
          <w:p>
            <w:pPr>
              <w:spacing w:after="0"/>
              <w:rPr>
                <w:sz w:val="20"/>
                <w:szCs w:val="20"/>
                <w:color w:val="auto"/>
              </w:rPr>
            </w:pPr>
            <w:r>
              <w:rPr>
                <w:rFonts w:ascii="Arial" w:cs="Arial" w:eastAsia="Arial" w:hAnsi="Arial"/>
                <w:sz w:val="18"/>
                <w:szCs w:val="18"/>
                <w:color w:val="auto"/>
              </w:rPr>
              <w:t>Date: March 1, 2018</w:t>
            </w:r>
          </w:p>
        </w:tc>
        <w:tc>
          <w:tcPr>
            <w:tcW w:w="4920" w:type="dxa"/>
            <w:vAlign w:val="bottom"/>
            <w:gridSpan w:val="3"/>
          </w:tcPr>
          <w:p>
            <w:pPr>
              <w:ind w:left="1780"/>
              <w:spacing w:after="0"/>
              <w:rPr>
                <w:sz w:val="20"/>
                <w:szCs w:val="20"/>
                <w:color w:val="auto"/>
              </w:rPr>
            </w:pPr>
            <w:r>
              <w:rPr>
                <w:rFonts w:ascii="Arial" w:cs="Arial" w:eastAsia="Arial" w:hAnsi="Arial"/>
                <w:sz w:val="18"/>
                <w:szCs w:val="18"/>
                <w:color w:val="auto"/>
              </w:rPr>
              <w:t>By: /S/ W. M. “RUSTY” RUSH</w:t>
            </w:r>
          </w:p>
        </w:tc>
      </w:tr>
      <w:tr>
        <w:trPr>
          <w:trHeight w:val="237"/>
        </w:trPr>
        <w:tc>
          <w:tcPr>
            <w:tcW w:w="3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 M. “Rusty” Rush</w:t>
            </w:r>
          </w:p>
        </w:tc>
        <w:tc>
          <w:tcPr>
            <w:tcW w:w="780" w:type="dxa"/>
            <w:vAlign w:val="bottom"/>
          </w:tcPr>
          <w:p>
            <w:pPr>
              <w:spacing w:after="0"/>
              <w:rPr>
                <w:sz w:val="20"/>
                <w:szCs w:val="20"/>
                <w:color w:val="auto"/>
              </w:rPr>
            </w:pPr>
          </w:p>
        </w:tc>
      </w:tr>
      <w:tr>
        <w:trPr>
          <w:trHeight w:val="418"/>
        </w:trPr>
        <w:tc>
          <w:tcPr>
            <w:tcW w:w="3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0"/>
              </w:rPr>
              <w:t>President, Chief Executive Officer and</w:t>
            </w:r>
          </w:p>
        </w:tc>
      </w:tr>
      <w:tr>
        <w:trPr>
          <w:trHeight w:val="216"/>
        </w:trPr>
        <w:tc>
          <w:tcPr>
            <w:tcW w:w="3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600" w:hanging="59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225" w:lineRule="exact"/>
        <w:rPr>
          <w:rFonts w:ascii="Arial" w:cs="Arial" w:eastAsia="Arial" w:hAnsi="Arial"/>
          <w:sz w:val="18"/>
          <w:szCs w:val="18"/>
          <w:color w:val="auto"/>
        </w:rPr>
      </w:pPr>
    </w:p>
    <w:p>
      <w:pPr>
        <w:ind w:firstLine="8"/>
        <w:spacing w:after="0" w:line="342" w:lineRule="auto"/>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72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0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5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1169"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0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6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0" w:lineRule="exact"/>
        <w:rPr>
          <w:rFonts w:ascii="Arial" w:cs="Arial" w:eastAsia="Arial" w:hAnsi="Arial"/>
          <w:sz w:val="18"/>
          <w:szCs w:val="18"/>
          <w:color w:val="auto"/>
        </w:rPr>
      </w:pPr>
    </w:p>
    <w:p>
      <w:pPr>
        <w:ind w:firstLine="656"/>
        <w:spacing w:after="0" w:line="277" w:lineRule="auto"/>
        <w:tabs>
          <w:tab w:leader="none" w:pos="104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1039"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280" w:type="dxa"/>
            <w:vAlign w:val="bottom"/>
          </w:tcPr>
          <w:p>
            <w:pPr>
              <w:spacing w:after="0"/>
              <w:rPr>
                <w:sz w:val="20"/>
                <w:szCs w:val="20"/>
                <w:color w:val="auto"/>
              </w:rPr>
            </w:pPr>
            <w:r>
              <w:rPr>
                <w:rFonts w:ascii="Arial" w:cs="Arial" w:eastAsia="Arial" w:hAnsi="Arial"/>
                <w:sz w:val="18"/>
                <w:szCs w:val="18"/>
                <w:color w:val="auto"/>
              </w:rPr>
              <w:t>Date: March 1, 2018</w:t>
            </w:r>
          </w:p>
        </w:tc>
        <w:tc>
          <w:tcPr>
            <w:tcW w:w="5360" w:type="dxa"/>
            <w:vAlign w:val="bottom"/>
            <w:gridSpan w:val="3"/>
          </w:tcPr>
          <w:p>
            <w:pPr>
              <w:ind w:left="1780"/>
              <w:spacing w:after="0"/>
              <w:rPr>
                <w:sz w:val="20"/>
                <w:szCs w:val="20"/>
                <w:color w:val="auto"/>
              </w:rPr>
            </w:pPr>
            <w:r>
              <w:rPr>
                <w:rFonts w:ascii="Arial" w:cs="Arial" w:eastAsia="Arial" w:hAnsi="Arial"/>
                <w:sz w:val="18"/>
                <w:szCs w:val="18"/>
                <w:color w:val="auto"/>
              </w:rPr>
              <w:t>By: /S/ STEVEN L. KELLER</w:t>
            </w:r>
          </w:p>
        </w:tc>
      </w:tr>
      <w:tr>
        <w:trPr>
          <w:trHeight w:val="222"/>
        </w:trPr>
        <w:tc>
          <w:tcPr>
            <w:tcW w:w="3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60" w:type="dxa"/>
            <w:vAlign w:val="bottom"/>
          </w:tcPr>
          <w:p>
            <w:pPr>
              <w:spacing w:after="0"/>
              <w:rPr>
                <w:sz w:val="19"/>
                <w:szCs w:val="19"/>
                <w:color w:val="auto"/>
              </w:rPr>
            </w:pPr>
          </w:p>
        </w:tc>
      </w:tr>
      <w:tr>
        <w:trPr>
          <w:trHeight w:val="216"/>
        </w:trPr>
        <w:tc>
          <w:tcPr>
            <w:tcW w:w="3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(Principal Financial and Accounting Officer)</w:t>
            </w:r>
          </w:p>
        </w:tc>
      </w:tr>
    </w:tbl>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this annual report of Rush Enterprises, Inc. (the “Company”) on Form 10-K for the year ended December 31, 2017 as filed with the Securities and Exchange Commission on the date hereof (the “Report”), I, W. M. “Rusty” Rush, President, Chief Executive Officer and Chairman of the Board of the Company, certify, pursuant to 18 U.S.C. Section 1350, as adopted pursuant to Section 906 of the Sarbanes-Oxley Act of 2002, that:</w:t>
      </w:r>
    </w:p>
    <w:p>
      <w:pPr>
        <w:spacing w:after="0" w:line="147" w:lineRule="exact"/>
        <w:rPr>
          <w:sz w:val="20"/>
          <w:szCs w:val="20"/>
          <w:color w:val="auto"/>
        </w:rPr>
      </w:pPr>
    </w:p>
    <w:p>
      <w:pPr>
        <w:ind w:left="1240" w:hanging="584"/>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194" w:lineRule="exact"/>
        <w:rPr>
          <w:sz w:val="20"/>
          <w:szCs w:val="20"/>
          <w:color w:val="auto"/>
        </w:rPr>
      </w:pPr>
    </w:p>
    <w:tbl>
      <w:tblPr>
        <w:tblLayout w:type="fixed"/>
        <w:tblInd w:w="516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/S/ W. M. “RUSTY” RUSH</w:t>
            </w:r>
          </w:p>
        </w:tc>
      </w:tr>
      <w:tr>
        <w:trPr>
          <w:trHeight w:val="20"/>
        </w:trPr>
        <w:tc>
          <w:tcPr>
            <w:tcW w:w="6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22"/>
        </w:trPr>
        <w:tc>
          <w:tcPr>
            <w:tcW w:w="5140" w:type="dxa"/>
            <w:vAlign w:val="bottom"/>
            <w:gridSpan w:val="3"/>
          </w:tcPr>
          <w:p>
            <w:pPr>
              <w:spacing w:after="0"/>
              <w:rPr>
                <w:sz w:val="20"/>
                <w:szCs w:val="20"/>
                <w:color w:val="auto"/>
              </w:rPr>
            </w:pPr>
            <w:r>
              <w:rPr>
                <w:rFonts w:ascii="Arial" w:cs="Arial" w:eastAsia="Arial" w:hAnsi="Arial"/>
                <w:sz w:val="18"/>
                <w:szCs w:val="18"/>
                <w:color w:val="auto"/>
              </w:rPr>
              <w:t>Name:  W. M. “Rusty” Rush</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w w:val="91"/>
              </w:rPr>
              <w:t>President, Chief Executive Officer and Chairman of the Board</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gridSpan w:val="2"/>
          </w:tcPr>
          <w:p>
            <w:pPr>
              <w:ind w:left="40"/>
              <w:spacing w:after="0"/>
              <w:rPr>
                <w:sz w:val="20"/>
                <w:szCs w:val="20"/>
                <w:color w:val="auto"/>
              </w:rPr>
            </w:pPr>
            <w:r>
              <w:rPr>
                <w:rFonts w:ascii="Arial" w:cs="Arial" w:eastAsia="Arial" w:hAnsi="Arial"/>
                <w:sz w:val="18"/>
                <w:szCs w:val="18"/>
                <w:color w:val="auto"/>
              </w:rPr>
              <w:t>March 1, 2018</w:t>
            </w:r>
          </w:p>
        </w:tc>
      </w:tr>
    </w:tbl>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this annual report of Rush Enterprises, Inc. (the “Company”) on Form 10-K for the year ended December 31, 2017 as filed with the Securities and Exchange Commission on the date hereof (the “Report”), I, Steven L. Keller, Chief Financial Officer and Treasurer of the Company, certify, pursuant to 18 U.S.C. Section 1350, as adopted pursuant to Section 906 of the Sarbanes-Oxley Act of 2002, that:</w:t>
      </w:r>
    </w:p>
    <w:p>
      <w:pPr>
        <w:spacing w:after="0" w:line="166" w:lineRule="exact"/>
        <w:rPr>
          <w:sz w:val="20"/>
          <w:szCs w:val="20"/>
          <w:color w:val="auto"/>
        </w:rPr>
      </w:pPr>
    </w:p>
    <w:p>
      <w:pPr>
        <w:ind w:left="1240" w:hanging="584"/>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16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STEVEN L. KELLER</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Steven L. Keller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Chief Financial Officer and Treasurer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Date:  March 1, 2018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2"/>
    </w:lvl>
  </w:abstractNum>
  <w:abstractNum w:abstractNumId="12">
    <w:nsid w:val="189A769B"/>
    <w:multiLevelType w:val="hybridMultilevel"/>
    <w:lvl w:ilvl="0">
      <w:lvlJc w:val="left"/>
      <w:lvlText w:val="%1."/>
      <w:numFmt w:val="decimal"/>
      <w:start w:val="3"/>
    </w:lvl>
  </w:abstractNum>
  <w:abstractNum w:abstractNumId="13">
    <w:nsid w:val="54E49EB4"/>
    <w:multiLevelType w:val="hybridMultilevel"/>
    <w:lvl w:ilvl="0">
      <w:lvlJc w:val="left"/>
      <w:lvlText w:val="%1."/>
      <w:numFmt w:val="decimal"/>
      <w:start w:val="4"/>
    </w:lvl>
  </w:abstractNum>
  <w:abstractNum w:abstractNumId="14">
    <w:nsid w:val="71F32454"/>
    <w:multiLevelType w:val="hybridMultilevel"/>
    <w:lvl w:ilvl="0">
      <w:lvlJc w:val="left"/>
      <w:lvlText w:val="%1."/>
      <w:numFmt w:val="decimal"/>
      <w:start w:val="5"/>
    </w:lvl>
  </w:abstractNum>
  <w:abstractNum w:abstractNumId="15">
    <w:nsid w:val="2CA88611"/>
    <w:multiLevelType w:val="hybridMultilevel"/>
    <w:lvl w:ilvl="0">
      <w:lvlJc w:val="left"/>
      <w:lvlText w:val="%1."/>
      <w:numFmt w:val="decimal"/>
      <w:start w:val="7"/>
    </w:lvl>
  </w:abstractNum>
  <w:abstractNum w:abstractNumId="16">
    <w:nsid w:val="836C40E"/>
    <w:multiLevelType w:val="hybridMultilevel"/>
    <w:lvl w:ilvl="0">
      <w:lvlJc w:val="left"/>
      <w:lvlText w:val="%1."/>
      <w:numFmt w:val="decimal"/>
      <w:start w:val="9"/>
    </w:lvl>
  </w:abstractNum>
  <w:abstractNum w:abstractNumId="17">
    <w:nsid w:val="2901D82"/>
    <w:multiLevelType w:val="hybridMultilevel"/>
    <w:lvl w:ilvl="0">
      <w:lvlJc w:val="left"/>
      <w:lvlText w:val="%1."/>
      <w:numFmt w:val="decimal"/>
      <w:start w:val="10"/>
    </w:lvl>
  </w:abstractNum>
  <w:abstractNum w:abstractNumId="18">
    <w:nsid w:val="3A95F874"/>
    <w:multiLevelType w:val="hybridMultilevel"/>
    <w:lvl w:ilvl="0">
      <w:lvlJc w:val="left"/>
      <w:lvlText w:val="%1."/>
      <w:numFmt w:val="decimal"/>
      <w:start w:val="12"/>
    </w:lvl>
  </w:abstractNum>
  <w:abstractNum w:abstractNumId="19">
    <w:nsid w:val="8138641"/>
    <w:multiLevelType w:val="hybridMultilevel"/>
    <w:lvl w:ilvl="0">
      <w:lvlJc w:val="left"/>
      <w:lvlText w:val="%1."/>
      <w:numFmt w:val="decimal"/>
      <w:start w:val="13"/>
    </w:lvl>
  </w:abstractNum>
  <w:abstractNum w:abstractNumId="20">
    <w:nsid w:val="1E7FF521"/>
    <w:multiLevelType w:val="hybridMultilevel"/>
    <w:lvl w:ilvl="0">
      <w:lvlJc w:val="left"/>
      <w:lvlText w:val="%1."/>
      <w:numFmt w:val="decimal"/>
      <w:start w:val="14"/>
    </w:lvl>
  </w:abstractNum>
  <w:abstractNum w:abstractNumId="21">
    <w:nsid w:val="7C3DBD3D"/>
    <w:multiLevelType w:val="hybridMultilevel"/>
    <w:lvl w:ilvl="0">
      <w:lvlJc w:val="left"/>
      <w:lvlText w:val="%1."/>
      <w:numFmt w:val="decimal"/>
      <w:start w:val="15"/>
    </w:lvl>
  </w:abstractNum>
  <w:abstractNum w:abstractNumId="22">
    <w:nsid w:val="737B8DDC"/>
    <w:multiLevelType w:val="hybridMultilevel"/>
    <w:lvl w:ilvl="0">
      <w:lvlJc w:val="left"/>
      <w:lvlText w:val="%1."/>
      <w:numFmt w:val="decimal"/>
      <w:start w:val="16"/>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7"/>
    </w:lvl>
  </w:abstractNum>
  <w:abstractNum w:abstractNumId="26">
    <w:nsid w:val="3006C83E"/>
    <w:multiLevelType w:val="hybridMultilevel"/>
    <w:lvl w:ilvl="0">
      <w:lvlJc w:val="left"/>
      <w:lvlText w:val="%1."/>
      <w:numFmt w:val="decimal"/>
      <w:start w:val="18"/>
    </w:lvl>
  </w:abstractNum>
  <w:abstractNum w:abstractNumId="27">
    <w:nsid w:val="614FD4A1"/>
    <w:multiLevelType w:val="hybridMultilevel"/>
    <w:lvl w:ilvl="0">
      <w:lvlJc w:val="left"/>
      <w:lvlText w:val="%1."/>
      <w:numFmt w:val="decimal"/>
      <w:start w:val="19"/>
    </w:lvl>
  </w:abstractNum>
  <w:abstractNum w:abstractNumId="28">
    <w:nsid w:val="419AC241"/>
    <w:multiLevelType w:val="hybridMultilevel"/>
    <w:lvl w:ilvl="0">
      <w:lvlJc w:val="left"/>
      <w:lvlText w:val="%1."/>
      <w:numFmt w:val="decimal"/>
      <w:start w:val="20"/>
    </w:lvl>
  </w:abstractNum>
  <w:abstractNum w:abstractNumId="29">
    <w:nsid w:val="5577F8E1"/>
    <w:multiLevelType w:val="hybridMultilevel"/>
    <w:lvl w:ilvl="0">
      <w:lvlJc w:val="left"/>
      <w:lvlText w:val="%1."/>
      <w:numFmt w:val="decimal"/>
      <w:start w:val="2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82" Type="http://schemas.openxmlformats.org/officeDocument/2006/relationships/hyperlink" Target="http://www.sec.gov/Archives/edgar/data/1012019/000110465908051789/a08-18770_1ex3d1.htm" TargetMode="External"/><Relationship Id="rId83" Type="http://schemas.openxmlformats.org/officeDocument/2006/relationships/hyperlink" Target="http://www.sec.gov/Archives/edgar/data/1012019/000143774913006455/rusha20130517_8kex3-1.htm" TargetMode="External"/><Relationship Id="rId84" Type="http://schemas.openxmlformats.org/officeDocument/2006/relationships/hyperlink" Target="http://www.sec.gov/Archives/edgar/data/1012019/0000950129-96-000812-index.html" TargetMode="External"/><Relationship Id="rId85" Type="http://schemas.openxmlformats.org/officeDocument/2006/relationships/hyperlink" Target="http://www.sec.gov/Archives/edgar/data/1012019/000091205702026743/a2083861zex-4_1.htm" TargetMode="External"/><Relationship Id="rId86" Type="http://schemas.openxmlformats.org/officeDocument/2006/relationships/hyperlink" Target="http://www.sec.gov/Archives/edgar/data/1012019/000143774912013051/ex10-2.htm" TargetMode="External"/><Relationship Id="rId87" Type="http://schemas.openxmlformats.org/officeDocument/2006/relationships/hyperlink" Target="http://www.sec.gov/Archives/edgar/data/1012019/000143774912013051/ex10-3.htm" TargetMode="External"/><Relationship Id="rId88" Type="http://schemas.openxmlformats.org/officeDocument/2006/relationships/hyperlink" Target="http://www.sec.gov/Archives/edgar/data/1012019/000143774917003534/ex10-5.htm" TargetMode="External"/><Relationship Id="rId89" Type="http://schemas.openxmlformats.org/officeDocument/2006/relationships/hyperlink" Target="http://www.sec.gov/Archives/edgar/data/1012019/000095012311024520/c13928exv10w10.htm" TargetMode="External"/><Relationship Id="rId90" Type="http://schemas.openxmlformats.org/officeDocument/2006/relationships/hyperlink" Target="http://www.sec.gov/Archives/edgar/data/1012019/000110465906073551/a06-23617_2ex4d4.htm" TargetMode="External"/><Relationship Id="rId91" Type="http://schemas.openxmlformats.org/officeDocument/2006/relationships/hyperlink" Target="http://www.sec.gov/Archives/edgar/data/1012019/000143774912008036/ex10-1.htm" TargetMode="External"/><Relationship Id="rId92" Type="http://schemas.openxmlformats.org/officeDocument/2006/relationships/hyperlink" Target="http://www.sec.gov/Archives/edgar/data/1012019/000143774917009809/ex10-1.htm" TargetMode="External"/><Relationship Id="rId93" Type="http://schemas.openxmlformats.org/officeDocument/2006/relationships/hyperlink" Target="http://www.sec.gov/Archives/edgar/data/1012019/000119312512114188/d315042dex101.htm" TargetMode="External"/><Relationship Id="rId94" Type="http://schemas.openxmlformats.org/officeDocument/2006/relationships/hyperlink" Target="http://www.sec.gov/Archives/edgar/data/1012019/000110465907055737/a07-20147_1ex4d4.htm" TargetMode="External"/><Relationship Id="rId95" Type="http://schemas.openxmlformats.org/officeDocument/2006/relationships/hyperlink" Target="http://www.sec.gov/Archives/edgar/data/1012019/000095012310104889/c08447exv10w1.htm" TargetMode="External"/><Relationship Id="rId96" Type="http://schemas.openxmlformats.org/officeDocument/2006/relationships/hyperlink" Target="http://www.sec.gov/Archives/edgar/data/1012019/000143774915000385/ex10-1.htm" TargetMode="External"/><Relationship Id="rId97" Type="http://schemas.openxmlformats.org/officeDocument/2006/relationships/hyperlink" Target="http://www.sec.gov/Archives/edgar/data/1012019/000110465908047652/a08-20031_1ex10d1.htm" TargetMode="External"/><Relationship Id="rId98" Type="http://schemas.openxmlformats.org/officeDocument/2006/relationships/hyperlink" Target="http://www.sec.gov/Archives/edgar/data/1012019/000095013400002832/0000950134-00-002832.txt" TargetMode="External"/><Relationship Id="rId99" Type="http://schemas.openxmlformats.org/officeDocument/2006/relationships/hyperlink" Target="http://www.sec.gov/Archives/edgar/data/1012019/000143774912013051/ex10-1.htm" TargetMode="External"/><Relationship Id="rId100" Type="http://schemas.openxmlformats.org/officeDocument/2006/relationships/hyperlink" Target="http://www.sec.gov/Archives/edgar/data/1012019/000095012311001052/c10658exv10w2.htm" TargetMode="External"/><Relationship Id="rId101" Type="http://schemas.openxmlformats.org/officeDocument/2006/relationships/hyperlink" Target="http://www.sec.gov/Archives/edgar/data/1012019/000143774913006455/rusha20130517_8kex10-1.htm" TargetMode="External"/><Relationship Id="rId102" Type="http://schemas.openxmlformats.org/officeDocument/2006/relationships/hyperlink" Target="http://www.sec.gov/Archives/edgar/data/1012019/000143774917005336/ex10-1.htm" TargetMode="External"/><Relationship Id="rId103" Type="http://schemas.openxmlformats.org/officeDocument/2006/relationships/hyperlink" Target="http://www.sec.gov/Archives/edgar/data/1012019/000143774917005336/ex10-2.htm" TargetMode="External"/><Relationship Id="rId104" Type="http://schemas.openxmlformats.org/officeDocument/2006/relationships/hyperlink" Target="http://www.sec.gov/Archives/edgar/data/1012019/000143774917005336/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2019-12-29T01:00:32Z</dcterms:created>
  <dcterms:modified xsi:type="dcterms:W3CDTF">2019-12-29T01:00:32Z</dcterms:modified>
</cp:coreProperties>
</file>