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1900" w:hanging="2432"/>
        <w:spacing w:after="0" w:line="493"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 to 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244" w:gutter="0" w:footer="0" w:header="0"/>
        </w:sectPr>
      </w:pPr>
    </w:p>
    <w:p>
      <w:pPr>
        <w:spacing w:after="0" w:line="20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472" w:right="339" w:bottom="244"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472" w:right="339" w:bottom="244"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620"/>
        <w:spacing w:after="0" w:line="207" w:lineRule="exact"/>
        <w:tabs>
          <w:tab w:leader="none" w:pos="68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5620"/>
        <w:spacing w:after="0" w:line="207" w:lineRule="exact"/>
        <w:tabs>
          <w:tab w:leader="none" w:pos="68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340"/>
        <w:spacing w:after="0" w:line="207" w:lineRule="exact"/>
        <w:tabs>
          <w:tab w:leader="none" w:pos="2840" w:val="left"/>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8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58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03"/>
        </w:trPr>
        <w:tc>
          <w:tcPr>
            <w:tcW w:w="8340" w:type="dxa"/>
            <w:vAlign w:val="bottom"/>
          </w:tcPr>
          <w:p>
            <w:pPr>
              <w:ind w:left="72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July 31, 2025.</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Number of Shares</w:t>
            </w:r>
          </w:p>
        </w:tc>
      </w:tr>
      <w:tr>
        <w:trPr>
          <w:trHeight w:val="194"/>
        </w:trPr>
        <w:tc>
          <w:tcPr>
            <w:tcW w:w="1460" w:type="dxa"/>
            <w:vAlign w:val="bottom"/>
          </w:tcPr>
          <w:p>
            <w:pPr>
              <w:spacing w:after="0"/>
              <w:rPr>
                <w:sz w:val="16"/>
                <w:szCs w:val="16"/>
                <w:color w:val="auto"/>
              </w:rPr>
            </w:pPr>
          </w:p>
        </w:tc>
        <w:tc>
          <w:tcPr>
            <w:tcW w:w="3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Title of Class</w:t>
            </w:r>
          </w:p>
        </w:tc>
        <w:tc>
          <w:tcPr>
            <w:tcW w:w="2140" w:type="dxa"/>
            <w:vAlign w:val="bottom"/>
          </w:tcPr>
          <w:p>
            <w:pPr>
              <w:spacing w:after="0"/>
              <w:rPr>
                <w:sz w:val="16"/>
                <w:szCs w:val="16"/>
                <w:color w:val="auto"/>
              </w:rPr>
            </w:pPr>
          </w:p>
        </w:tc>
        <w:tc>
          <w:tcPr>
            <w:tcW w:w="4240" w:type="dxa"/>
            <w:vAlign w:val="bottom"/>
            <w:gridSpan w:val="3"/>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r>
      <w:tr>
        <w:trPr>
          <w:trHeight w:val="20"/>
        </w:trPr>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48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2140" w:type="dxa"/>
            <w:vAlign w:val="bottom"/>
          </w:tcPr>
          <w:p>
            <w:pPr>
              <w:spacing w:after="0"/>
              <w:rPr>
                <w:sz w:val="18"/>
                <w:szCs w:val="18"/>
                <w:color w:val="auto"/>
              </w:rPr>
            </w:pPr>
          </w:p>
        </w:tc>
        <w:tc>
          <w:tcPr>
            <w:tcW w:w="210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rPr>
              <w:t>61,244,699</w:t>
            </w:r>
          </w:p>
        </w:tc>
        <w:tc>
          <w:tcPr>
            <w:tcW w:w="2140" w:type="dxa"/>
            <w:vAlign w:val="bottom"/>
          </w:tcPr>
          <w:p>
            <w:pPr>
              <w:spacing w:after="0"/>
              <w:rPr>
                <w:sz w:val="18"/>
                <w:szCs w:val="18"/>
                <w:color w:val="auto"/>
              </w:rPr>
            </w:pPr>
          </w:p>
        </w:tc>
      </w:tr>
      <w:tr>
        <w:trPr>
          <w:trHeight w:val="234"/>
        </w:trPr>
        <w:tc>
          <w:tcPr>
            <w:tcW w:w="48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2140" w:type="dxa"/>
            <w:vAlign w:val="bottom"/>
          </w:tcPr>
          <w:p>
            <w:pPr>
              <w:spacing w:after="0"/>
              <w:rPr>
                <w:sz w:val="20"/>
                <w:szCs w:val="20"/>
                <w:color w:val="auto"/>
              </w:rPr>
            </w:pPr>
          </w:p>
        </w:tc>
        <w:tc>
          <w:tcPr>
            <w:tcW w:w="210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rPr>
              <w:t>16,614,867</w:t>
            </w:r>
          </w:p>
        </w:tc>
        <w:tc>
          <w:tcPr>
            <w:tcW w:w="2140" w:type="dxa"/>
            <w:vAlign w:val="bottom"/>
          </w:tcPr>
          <w:p>
            <w:pPr>
              <w:spacing w:after="0"/>
              <w:rPr>
                <w:sz w:val="20"/>
                <w:szCs w:val="20"/>
                <w:color w:val="auto"/>
              </w:rPr>
            </w:pPr>
          </w:p>
        </w:tc>
      </w:tr>
      <w:tr>
        <w:trPr>
          <w:trHeight w:val="432"/>
        </w:trPr>
        <w:tc>
          <w:tcPr>
            <w:tcW w:w="48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3"/>
        </w:trPr>
        <w:tc>
          <w:tcPr>
            <w:tcW w:w="1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r>
      <w:tr>
        <w:trPr>
          <w:trHeight w:val="209"/>
        </w:trPr>
        <w:tc>
          <w:tcPr>
            <w:tcW w:w="1460" w:type="dxa"/>
            <w:vAlign w:val="bottom"/>
            <w:tcBorders>
              <w:left w:val="single" w:sz="8" w:color="auto"/>
              <w:bottom w:val="single" w:sz="8" w:color="auto"/>
            </w:tcBorders>
          </w:tcPr>
          <w:p>
            <w:pPr>
              <w:spacing w:after="0"/>
              <w:rPr>
                <w:sz w:val="18"/>
                <w:szCs w:val="18"/>
                <w:color w:val="auto"/>
              </w:rPr>
            </w:pPr>
          </w:p>
        </w:tc>
        <w:tc>
          <w:tcPr>
            <w:tcW w:w="2840" w:type="dxa"/>
            <w:vAlign w:val="bottom"/>
            <w:tcBorders>
              <w:bottom w:val="single" w:sz="8" w:color="auto"/>
              <w:right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Title of each class</w:t>
            </w:r>
          </w:p>
        </w:tc>
        <w:tc>
          <w:tcPr>
            <w:tcW w:w="58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ind w:right="53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right w:val="single" w:sz="8" w:color="auto"/>
            </w:tcBorders>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74"/>
        </w:trPr>
        <w:tc>
          <w:tcPr>
            <w:tcW w:w="4300" w:type="dxa"/>
            <w:vAlign w:val="bottom"/>
            <w:tcBorders>
              <w:left w:val="single" w:sz="8" w:color="auto"/>
              <w:right w:val="single" w:sz="8" w:color="auto"/>
            </w:tcBorders>
            <w:gridSpan w:val="3"/>
          </w:tcPr>
          <w:p>
            <w:pPr>
              <w:ind w:left="74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580" w:type="dxa"/>
            <w:vAlign w:val="bottom"/>
          </w:tcPr>
          <w:p>
            <w:pPr>
              <w:spacing w:after="0"/>
              <w:rPr>
                <w:sz w:val="15"/>
                <w:szCs w:val="15"/>
                <w:color w:val="auto"/>
              </w:rPr>
            </w:pPr>
          </w:p>
        </w:tc>
        <w:tc>
          <w:tcPr>
            <w:tcW w:w="2140" w:type="dxa"/>
            <w:vAlign w:val="bottom"/>
            <w:tcBorders>
              <w:right w:val="single" w:sz="8" w:color="auto"/>
            </w:tcBorders>
          </w:tcPr>
          <w:p>
            <w:pPr>
              <w:jc w:val="center"/>
              <w:ind w:right="51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4240" w:type="dxa"/>
            <w:vAlign w:val="bottom"/>
            <w:tcBorders>
              <w:right w:val="single" w:sz="8" w:color="auto"/>
            </w:tcBorders>
            <w:gridSpan w:val="3"/>
          </w:tcPr>
          <w:p>
            <w:pPr>
              <w:jc w:val="center"/>
              <w:ind w:right="60"/>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300" w:type="dxa"/>
            <w:vAlign w:val="bottom"/>
            <w:tcBorders>
              <w:left w:val="single" w:sz="8" w:color="auto"/>
              <w:bottom w:val="single" w:sz="8" w:color="auto"/>
              <w:right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58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RUSHB</w:t>
            </w:r>
          </w:p>
        </w:tc>
        <w:tc>
          <w:tcPr>
            <w:tcW w:w="424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568"/>
        </w:trPr>
        <w:tc>
          <w:tcPr>
            <w:tcW w:w="1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244"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9"/>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0" w:type="dxa"/>
            <w:vAlign w:val="bottom"/>
            <w:gridSpan w:val="8"/>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3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480" w:type="dxa"/>
            <w:vAlign w:val="bottom"/>
            <w:gridSpan w:val="10"/>
          </w:tcPr>
          <w:p>
            <w:pPr>
              <w:spacing w:after="0"/>
              <w:rPr>
                <w:sz w:val="24"/>
                <w:szCs w:val="24"/>
                <w:color w:val="auto"/>
              </w:rPr>
            </w:pPr>
          </w:p>
        </w:tc>
        <w:tc>
          <w:tcPr>
            <w:tcW w:w="6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3080" w:type="dxa"/>
            <w:vAlign w:val="bottom"/>
            <w:tcBorders>
              <w:top w:val="single" w:sz="8" w:color="0000EE"/>
            </w:tcBorders>
            <w:gridSpan w:val="9"/>
          </w:tcPr>
          <w:p>
            <w:pPr>
              <w:ind w:left="5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w:t>
            </w:r>
          </w:p>
        </w:tc>
        <w:tc>
          <w:tcPr>
            <w:tcW w:w="748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Balance Sheets - June 30, 2025 (unaudited) and December 31, 2024</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3</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 For the Three and Six Months Ended June 30, 2025 and 2024 (unaudited)</w:t>
            </w:r>
          </w:p>
        </w:tc>
        <w:tc>
          <w:tcPr>
            <w:tcW w:w="1400" w:type="dxa"/>
            <w:vAlign w:val="bottom"/>
            <w:gridSpan w:val="3"/>
          </w:tcPr>
          <w:p>
            <w:pPr>
              <w:spacing w:after="0"/>
              <w:rPr>
                <w:sz w:val="24"/>
                <w:szCs w:val="24"/>
                <w:color w:val="auto"/>
              </w:rPr>
            </w:pPr>
          </w:p>
        </w:tc>
        <w:tc>
          <w:tcPr>
            <w:tcW w:w="4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9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For the Three and Six Months Ended June 30, 2025 and 2024 (unaudited)</w:t>
            </w:r>
          </w:p>
        </w:tc>
        <w:tc>
          <w:tcPr>
            <w:tcW w:w="22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90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 For the Three and Six Months Ended June 30, 2025 and 2024 (unaudited)</w:t>
            </w:r>
          </w:p>
        </w:tc>
        <w:tc>
          <w:tcPr>
            <w:tcW w:w="40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75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 For the Six Months Ended June 30, 2025 and 2024 (unaudited)</w:t>
            </w:r>
          </w:p>
        </w:tc>
        <w:tc>
          <w:tcPr>
            <w:tcW w:w="1860" w:type="dxa"/>
            <w:vAlign w:val="bottom"/>
            <w:gridSpan w:val="4"/>
          </w:tcPr>
          <w:p>
            <w:pPr>
              <w:spacing w:after="0"/>
              <w:rPr>
                <w:sz w:val="24"/>
                <w:szCs w:val="24"/>
                <w:color w:val="auto"/>
              </w:rPr>
            </w:pPr>
          </w:p>
        </w:tc>
        <w:tc>
          <w:tcPr>
            <w:tcW w:w="4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15</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28</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80" w:type="dxa"/>
            <w:vAlign w:val="bottom"/>
            <w:tcBorders>
              <w:left w:val="single" w:sz="8" w:color="0000EE"/>
            </w:tcBorders>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28</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78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Legal Proceedings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29</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w:t>
            </w:r>
            <w:r>
              <w:rPr>
                <w:rFonts w:ascii="Times New Roman" w:cs="Times New Roman" w:eastAsia="Times New Roman" w:hAnsi="Times New Roman"/>
                <w:sz w:val="18"/>
                <w:szCs w:val="18"/>
                <w:color w:val="0000EE"/>
              </w:rPr>
              <w:t>Risk Factors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29</w:t>
            </w:r>
          </w:p>
        </w:tc>
        <w:tc>
          <w:tcPr>
            <w:tcW w:w="100" w:type="dxa"/>
            <w:vAlign w:val="bottom"/>
          </w:tcPr>
          <w:p>
            <w:pPr>
              <w:spacing w:after="0"/>
              <w:rPr>
                <w:sz w:val="24"/>
                <w:szCs w:val="24"/>
                <w:color w:val="auto"/>
              </w:rPr>
            </w:pPr>
          </w:p>
        </w:tc>
      </w:tr>
      <w:tr>
        <w:trPr>
          <w:trHeight w:val="237"/>
        </w:trPr>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1A.</w:t>
            </w:r>
          </w:p>
        </w:tc>
        <w:tc>
          <w:tcPr>
            <w:tcW w:w="880" w:type="dxa"/>
            <w:vAlign w:val="bottom"/>
            <w:tcBorders>
              <w:top w:val="single" w:sz="8" w:color="0000EE"/>
            </w:tcBorders>
            <w:gridSpan w:val="3"/>
          </w:tcPr>
          <w:p>
            <w:pPr>
              <w:spacing w:after="0"/>
              <w:rPr>
                <w:sz w:val="20"/>
                <w:szCs w:val="20"/>
                <w:color w:val="auto"/>
              </w:rPr>
            </w:pPr>
          </w:p>
        </w:tc>
        <w:tc>
          <w:tcPr>
            <w:tcW w:w="8520" w:type="dxa"/>
            <w:vAlign w:val="bottom"/>
            <w:gridSpan w:val="15"/>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29</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29</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30</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EE"/>
              </w:rPr>
              <w:t>Other Information</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30</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ind w:left="5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EE"/>
              </w:rPr>
              <w:t>Exhibits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30</w:t>
            </w:r>
          </w:p>
        </w:tc>
        <w:tc>
          <w:tcPr>
            <w:tcW w:w="10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20" w:type="dxa"/>
            <w:vAlign w:val="bottom"/>
            <w:gridSpan w:val="1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EE"/>
              </w:rPr>
              <w:t>31</w:t>
            </w:r>
          </w:p>
        </w:tc>
        <w:tc>
          <w:tcPr>
            <w:tcW w:w="100" w:type="dxa"/>
            <w:vAlign w:val="bottom"/>
          </w:tcPr>
          <w:p>
            <w:pPr>
              <w:spacing w:after="0"/>
              <w:rPr>
                <w:sz w:val="24"/>
                <w:szCs w:val="24"/>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5860" w:type="dxa"/>
            <w:vAlign w:val="bottom"/>
            <w:gridSpan w:val="12"/>
          </w:tcPr>
          <w:p>
            <w:pPr>
              <w:jc w:val="center"/>
              <w:ind w:left="2970"/>
              <w:spacing w:after="0"/>
              <w:rPr>
                <w:sz w:val="20"/>
                <w:szCs w:val="20"/>
                <w:color w:val="auto"/>
              </w:rPr>
            </w:pPr>
            <w:r>
              <w:rPr>
                <w:rFonts w:ascii="Times New Roman" w:cs="Times New Roman" w:eastAsia="Times New Roman" w:hAnsi="Times New Roman"/>
                <w:sz w:val="18"/>
                <w:szCs w:val="18"/>
                <w:color w:val="auto"/>
                <w:w w:val="88"/>
              </w:rPr>
              <w:t>2</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3"/>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300" w:type="dxa"/>
            <w:vAlign w:val="bottom"/>
            <w:gridSpan w:val="5"/>
          </w:tcPr>
          <w:p>
            <w:pPr>
              <w:jc w:val="center"/>
              <w:ind w:right="460"/>
              <w:spacing w:after="0" w:line="194" w:lineRule="exact"/>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Shares)</w:t>
            </w:r>
          </w:p>
        </w:tc>
        <w:tc>
          <w:tcPr>
            <w:tcW w:w="90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211,106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228,131</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310,469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345,346</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 from affiliate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1,842,311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1,787,744</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2,395,703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2,389,715</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1,675,025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1,615,635</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111,408</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441,967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427,493</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73,296</w:t>
            </w:r>
          </w:p>
        </w:tc>
        <w:tc>
          <w:tcPr>
            <w:tcW w:w="100" w:type="dxa"/>
            <w:vAlign w:val="bottom"/>
          </w:tcPr>
          <w:p>
            <w:pPr>
              <w:spacing w:after="0"/>
              <w:rPr>
                <w:sz w:val="18"/>
                <w:szCs w:val="18"/>
                <w:color w:val="auto"/>
              </w:rPr>
            </w:pPr>
          </w:p>
        </w:tc>
      </w:tr>
      <w:tr>
        <w:trPr>
          <w:trHeight w:val="24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4,715,774</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4,617,547</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1,088,779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1,081,199</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15,866</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297,425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244,018</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109,751</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1,718,449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1,650,119</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412,845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408,440</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92,235</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97,874</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28,060</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179,779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178,916</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2025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authorized; 61,123,036 Class A shares and 16,614,652 Class B shares outstanding in 2025;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62,604,986 Class A shares and 16,662,633 Class B shares outstanding in 2024</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607,783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587,639</w:t>
            </w: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3,243,834 Class A shares and 2,156,419 Class B shares in 2025; and 1,387,013</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Class A shares and 1,783,806 Class B shares in 2024</w:t>
            </w:r>
          </w:p>
        </w:tc>
        <w:tc>
          <w:tcPr>
            <w:tcW w:w="200" w:type="dxa"/>
            <w:vAlign w:val="bottom"/>
          </w:tcPr>
          <w:p>
            <w:pPr>
              <w:spacing w:after="0"/>
              <w:rPr>
                <w:sz w:val="20"/>
                <w:szCs w:val="20"/>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(253,317)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(136,235)</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1,802,812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1,698,614</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(9,293)</w:t>
            </w:r>
          </w:p>
        </w:tc>
      </w:tr>
      <w:tr>
        <w:trPr>
          <w:trHeight w:val="209"/>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2,141,549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2,175,031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4,715,774</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4,617,547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94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8"/>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INCOME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1,191,504</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1,300,308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2,322,274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2,423,627</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636,258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627,431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1,255,326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1,276,627</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93,124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175,567</w:t>
            </w: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11,331</w:t>
            </w:r>
          </w:p>
        </w:tc>
      </w:tr>
      <w:tr>
        <w:trPr>
          <w:trHeight w:val="230"/>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11,875</w:t>
            </w:r>
          </w:p>
        </w:tc>
      </w:tr>
      <w:tr>
        <w:trPr>
          <w:trHeight w:val="209"/>
        </w:trPr>
        <w:tc>
          <w:tcPr>
            <w:tcW w:w="402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1,930,707</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3,781,537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1,087,644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1,179,819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2,118,177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2,185,919</w:t>
            </w:r>
          </w:p>
        </w:tc>
      </w:tr>
      <w:tr>
        <w:trPr>
          <w:trHeight w:val="216"/>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397,011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392,133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794,754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804,387</w:t>
            </w:r>
          </w:p>
        </w:tc>
      </w:tr>
      <w:tr>
        <w:trPr>
          <w:trHeight w:val="229"/>
        </w:trPr>
        <w:tc>
          <w:tcPr>
            <w:tcW w:w="40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66,381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62,687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131,175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126,457</w:t>
            </w:r>
          </w:p>
        </w:tc>
      </w:tr>
      <w:tr>
        <w:trPr>
          <w:trHeight w:val="209"/>
        </w:trPr>
        <w:tc>
          <w:tcPr>
            <w:tcW w:w="402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19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1,551,036</w:t>
            </w:r>
          </w:p>
        </w:tc>
        <w:tc>
          <w:tcPr>
            <w:tcW w:w="2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1,634,639</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3,044,106</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3,116,763</w:t>
            </w:r>
          </w:p>
        </w:tc>
        <w:tc>
          <w:tcPr>
            <w:tcW w:w="100" w:type="dxa"/>
            <w:vAlign w:val="bottom"/>
            <w:tcBorders>
              <w:bottom w:val="single" w:sz="8" w:color="CCEEFF"/>
            </w:tcBorders>
          </w:tcPr>
          <w:p>
            <w:pPr>
              <w:spacing w:after="0"/>
              <w:rPr>
                <w:sz w:val="18"/>
                <w:szCs w:val="18"/>
                <w:color w:val="auto"/>
              </w:rPr>
            </w:pPr>
          </w:p>
        </w:tc>
      </w:tr>
      <w:tr>
        <w:trPr>
          <w:trHeight w:val="21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379,671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782,264</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251,981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500,784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515,033</w:t>
            </w: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32,242</w:t>
            </w:r>
          </w:p>
        </w:tc>
      </w:tr>
      <w:tr>
        <w:trPr>
          <w:trHeight w:val="23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09"/>
        </w:trPr>
        <w:tc>
          <w:tcPr>
            <w:tcW w:w="4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110,206</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12,726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25,589</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37,437</w:t>
            </w:r>
          </w:p>
        </w:tc>
      </w:tr>
      <w:tr>
        <w:trPr>
          <w:trHeight w:val="210"/>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97,108</w:t>
            </w: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175,674</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197,875</w:t>
            </w:r>
          </w:p>
        </w:tc>
        <w:tc>
          <w:tcPr>
            <w:tcW w:w="100" w:type="dxa"/>
            <w:vAlign w:val="bottom"/>
          </w:tcPr>
          <w:p>
            <w:pPr>
              <w:spacing w:after="0"/>
              <w:rPr>
                <w:sz w:val="18"/>
                <w:szCs w:val="18"/>
                <w:color w:val="auto"/>
              </w:rPr>
            </w:pPr>
          </w:p>
        </w:tc>
      </w:tr>
      <w:tr>
        <w:trPr>
          <w:trHeight w:val="23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42,068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47,603</w:t>
            </w:r>
          </w:p>
        </w:tc>
      </w:tr>
      <w:tr>
        <w:trPr>
          <w:trHeight w:val="209"/>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133,606</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150,272</w:t>
            </w:r>
          </w:p>
        </w:tc>
        <w:tc>
          <w:tcPr>
            <w:tcW w:w="100" w:type="dxa"/>
            <w:vAlign w:val="bottom"/>
          </w:tcPr>
          <w:p>
            <w:pPr>
              <w:spacing w:after="0"/>
              <w:rPr>
                <w:sz w:val="18"/>
                <w:szCs w:val="18"/>
                <w:color w:val="auto"/>
              </w:rPr>
            </w:pPr>
          </w:p>
        </w:tc>
      </w:tr>
      <w:tr>
        <w:trPr>
          <w:trHeight w:val="23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0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9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72,438</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132,760</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150,269</w:t>
            </w:r>
          </w:p>
        </w:tc>
        <w:tc>
          <w:tcPr>
            <w:tcW w:w="10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62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0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0.90</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78,300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78,706</w:t>
            </w: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80,487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81,467</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2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r>
      <w:tr>
        <w:trPr>
          <w:trHeight w:val="410"/>
        </w:trPr>
        <w:tc>
          <w:tcPr>
            <w:tcW w:w="1280" w:type="dxa"/>
            <w:vAlign w:val="bottom"/>
          </w:tcPr>
          <w:p>
            <w:pPr>
              <w:spacing w:after="0"/>
              <w:rPr>
                <w:sz w:val="24"/>
                <w:szCs w:val="24"/>
                <w:color w:val="auto"/>
              </w:rPr>
            </w:pPr>
          </w:p>
        </w:tc>
        <w:tc>
          <w:tcPr>
            <w:tcW w:w="7660" w:type="dxa"/>
            <w:vAlign w:val="bottom"/>
            <w:gridSpan w:val="13"/>
          </w:tcPr>
          <w:p>
            <w:pPr>
              <w:jc w:val="center"/>
              <w:ind w:left="9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40" w:type="dxa"/>
            <w:vAlign w:val="bottom"/>
            <w:gridSpan w:val="10"/>
          </w:tcPr>
          <w:p>
            <w:pPr>
              <w:jc w:val="center"/>
              <w:ind w:right="70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8"/>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180" w:type="dxa"/>
            <w:vAlign w:val="bottom"/>
            <w:gridSpan w:val="11"/>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72,989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133,606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150,272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Other comprehensive income (loss) attributable to Rush Enterprises,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5,027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6"/>
                <w:szCs w:val="16"/>
                <w:color w:val="auto"/>
              </w:rPr>
            </w:pP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21"/>
        </w:trPr>
        <w:tc>
          <w:tcPr>
            <w:tcW w:w="50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78,016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138,621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147,508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77,465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137,775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147,505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4"/>
              </w:rPr>
              <w:t>Total</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7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$0.01</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2"/>
                <w:szCs w:val="12"/>
                <w:color w:val="auto"/>
              </w:rPr>
            </w:pPr>
          </w:p>
        </w:tc>
        <w:tc>
          <w:tcPr>
            <w:tcW w:w="10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Treasury</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48"/>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Non-</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Par</w:t>
            </w:r>
          </w:p>
        </w:tc>
        <w:tc>
          <w:tcPr>
            <w:tcW w:w="200" w:type="dxa"/>
            <w:vAlign w:val="bottom"/>
          </w:tcPr>
          <w:p>
            <w:pPr>
              <w:spacing w:after="0"/>
              <w:rPr>
                <w:sz w:val="12"/>
                <w:szCs w:val="12"/>
                <w:color w:val="auto"/>
              </w:rPr>
            </w:pPr>
          </w:p>
        </w:tc>
        <w:tc>
          <w:tcPr>
            <w:tcW w:w="7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22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4"/>
                <w:szCs w:val="14"/>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Shareholders’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controlling</w:t>
            </w:r>
          </w:p>
        </w:tc>
        <w:tc>
          <w:tcPr>
            <w:tcW w:w="2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rPr>
              <w:t>Class A</w:t>
            </w:r>
          </w:p>
        </w:tc>
        <w:tc>
          <w:tcPr>
            <w:tcW w:w="58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Class B</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99"/>
              </w:rPr>
              <w:t>Interest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62,605</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16,663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824</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587,639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(136,235)</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$ 1,698,614</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(9,293)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2,141,549</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20,354</w:t>
            </w:r>
          </w:p>
        </w:tc>
        <w:tc>
          <w:tcPr>
            <w:tcW w:w="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2,161,903</w:t>
            </w:r>
          </w:p>
        </w:tc>
        <w:tc>
          <w:tcPr>
            <w:tcW w:w="0" w:type="dxa"/>
            <w:vAlign w:val="bottom"/>
          </w:tcPr>
          <w:p>
            <w:pPr>
              <w:spacing w:after="0"/>
              <w:rPr>
                <w:sz w:val="1"/>
                <w:szCs w:val="1"/>
                <w:color w:val="auto"/>
              </w:rPr>
            </w:pPr>
          </w:p>
        </w:tc>
      </w:tr>
      <w:tr>
        <w:trPr>
          <w:trHeight w:val="17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181</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2,736</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2,738</w:t>
            </w:r>
          </w:p>
        </w:tc>
        <w:tc>
          <w:tcPr>
            <w:tcW w:w="1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stock 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13,714</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13,714</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13,714</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325</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(9,442)</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(9,439)</w:t>
            </w:r>
          </w:p>
        </w:tc>
        <w:tc>
          <w:tcPr>
            <w:tcW w:w="1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(9,439)</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97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3,411</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3,412</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3,412</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(332)</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(30,939)</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(30,939)</w:t>
            </w:r>
          </w:p>
        </w:tc>
        <w:tc>
          <w:tcPr>
            <w:tcW w:w="1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(30,939)</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A common</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(11,296)</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(11,296)</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(11,296)</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B common</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(3,113)</w:t>
            </w:r>
          </w:p>
        </w:tc>
        <w:tc>
          <w:tcPr>
            <w:tcW w:w="26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(3,113)</w:t>
            </w:r>
          </w:p>
        </w:tc>
        <w:tc>
          <w:tcPr>
            <w:tcW w:w="18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(3,113)</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60,322</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60,322</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1040" w:type="dxa"/>
            <w:vAlign w:val="bottom"/>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62,551</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16,755</w:t>
            </w:r>
          </w:p>
        </w:tc>
        <w:tc>
          <w:tcPr>
            <w:tcW w:w="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830</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598,058</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(167,174)</w:t>
            </w:r>
          </w:p>
        </w:tc>
        <w:tc>
          <w:tcPr>
            <w:tcW w:w="9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$ 1,744,527</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(9,305)</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2,166,936</w:t>
            </w:r>
          </w:p>
        </w:tc>
        <w:tc>
          <w:tcPr>
            <w:tcW w:w="1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20,648</w:t>
            </w:r>
          </w:p>
        </w:tc>
        <w:tc>
          <w:tcPr>
            <w:tcW w:w="2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2,187,584</w:t>
            </w: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97</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1,709</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1,710</w:t>
            </w:r>
          </w:p>
        </w:tc>
        <w:tc>
          <w:tcPr>
            <w:tcW w:w="1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stock 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8,289</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8,289</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8,289</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1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(1,525)</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(86,143)</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(86,143)</w:t>
            </w:r>
          </w:p>
        </w:tc>
        <w:tc>
          <w:tcPr>
            <w:tcW w:w="1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(86,143)</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A common</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(10,994)</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(10,994)</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(10,994)</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B common</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(3,159)</w:t>
            </w:r>
          </w:p>
        </w:tc>
        <w:tc>
          <w:tcPr>
            <w:tcW w:w="26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(3,159)</w:t>
            </w:r>
          </w:p>
        </w:tc>
        <w:tc>
          <w:tcPr>
            <w:tcW w:w="18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(3,159)</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5,027</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5,027</w:t>
            </w: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5,027</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72,438</w:t>
            </w:r>
          </w:p>
        </w:tc>
        <w:tc>
          <w:tcPr>
            <w:tcW w:w="2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72,438</w:t>
            </w:r>
          </w:p>
        </w:tc>
        <w:tc>
          <w:tcPr>
            <w:tcW w:w="18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2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72,989</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2025</w:t>
            </w:r>
          </w:p>
        </w:tc>
        <w:tc>
          <w:tcPr>
            <w:tcW w:w="1040" w:type="dxa"/>
            <w:vAlign w:val="bottom"/>
            <w:tcBorders>
              <w:top w:val="single" w:sz="8" w:color="auto"/>
              <w:bottom w:val="single" w:sz="8" w:color="auto"/>
            </w:tcBorders>
            <w:shd w:val="clear" w:color="auto" w:fill="CCEEFF"/>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61,123</w:t>
            </w:r>
          </w:p>
        </w:tc>
        <w:tc>
          <w:tcPr>
            <w:tcW w:w="740" w:type="dxa"/>
            <w:vAlign w:val="bottom"/>
            <w:tcBorders>
              <w:top w:val="single" w:sz="8" w:color="auto"/>
              <w:bottom w:val="single" w:sz="8" w:color="auto"/>
            </w:tcBorders>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16,615</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831</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607,783</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(253,317)</w:t>
            </w:r>
          </w:p>
        </w:tc>
        <w:tc>
          <w:tcPr>
            <w:tcW w:w="9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$ 1,802,812</w:t>
            </w: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(4,278)</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2,153,831</w:t>
            </w:r>
          </w:p>
        </w:tc>
        <w:tc>
          <w:tcPr>
            <w:tcW w:w="18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21,200</w:t>
            </w:r>
          </w:p>
        </w:tc>
        <w:tc>
          <w:tcPr>
            <w:tcW w:w="260" w:type="dxa"/>
            <w:vAlign w:val="bottom"/>
            <w:tcBorders>
              <w:top w:val="single" w:sz="8" w:color="auto"/>
              <w:bottom w:val="single" w:sz="8" w:color="auto"/>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2,175,031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4"/>
              </w:rPr>
              <w:t>Total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7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$0.01</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2"/>
                <w:szCs w:val="12"/>
                <w:color w:val="auto"/>
              </w:rPr>
            </w:pPr>
          </w:p>
        </w:tc>
        <w:tc>
          <w:tcPr>
            <w:tcW w:w="10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Treasury</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48"/>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180" w:type="dxa"/>
            <w:vAlign w:val="bottom"/>
          </w:tcPr>
          <w:p>
            <w:pPr>
              <w:spacing w:after="0"/>
              <w:rPr>
                <w:sz w:val="12"/>
                <w:szCs w:val="12"/>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Par</w:t>
            </w:r>
          </w:p>
        </w:tc>
        <w:tc>
          <w:tcPr>
            <w:tcW w:w="200" w:type="dxa"/>
            <w:vAlign w:val="bottom"/>
          </w:tcPr>
          <w:p>
            <w:pPr>
              <w:spacing w:after="0"/>
              <w:rPr>
                <w:sz w:val="12"/>
                <w:szCs w:val="12"/>
                <w:color w:val="auto"/>
              </w:rPr>
            </w:pPr>
          </w:p>
        </w:tc>
        <w:tc>
          <w:tcPr>
            <w:tcW w:w="7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10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22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4"/>
                <w:szCs w:val="14"/>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Shareholders’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controlling</w:t>
            </w:r>
          </w:p>
        </w:tc>
        <w:tc>
          <w:tcPr>
            <w:tcW w:w="2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5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99"/>
              </w:rPr>
              <w:t>Interest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61,461</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16,364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806</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542,046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(119,835)</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$ 1,450,025</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(2,163)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1,870,879</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19,537</w:t>
            </w:r>
          </w:p>
        </w:tc>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1,890,416</w:t>
            </w:r>
          </w:p>
        </w:tc>
        <w:tc>
          <w:tcPr>
            <w:tcW w:w="0" w:type="dxa"/>
            <w:vAlign w:val="bottom"/>
          </w:tcPr>
          <w:p>
            <w:pPr>
              <w:spacing w:after="0"/>
              <w:rPr>
                <w:sz w:val="1"/>
                <w:szCs w:val="1"/>
                <w:color w:val="auto"/>
              </w:rPr>
            </w:pPr>
          </w:p>
        </w:tc>
      </w:tr>
      <w:tr>
        <w:trPr>
          <w:trHeight w:val="17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383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5,997</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6,001</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6,001</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stock 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14,090</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14,090</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351</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(9,486)</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(9,482)</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(9,482)</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97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3,354</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3,355</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(128)</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(5,627)</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(5,627)</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(5,627)</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A common</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(10,467)</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(10,467)</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(10,467)</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B common</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(2,964)</w:t>
            </w:r>
          </w:p>
        </w:tc>
        <w:tc>
          <w:tcPr>
            <w:tcW w:w="26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(2,964)</w:t>
            </w:r>
          </w:p>
        </w:tc>
        <w:tc>
          <w:tcPr>
            <w:tcW w:w="18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(2,964)</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1040" w:type="dxa"/>
            <w:vAlign w:val="bottom"/>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61,813</w:t>
            </w:r>
          </w:p>
        </w:tc>
        <w:tc>
          <w:tcPr>
            <w:tcW w:w="7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16,715</w:t>
            </w:r>
          </w:p>
        </w:tc>
        <w:tc>
          <w:tcPr>
            <w:tcW w:w="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815</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556,001</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(125,462)</w:t>
            </w:r>
          </w:p>
        </w:tc>
        <w:tc>
          <w:tcPr>
            <w:tcW w:w="9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$ 1,508,202</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(4,054)</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1,935,502</w:t>
            </w:r>
          </w:p>
        </w:tc>
        <w:tc>
          <w:tcPr>
            <w:tcW w:w="1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19,418</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1,954,920</w:t>
            </w: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134</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2,098</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2,099</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2,099</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stock 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5,515</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5,515</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 stock</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(78)</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(3,953)</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(3,953)</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A common</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(10,523)</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(10,523)</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(10,523)</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on Class B common</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(3,024)</w:t>
            </w:r>
          </w:p>
        </w:tc>
        <w:tc>
          <w:tcPr>
            <w:tcW w:w="26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(3,024)</w:t>
            </w:r>
          </w:p>
        </w:tc>
        <w:tc>
          <w:tcPr>
            <w:tcW w:w="18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(3,024)</w:t>
            </w:r>
          </w:p>
        </w:tc>
        <w:tc>
          <w:tcPr>
            <w:tcW w:w="0" w:type="dxa"/>
            <w:vAlign w:val="bottom"/>
          </w:tcPr>
          <w:p>
            <w:pPr>
              <w:spacing w:after="0"/>
              <w:rPr>
                <w:sz w:val="1"/>
                <w:szCs w:val="1"/>
                <w:color w:val="auto"/>
              </w:rPr>
            </w:pPr>
          </w:p>
        </w:tc>
      </w:tr>
      <w:tr>
        <w:trPr>
          <w:trHeight w:val="171"/>
        </w:trPr>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(873)</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(873)</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 adjustment</w:t>
            </w:r>
          </w:p>
        </w:tc>
        <w:tc>
          <w:tcPr>
            <w:tcW w:w="104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78,661</w:t>
            </w:r>
          </w:p>
        </w:tc>
        <w:tc>
          <w:tcPr>
            <w:tcW w:w="2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78,661</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78,783</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2024</w:t>
            </w:r>
          </w:p>
        </w:tc>
        <w:tc>
          <w:tcPr>
            <w:tcW w:w="1040" w:type="dxa"/>
            <w:vAlign w:val="bottom"/>
            <w:tcBorders>
              <w:top w:val="single" w:sz="8" w:color="auto"/>
              <w:bottom w:val="single" w:sz="8" w:color="auto"/>
            </w:tcBorders>
            <w:shd w:val="clear" w:color="auto" w:fill="CCEEFF"/>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61,869</w:t>
            </w:r>
          </w:p>
        </w:tc>
        <w:tc>
          <w:tcPr>
            <w:tcW w:w="740" w:type="dxa"/>
            <w:vAlign w:val="bottom"/>
            <w:tcBorders>
              <w:top w:val="single" w:sz="8" w:color="auto"/>
              <w:bottom w:val="single" w:sz="8" w:color="auto"/>
            </w:tcBorders>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16,700</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816</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563,604</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(129,415)</w:t>
            </w:r>
          </w:p>
        </w:tc>
        <w:tc>
          <w:tcPr>
            <w:tcW w:w="92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$ 1,573,316</w:t>
            </w: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(4,927)</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2,003,394</w:t>
            </w:r>
          </w:p>
        </w:tc>
        <w:tc>
          <w:tcPr>
            <w:tcW w:w="18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19,540</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2,022,934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4"/>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133,606</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150,272</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124,522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114,318</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related to employee equity awards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22,003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19,605</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accounts and notes receivable, net</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40,697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(34,041)</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(63,376)</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(7,593)</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52,875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(49,151)</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w:t>
            </w:r>
          </w:p>
        </w:tc>
      </w:tr>
      <w:tr>
        <w:trPr>
          <w:trHeight w:val="229"/>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0"/>
        </w:trPr>
        <w:tc>
          <w:tcPr>
            <w:tcW w:w="8000" w:type="dxa"/>
            <w:vAlign w:val="bottom"/>
            <w:tcBorders>
              <w:top w:val="single" w:sz="8" w:color="CCEEFF"/>
            </w:tcBorders>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381,162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(172,522)</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3,139</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notes receivable from affiliate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8,255</w:t>
            </w:r>
          </w:p>
        </w:tc>
      </w:tr>
      <w:tr>
        <w:trPr>
          <w:trHeight w:val="209"/>
        </w:trPr>
        <w:tc>
          <w:tcPr>
            <w:tcW w:w="8000" w:type="dxa"/>
            <w:vAlign w:val="bottom"/>
            <w:tcBorders>
              <w:bottom w:val="single" w:sz="8" w:color="CCEEFF"/>
            </w:tcBorders>
            <w:gridSpan w:val="6"/>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(232,220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88,404</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644,359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1,184,870</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(642,459)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(1,200,797)</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relating to equity awards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11,460</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29"/>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r>
      <w:tr>
        <w:trPr>
          <w:trHeight w:val="210"/>
        </w:trPr>
        <w:tc>
          <w:tcPr>
            <w:tcW w:w="8000" w:type="dxa"/>
            <w:vAlign w:val="bottom"/>
            <w:tcBorders>
              <w:bottom w:val="single" w:sz="8" w:color="CCEEFF"/>
            </w:tcBorders>
            <w:gridSpan w:val="6"/>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(166,254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228,131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183,725</w:t>
            </w:r>
          </w:p>
        </w:tc>
      </w:tr>
      <w:tr>
        <w:trPr>
          <w:trHeight w:val="263"/>
        </w:trPr>
        <w:tc>
          <w:tcPr>
            <w:tcW w:w="80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211,106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167,266</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28,724</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40,235</w:t>
            </w: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20,539</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37,151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12,247</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19,448</w:t>
            </w:r>
          </w:p>
        </w:tc>
      </w:tr>
    </w:tbl>
    <w:p>
      <w:pPr>
        <w:spacing w:after="0" w:line="1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2024.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deposits for the statutory restriction on cash related to the Company’s captive insurance company of $5.1 million as of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June 30, 2025,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72,438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132,760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150,269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78,300</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78,270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78,991</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dilutive securities– Employee stock options and restricted stock</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2,187</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80,487</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80,778</w:t>
            </w:r>
          </w:p>
        </w:tc>
        <w:tc>
          <w:tcPr>
            <w:tcW w:w="24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81,445</w:t>
            </w:r>
          </w:p>
        </w:tc>
        <w:tc>
          <w:tcPr>
            <w:tcW w:w="280" w:type="dxa"/>
            <w:vAlign w:val="bottom"/>
          </w:tcPr>
          <w:p>
            <w:pPr>
              <w:spacing w:after="0"/>
              <w:rPr>
                <w:sz w:val="15"/>
                <w:szCs w:val="15"/>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81,467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outstanding and assumed conversions</w:t>
            </w:r>
          </w:p>
        </w:tc>
        <w:tc>
          <w:tcPr>
            <w:tcW w:w="2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2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six months ended June 30, 2025, and 2024,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June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10"/>
        </w:trPr>
        <w:tc>
          <w:tcPr>
            <w:tcW w:w="6080" w:type="dxa"/>
            <w:vAlign w:val="bottom"/>
            <w:gridSpan w:val="3"/>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w w:val="98"/>
              </w:rPr>
              <w:t>Weighted average anti-dilutive stock options</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Accounting Standards Codification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which requires the measurement and recognition of compensation expense for all share-based payment awards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grant price for restricted stock awards and included in selling, general and administrative expense, was $7.2 million for the three months ended June 30, 2025, and $5.5 million for the three months ended June 30, 2024. Stock-based compensation expense, included in selling, general and administrative expense, was $22.0 million for the six months ended June 30, 2025, and was $19.6 million for the six months ended June 30, 2024.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$17.1 million of unrecognized compensation cost related to non-vested employee stock options to be recognized over a weighted-average period of 2.4 years and $20.1 million of unrecognized compensation cost related to non-vested restricted stock awards to be recognized over a weighted-average period of 1.4 years.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June 30, 2025, and December 31, 2024. The carrying value of current assets and current liabilities approximates the fair value due to the short maturity of these items.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fair value hierarchy established by ASC 820-10-35, the inputs used to determine the market value of the Company’s debt are classified as Level 2. Because the Company’s debt is not quoted, estimates are based on each obligation’s characteristics, including remaining maturities, variable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Truck Segment, the Company generates revenue from two additional operating segments: Retail Tire Sales and Insurance Services. These operating segments do not meet the quantitative thresholds for separate reporting as specified under the guidance of ASU 2023-07. Therefore, they are consolidated under the “All Other” category in the segment disclosures below. These segments share accounting policies consistent with the summary of significant accounting policies.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segment operating income, not including extraordinary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June 30, 2025 and 2024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Truck Segment</w:t>
            </w: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Totals</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June 30, 2025</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1,926,222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1,930,707</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1,550,455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1,551,036</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Controllable expenses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219,008</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221,415</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47,110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48,050</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109,649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110,206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24,119</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24,119</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72,523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72,989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4,653,484</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4,715,774</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125,146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125,672</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17,463</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17,611</w:t>
            </w:r>
          </w:p>
        </w:tc>
      </w:tr>
      <w:tr>
        <w:trPr>
          <w:trHeight w:val="216"/>
        </w:trPr>
        <w:tc>
          <w:tcPr>
            <w:tcW w:w="5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six months ended June 30, 2025</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3,773,566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3,781,537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3,043,162</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3,044,106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Controllable expenses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436,216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439,968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92,428</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95,388</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201,760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202,075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26,447</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26,629</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42,068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42,068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133,473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133,606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4,653,484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4,715,774</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238,460</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238,986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34,578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34,867</w:t>
            </w:r>
          </w:p>
        </w:tc>
      </w:tr>
      <w:tr>
        <w:trPr>
          <w:trHeight w:val="216"/>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June 30, 2024</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2,022,756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2,027,028</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1,634,108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1,634,639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Controllable expenses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217,818</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219,537</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46,277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48,372</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124,553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124,481</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19,713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19,806</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26,278</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26,278</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78,948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78,783</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4,446,418</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4,506,526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100,048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100,048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16,363</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16,492</w:t>
            </w:r>
          </w:p>
        </w:tc>
      </w:tr>
      <w:tr>
        <w:trPr>
          <w:trHeight w:val="216"/>
        </w:trPr>
        <w:tc>
          <w:tcPr>
            <w:tcW w:w="5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six months ended June 30, 2024</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3,890,803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8,224</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3,899,027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3,115,761</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3,116,763</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Controllable expenses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447,433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450,649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92,269</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96,524</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235,340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(249)</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235,091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37,796</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37,980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47,603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47,603</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150,705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150,272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4,446,418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4,506,526</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193,178</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193,178</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31,985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32,242</w:t>
            </w:r>
          </w:p>
        </w:tc>
      </w:tr>
    </w:tbl>
    <w:p>
      <w:pPr>
        <w:spacing w:after="0" w:line="198" w:lineRule="exact"/>
        <w:rPr>
          <w:sz w:val="20"/>
          <w:szCs w:val="20"/>
          <w:color w:val="auto"/>
        </w:rPr>
      </w:pPr>
    </w:p>
    <w:p>
      <w:pPr>
        <w:sectPr>
          <w:pgSz w:w="11900" w:h="16838"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$8.0 million as a component of accrued liabilities as of June 30, 2025 and December 31, 2024,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$0.5 million accrued for the payment of interest as of June 30, 2025 and December 31, 2024. No amounts were accrued for penalties.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June 30, 2025, the tax years ended December 31, 2021 through 2024 remained subject to audit by federal tax authorities and the tax years ended December 31, 2020 through 2024,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non-lease and rental revenues are primarily generated from the sale of finished products to customers. Those sales predominantly contain a single delivery element and revenues from such sales are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and six months ended June 30, 2025 and 2024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09"/>
        </w:trPr>
        <w:tc>
          <w:tcPr>
            <w:tcW w:w="4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June 30, 2025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2025</w:t>
            </w: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8"/>
                <w:szCs w:val="18"/>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1,191,504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1,300,308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2,322,274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2,423,627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372,748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365,032</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736,190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738,458</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263,510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262,399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519,136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538,169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9,796</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11,875</w:t>
            </w: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1,837,583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1,939,382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3,598,160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3,723,460</w:t>
            </w: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June 30, 2025.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Lease and rental income during the three and six months ended June 30, 2025 and June 30, 2024 consisted of the following (in thousands):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rental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Nonlease payments</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11,297</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21,864</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22,338</w:t>
            </w: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9"/>
                <w:szCs w:val="19"/>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5,027</w:t>
            </w:r>
          </w:p>
        </w:tc>
      </w:tr>
      <w:tr>
        <w:trPr>
          <w:trHeight w:val="223"/>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into USD using the monthly average exchange rates during the year. The assets and liabilities of RTC Canada are translated into USD using the exchange rates in effect on the balance sheet date. The related translation adjustments are recorded in a separate component of stockholders' equity in accumulated other comprehensive income (loss) and the statement of comprehensive income.</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Write offs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Provision for</w:t>
            </w: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Against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the Six</w:t>
            </w: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Months Ended</w:t>
            </w: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net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Balance</w:t>
            </w:r>
          </w:p>
        </w:tc>
      </w:tr>
      <w:tr>
        <w:trPr>
          <w:trHeight w:val="234"/>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 2025</w:t>
            </w:r>
          </w:p>
        </w:tc>
        <w:tc>
          <w:tcPr>
            <w:tcW w:w="1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Recoveries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30, 2025</w:t>
            </w:r>
          </w:p>
        </w:tc>
      </w:tr>
      <w:tr>
        <w:trPr>
          <w:trHeight w:val="209"/>
        </w:trPr>
        <w:tc>
          <w:tcPr>
            <w:tcW w:w="4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1,940</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2,671</w:t>
            </w:r>
          </w:p>
        </w:tc>
      </w:tr>
      <w:tr>
        <w:trPr>
          <w:trHeight w:val="20"/>
        </w:trPr>
        <w:tc>
          <w:tcPr>
            <w:tcW w:w="4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acquisitions, unless otherwise noted, were considered business combinations accounted for under ASC 805 “Business Combinations.” Pro forma information was not included in accordance with ASC 805 because the acquisitions were not considered material.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15, 2024, we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16, 2025, the Company acquired 100% of the outstanding shares of Leeds Transit, Inc. The acquisition included commercial vehicle dealership locations in Elgin and Woodstock Ontario and a sales office in St-Roch-de-l’Achigan, Quebec, IC Bus and Collins Bus franchises, along with commercial vehicle and parts inventory. The transaction was valued at approximately $25.6 million, with the purchase price paid in cash and with borrowings made pursuant to the RTC Canada’s floor plan credit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ASC 740, “Income Taxes,” requires the effects of changes in tax rates and laws on deferred tax balances to be recognized in the period in which the legislation is enacted. Consequently, due to the timing of enactment, the Company will evaluate all deferred tax balances under the newly enacted tax law and identify any other changes required to its financial statements as a result of the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OBBA’s impact on its consolidated financial statements and the results of such evaluations will be reflected in the Company's future filings with the SEC.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words or phrases of similar import, as they relate to the Company or its subsidiaries or Company management,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2024,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International Motors, LLC (f/k/a Navistar, Inc.).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Dennis Eagle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Dennis Eagle Limited.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Blue Arc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The Shyft Group Inc. Battle Motors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Battle Motors, Inc. This report contains additional trade names or trademarks of other companies. Our use of such trade names or trademarks should not imply any endorsement or relationship with such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Dennis Eagle, Blue Arc and Battle Motors.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We own an 80% equity interest in Rush Truck Centres of Canada Limited (“RTC Canada”). RTC Canada currently owns and operates 12 International dealership and 2 IC Bus dealership locations in Ontario. RTC Canada also sells IC Busses in Quebec and the Maritimes. The operating results of RTC Canada are consolidated in the Consolidated Statements of Operations, the Statements of Comprehensive Income, the Consolidated Balance Sheets and commercial vehicle unit sales data.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A.C.T. Research Co., LLC (“A.C.T. Research”), a commercial vehicle industry data and forecasting service provider, currently forecasts new U.S. Class 8 retail truck sales to be 221,400 units in 2025, which would represent a 10.5% decrease compared to 2024. The ongoing freight recession and general economic uncertainty in addition to uncertainty with respect to U.S. trade policy and engine emission regulations, continues to weigh on the industry and impact demand for new commercial vehicles. While we expect that new Class 8 truck sales to vocational customers will remain strong through the end of the year, we also expect continued weak demand from our over-the-road customer, our largest customer segment. We expect our U.S. market share of new Class 8 truck sales to range between 5.4% and 5.9% in 2025 based on A.C.T. Research’s current forecast. This market share percentage would result in the sale of approximately 12,000 to 13,000 new Class 8 trucks in 2025. We expect to sell approximately 400 new Class 8 trucks in Canada in 2025.</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new U.S. Class 4 through 7 retail commercial vehicle sales, A.C.T. Research currently forecasts sales to be 231,300 units in 2025, which would represent a 10.2% decrease compared to 2024. We believe that demand for medium-duty commercial vehicle will remain solid, at least through the third quarter. We expect our U.S. market share of new Class 4 through 7 commercial vehicle sales to range between 5.8% and 6.3% in 2025 based on A.C.T. Research’s current forecast. This market share percentage would result in the sale of approximately 13,400 to 14,600 new Class 4 through 7 commercial vehicles in 2025. We expect to sell approximately 900 new Class 5 through 7 commercial vehicles in Canada in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2,500 light-duty vehicles and approximately 6,500 to 7,500 used commercial vehicles in 2025, and we expect lease and rental revenue to increase approximately 5.0% during 2025, compared to 2024.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our parts, service, and collision center (collectively referred to herein as “Aftermarket Products and Services”) operations, despite a difficult operating environment, we experienced a slight increase in demand during the second quarter from most of our customer segments, including owner-operators and small fleets, which we believe is a potential signal of improving demand ahead. We believe that our Aftermarket Products and Services revenues will remain flat in the third quarter, with the potential for modest growth. However, there is too much uncertainty to provide a reliable outlook for the remainder of the year, as potential changes in U.S. trade policy may have a material impact – either positive or negative – on customer demand.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six months periods ended June 30, 2025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40" w:type="dxa"/>
            <w:vAlign w:val="bottom"/>
            <w:gridSpan w:val="5"/>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1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31.0</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80.6</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tcPr>
          <w:p>
            <w:pPr>
              <w:spacing w:after="0"/>
              <w:rPr>
                <w:sz w:val="19"/>
                <w:szCs w:val="19"/>
                <w:color w:val="auto"/>
              </w:rPr>
            </w:pPr>
          </w:p>
        </w:tc>
        <w:tc>
          <w:tcPr>
            <w:tcW w:w="10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79.9</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10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r>
      <w:tr>
        <w:trPr>
          <w:trHeight w:val="23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9"/>
                <w:szCs w:val="19"/>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2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4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60.0</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Pr>
          <w:p>
            <w:pPr>
              <w:spacing w:after="0"/>
              <w:rPr>
                <w:sz w:val="18"/>
                <w:szCs w:val="18"/>
                <w:color w:val="auto"/>
              </w:rPr>
            </w:pPr>
          </w:p>
        </w:tc>
      </w:tr>
      <w:tr>
        <w:trPr>
          <w:trHeight w:val="425"/>
        </w:trPr>
        <w:tc>
          <w:tcPr>
            <w:tcW w:w="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the absorption ratio (revenues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3,259</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7,022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2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632.2</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789.2</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722.5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28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Other vehicle revenue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135.5% absorption ratio for the second quarter of 2025 compared to a 134.0% absorption ratio for the second quarter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revenues decreased $96.3 million, or 4.8%, in the second quarter of 2025, compared to the second quarter of 2024. This decrease was primarily the result of decreased new Class 8 truck sales revenue due to continued weak demand from over-the-road 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Aftermarket Products and Services revenues increased $8.8 million, or 1.4%, in the second quarter of 2025, compared to the second quarter of 2024. The increase in Aftermarket Parts and Services revenues was primarily a result of a slight increase in demand.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$108.8 million, or 8.4%, in the second quarter of 2025, compared to the second quarter of 2024. This decrease was primarily the result of decreased new Class 8 truck sales revenue due to the timing of several large fleet deliveries that occurred in the second quarter of 2024 and continued weak demand from over-the-road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3,178 new Class 8 trucks in the second quarter of 2025 in the United States, a 20.3% decrease compared to 3,985 new Class 8 trucks in the second quarter of 2024. We sold 81 new Class 8 heavy-duty trucks in the second quarter of 2025 in Canada, a 43.4% decrease compared to 143 new Class 8 heavy-duty trucks in the second quarter of 2024. The decline in our new Class 8 truck sales on a year-over-year basis in the second quarter was largely due to the timing of several large fleet deliveries that occurred in the second quarter of 2024 and continued weak demand from our over-the-road customers.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3,626 new Class 4 through 7 commercial vehicles, including 359 buses, in the second quarter of 2025 in the United States, a 1.0% increase compared to 3,591 new medium-duty commercial vehicles, including 351 buses, in the second quarter of 2024. We sold 177 Class 5 through 7 commercial vehicles in the second quarter of 2025 in Canada, a 77.0% increase compared to 100 new Class 5 through 7 commercial vehicles in the second quarter of 2024. The slight increase in new Class 4 through 7 commercial vehicle sales in the United States was primarily a result of consistent demand and our ability to meet customer needs with our bodied-up inventory.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703 light-duty vehicles in the second quarter of 2025, a 30.9% increase compared to 537 light-duty vehicles sold in the second quarter of 2024. We sold 1,715 used commercial vehicles in the second quarter of 2025, a 0.5% decrease compared to 1,723 used commercial vehicles sold in the second quarter of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increased $5.5 million, or 6.3%, in the second quarter of 2025, compared to the second quarter of 2024. This increase in commercial vehicle lease and rental revenues was primarily due to the addition of new vehicles to our lease fleet and consistent demand from lease customers.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and insurance revenues decreased $0.4 million, or 6.5%, in the second quarter of 2025, compared to the second quarter of 2024. This decrease is primarily due to the decrease in new Class 8 truck sales and the tightening of credit for used trucks. Finance and insurance revenues have limited direct costs and, therefore, contribute a disproportionate share of our operating profits.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decreased $12.7 million, or 3.2%, in the second quarter of 2025, compared to the second quarter of 2024. Gross profit as a percentage of sales increased to 19.7% in the second quarter of 2025, from 19.4% in the second quarter of 2024. This increase in gross profit as a percentage of sales is a result of a change in our product sales mix. Commercial vehicle sales, a lower margin revenue item, decreased as a percentage of total revenues to 61.7% in the second quarter of 2025, from 64.1% in the second quarter of 2024. Aftermarket Products and Services revenues, a higher margin revenue item, increased as a percentage of total revenues to 33.0% in the second quarter of 2025, from 31.0% in the second quarter of 2024.</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increased to 37.6% in the second quarter of 2025, from 37.5% in the second quarter of 2024. Gross profit from our Aftermarket Products and Services operations increased to $239.2 million in the second quarter of 2025, from $235.3 million in the second quarter of 2024. Historically, gross margins on parts sales range from 28% to 30% and gross margins on service and collision center operations range from 66% to 68%. Gross profits from parts sales represented 61.3% of total gross profit from Aftermarket Products and Services operations in the second quarter of 2025 and 58.4% in the second quarter of 2024. Service and collision center operations represented 38.7% of total gross profit from Aftermarket Products and Services operations in the second quarter of 2025 and 38.8% in the second quarter of 2024. We expect blended gross margins on Aftermarket Products and Services operations to range from 36.0% to 37.5% in 2025.</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8 commercial vehicle sales decreased to 8.5% in the second quarter of 2025, from 8.6% in the second quarter of 2024. The decrease in new Class 8 truck margins was primarily due to continued weak demand from over-the-road customers and an uncertain regulatory environment. In 2025, we expect overall gross margins from new heavy-duty truck sales of approximately 8.5% to 9.0%.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decreased to 7.5% in the second quarter of 2025, from 8.4% in the second quarter of 2024. This decrease was primarily due to change in the mix of purchasers. For 2025, we expect overall gross margins from new medium-duty commercial vehicle sales of approximately 7.5% to 8.5%, but this will largely depend upon the mix of purchasers and types of vehicles sold.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16.9% in the second quarter of 2025, from 19.2% in the second quarter of 2024. This decrease was primarily due to the mix of purchasers. We expect margins on used commercial vehicles to range between 12.0% and 17.0% in 2025.</w:t>
      </w:r>
    </w:p>
    <w:p>
      <w:pPr>
        <w:spacing w:after="0" w:line="3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28.7% in the second quarter of 2025, from 28.5% in the second quarter of 2024. This increase was primarily related to decreased maintenance costs due to a lower average age of the leasing fleet. We expect gross margins from lease and rental sales of approximately 27.0% to 29.0% during 2025.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revenues,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$0.6 million, or 0.2%, in the second quarter of 2025, compared to the second quarter of 2024. SG&amp;A expenses as a percentage of total revenues increased to 13.1% in the second quarter of 2025, from 12.4% in the second quarter of 2024.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2025, we expect SG&amp;A expenses as a percentage of total revenues to range from 13.0% to 14.0%. For 2025, we expect the selling portion of SG&amp;A expenses to be approximately 25.0% to 30.0% of new and used commercial vehicle 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decreased $6.7 million, or 34.6%, in the second quarter of 2025, compared to the second quarter of 2024. This decrease in interest expense is a result of a decrease in our vehicle inventory levels and lower interest rates on our variable rate debt compared to the second quarter of 2024. We expect net interest expense in 2025 to decrease compared to 2024, but the amount of the decrease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$8.0 million, or 7.6%, in the second quarter of 2025, compared to the second quarter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decreased $2.2 million, or 8.2%, in the second quarter of 2025, compared to the second quarter of 2024. We provided for taxes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 effective rate in the second quarter of 2025 and 24.5% in the second quarter of 2024. We expect our effective tax rate to be approximately 23.0%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 of pretax income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regards to the items discussed in this section are set forth in the discussion of the “Three Months Ended June 30, 2025, Compared to Three Months Ended June 30,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$117.5 million, or 3.0%, in the first six months of 2025, compared to the first six months of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of new and used commercial vehicles decreased $101.4 million, or 4.2%, in the first six months of 2025, compared to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Aftermarket Products and Services revenues decreased $21.3 million, or 1.7%, in the first six months of 2025, compared to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6,481 new Class 8 heavy-duty trucks in the first six months of 2025 in the United States, a 14.3% decrease compared to 7,622 new Class 8 heavy-duty trucks in the first six months of 2024. According to A.C.T. Research, retail sales in the U.S. Class 8 truck market decreased 4.8% in the first six months of 2025, compared to the first six months of 2024. We sold 149 new Class 8 heavy-duty trucks in the first six months of 2025 in Canada, a 35.5% decrease compared to 231 new Class 8 heavy-duty trucks in the first six months of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6,830 new Class 4 through 7 medium-duty commercial vehicles, including 669 buses, in the United States in the first six months of 2025. This result remained relatively flat compared to 6,829 new Class 4 through 7 medium-duty commercial vehicles, including 734 buses, in the first six months of 2024. A.C.T. Research estimates that unit sales of new Class 4 through 7 commercial vehicles in the U.S. decreased approximately 6.6% in the first six months of 2025, compared to the first six months of 2024. We sold 302 new Class 5 through 7 medium-duty commercial vehicles in the first six months of 2025 in Canada, a 56.5% increase compared to 193 new Class 5 through 7 medium-duty commercial vehicles in the first six months of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1,173 new light-duty vehicles in the first six months of 2025, an 18.1% increase compared to 993 new light-duty vehicles sold in the first six months of 2024.</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sold 3,356 used commercial vehicles in the first six months of 2025, a 3.2% decrease compared to 3,541 used commercial vehicles in the first six months of 2024.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Truck lease and rental revenues increased $7.8 million, or 4.4%, in the first six months of 2025, compared to the first six months of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decreased $0.5 million, or 5.0%, in the first six months of 2025, compared to the first six months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decreased $44.8 million, or 5.7%, in the first six months of 2025, compared to the first six months of 2024. Gross profit as a percentage of sales was 19.5% in the first six months of 2025 and 20.1% in the first six months of 2024.</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Aftermarket Products and Services operations decreased to 36.7% in the first six months of 2025, from 37.0% in the first six months of 2024. Gross profit for Aftermarket Products and Services was $460.6 million in the first six months of 2025, compared to $472.2 million in the first six months of 2024. Gross profit from parts sales represented 59.0% of the total gross profit for Aftermarket Products and Services operations in the first six months of 2025 and 58.1% in the first six months of 2024. Service and collision center operations represented 41.0% of the total gross profit for Aftermarket Products and Services operations in the first six months of 2025 and 41.9% in the first six months of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new Class 8 heavy-duty truck sales decreased to 8.8% in the first six months of 2025, from 9.1% in the first six months of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4 through 7 medium-duty commercial vehicle sales decreased to 7.7% in the first six months of 2025, from 8.8% in the first six months of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decreased to 15.7% in the first six months of 2025, from 20.5% in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from truck lease and rental sales increased to 28.5% in the first six months of 2025, from 28.0% in the first six months of 2024.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SG&amp;A expenses decreased $14.2 million, or 2.8%, in the first six months of 2025, compared to the first six months of 2024. SG&amp;A expenses remained flat at 13.2% of total revenue in the first six months of 2025, compared to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decreased $11.8 million, or 31.6%, in the first six months of 2025, compared to the first six months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decreased $22.2 million, or 11.2%, in the first six months of 2025, compared to the first six months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taxes decreased $5.5 million, or 11.6%, in the first six months of 2025, compared to the first six months of 2024. We provided for taxes at a 23.8% rate in the first six months of 2025 and a 24.1% rate in the first six months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2025, we had working capital of approximately $694.8 million, including $211.1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$25.0 million. There were no advances outstanding under this secured line of credit on June 30, 2025, however, $18.7 million was pledged to secure various letters of credit related to self-insurance products, leaving $6.3 million available for our future borrowings as of June 30,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long-term debt, floor plan financing agreements and our credit agreement with Wells Fargo Bank, National Association the (“WF”) require us to satisfy various financial ratios such as the leverage ratio, the asset coverage ratio, and the fixed charge coverage ratio. As of June 30, 2025, we were in compliance with all debt covenants related to debt secured by lease and rental units, our floor plan credit agreements and the credit agreement with WF. We do not anticipate any breach of these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$275.0 million to $325.0 million for our leasing operations during 2025, depending on customer demand. We also expect to make capital expenditures for the purchase of recurring items such as computers, shop tools and equipment and company vehicles of approximately $35.0 million to $40.0 million during 2025.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paid a cash dividend of $14.3 million. Additionally, on July 30, 2025, our Board of Directors declared a cash dividend of $0.19 per share of Class A and Class B common stock, to be paid on September 12, 2025, to all shareholders of record as of August 12, 2025, which represents a 5.6% increase compared to the cash dividend we paid in the first quarter of 2025.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 2024,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2024. On May 29, 2025, the Company announced an increase of $50 million to its existing stock repurchase program authorizing the Company to repurchase, from time to time, up to an aggregate of $200 million of its shares of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June 30, 2025, we had repurchased $121.4 million of our shares of common stock under the current stock repurchase program, excluding federal excise tax. The current stock repurchase program expires on December 31, 2025, and may be suspended or discontinued at any time.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under contract to construct a new facility on the land adjacent to our current location in Huntley, IL with a current budget of $23.8 million. We will continue to purchase vehicles for our lease and rental operations and authorize capital expenditures for the improvement or expansion of our existing dealership facilities.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381,162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115,525</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(232,220)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(161,128)</w:t>
            </w:r>
          </w:p>
        </w:tc>
      </w:tr>
      <w:tr>
        <w:trPr>
          <w:trHeight w:val="230"/>
        </w:trPr>
        <w:tc>
          <w:tcPr>
            <w:tcW w:w="1120" w:type="dxa"/>
            <w:vAlign w:val="bottom"/>
          </w:tcPr>
          <w:p>
            <w:pPr>
              <w:spacing w:after="0"/>
              <w:rPr>
                <w:sz w:val="19"/>
                <w:szCs w:val="19"/>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(166,254)</w:t>
            </w:r>
          </w:p>
        </w:tc>
        <w:tc>
          <w:tcPr>
            <w:tcW w:w="34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29,180</w:t>
            </w:r>
          </w:p>
        </w:tc>
      </w:tr>
      <w:tr>
        <w:trPr>
          <w:trHeight w:val="223"/>
        </w:trPr>
        <w:tc>
          <w:tcPr>
            <w:tcW w:w="112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six months of 2025, operating activities resulted in net cash provided by operations of $381.2 million. Net cash provided by operating activities primarily consisted of $133.6 million in net income, as well as non-cash adjustments related to depreciation and amortization of $124.5 million, stock-based compensation of $22.0 million and cash inflows for deferred income tax expense of $0.5 million. Cash provided by operating activities included an aggregate of $107.7 million net changes in operating assets and liabilities. Included in the net change in operating assets and liabilities were cash inflows of $52.9 million from the increase in accounts payable, $40.7 million from the decrease in accounts receivable and $10.2 million from the decrease in inventories, which were offset by cash outflows of $8.1 million from the increase in other assets, $2.6 million from the decrease in customer deposits and $8.6 million from the increase in accrued expenses. Most of our commercial vehicle inventory is financed through our floor plan credit agreements.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first six months of 2024, operating activities resulted in net cash provided by operations of $115.5 million. Net cash provided by operating activities primarily consisted of $150.3 million in net income, as well as non-cash adjustments related to depreciation and amortization of $114.3 million, stock-based compensation of $19.6 million and cash inflows for deferred income tax expense of $1.5 million. Cash provided by operating activities included an aggregate of $169.7 million net change in operating assets and liabilities. Included in the net change in operating assets and liabilities were cash inflows of $3.9 million from the increase in accounts payable, which were offset by cash outflows of $34.0 million from the increase in accounts receivable, $63.4 million from the increase in inventories, $7.6 million from the increase in other assets, $49.2 million from the decrease in customer deposits and $19.4 million from the increase in accrued expenses. Most of our commercial vehicle inventory is financed through our floor plan credit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2025, cash used in investing activities was $232.2 million. Cash flows used in investing activities consisted primarily of cash used for the acquisition of property and equipment and the acquisition of new businesses. See Note 12 of the Notes to Consolidated Financial Statements for a detailed discussion of the business acquisitions. Acquisition of property and equipment totaled $222.3 million during the first six months of 2025 and consisted primarily of purchases of machine and shop equipment, furniture and fixtures, real estate and facilities, improvements to our existing dealership facilities and $182.1 million for purchases of rental and lease vehicles for our rental and leasing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2024, cash used in investing activities was $161.1 million. Cash flows used in investing activities consisted primarily of cash used for the acquisition of property and equipment. Acquisition of property and equipment totaled $172.5 million during the first six months of 2024 and consisted primarily of purchases of machine and shop equipment, furniture and fixtures, real estate and facilities, improvements to our existing dealership facilities and $140.1 million for purchases of rental and lease vehicles for our rental and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six months of 2025, financing activities resulted in net cash used by financing activities of $166.3 million, primarily related to cash inflows of $7.9 million from the issuance of shares related to equity compensation plans and borrowings of $644.4 million of long-term debt. These cash inflows were offset by $642.5 million used for principal repayments of long-term debt and capital lease obligations, $9.7 million for taxes related to net share settlement of equity awards, $117.1 million used for repurchases of common stock, $12.0 million used for net payments on floor plan notes payable and $28.9 million used for payment of cash dividends. The borrowings of long-term debt were primarily related to purchasing units for the rental and leasing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six months of 2024, financing activities resulted in net cash provided by financing activities of $29.2 million, primarily related to cash inflows of $11.5 million from the issuance of shares related to equity compensation plans, $88.4 million from net draws on floor plan notes payable, non-trade and borrowings of $1.2 billion of long-term debt. These cash inflows were offset by $1.2 billion used for principal repayments of long-term debt and capital lease obligations, $9.5 million for taxes related to net share settlement of equity awards, $9.5 million used for repurchases of common stock and $27.2 million used for payment of cash dividends. The borrowings of long-term debt were primarily related to purchasing units for the rental and leasing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a credit agreement with WF, with the lenders signatory thereto (“WF Lenders”) and WF as administrative agent (the “Well Fargo Credit Agreement”).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Secured Overnight Financing Rate (“SOFR”) plus (i) 1.25% or (ii) 1.5%, depending on our consolidated leverage ratio or (B) on or after the SOFR transition date, SOFR plus (i) 1.25% or (ii) 1.5%, depending on our consolidated leverage ratio. The WF Credit Agreement expires on September 14, 2026, although, upon the occurrence and during the continuance of an event of default, the agent has the right to, or upon the request of the required lenders must, terminate the commitments and declare all outstanding principal and interest due and payable. We may terminate the commitments at any time. On June 30, 2025, we had approximately $137.3 million outstanding under the WF Credit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we entered into that certain Second Amended and Restated Inventory Financing and Purchase Money Security Agreement with PACCAR Leasing Company (“PLC”), a division of Paccar Financing Corp.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June 30, 2025, we had approximately $220.0 million outstanding under the PLC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Credit Agreement”) with Bank of Montreal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Canadian Overnight Repo Rate Average (“CORRA”), plus 1.72%. The RTC Canada Revolving Credit Agreement expires on September 14, 2026. On June 30, 2025, we had approximately $118.3 million CAD outstanding under the RTC Canada Revolving Credit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the credit agreements described below.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2024, we entered into the Inventory Financing and Purchase Money Security Agreement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June 30, 2025, we had approximately $480.0 million outstanding under the PFC Floor Plan Credit Agreement. We utilize our excess cash on hand to pay down our outstanding borrowings under the PFC Floor Plan Credit Agreement, and the resulting interest earned is recognized as an offset to our gross interest expense under the PFC Floor Plan Credit Agreement.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14, 2021, we entered into the Fifth Amended and Restate Credit Agreement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June 30, 2025, we had approximately $359.0 million outstanding under the BMO Floor Plan Credit Agreement. We utilize our excess cash on hand to pay down our outstanding borrowings under the BMO Floor Plan Credit Agreement, and the resulting interest earned is recognized as an offset to our gross interest expense under the BMO Floor Plan Credit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Credit Agreement”) with BMO. Pursuant to the terms of the RTC Canada Floor Plan Credit Agreement (as amended), BMO originally agreed to make up to $116.7 million CAD of revolving credit loans to finance RTC Canada’s purchase of new and used vehicle inventory. On June 13, 2025, the RTC Canada Floor Plan Credit Agreement was amended to increase the loan commitment to $171.7 million CAD.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September 14, 2026. On June 30, 2025, we had approximately $113.1 million CAD outstanding under the RTC Canada Floor Plan Credit Agreement. We utilize our excess cash on hand to pay down our outstanding borrowings under the RTC Canada Floor Plan Credit Agreement, and the resulting interest earned is recognized as an offset to our gross interest expense under the RTC Canada Floor Plan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30, 2025, our backlog of commercial vehicle orders was approximately $967.0 million, as compared to a backlog of commercial vehicle orders of approximately $1,812.1 million on June 30, 2024. The decrease in our backlog primarily reflects the difficult industry conditions caused by the ongoing freight recession and general economic uncertainty, in addition to uncertainty with respect to U.S. trade policy and engine emissions regulations, which are negatively impacting demand for new commercial vehicles.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several of our major fleet customers are included in our backlog as of June 30, 2025, and we expect to fill most of our backlog orders during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197,000 in 2016,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and provincial statutes. Pursuant to these laws, federal state and provincial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subject to federal and state laws and regulations governing commercial vehicle engine emissions. The Environmental Protection Agency (“EPA”) and the National Highway Traffic Safety Administration on behalf of the U.S. Department of Transportation, previously issued rules associated with reducing greenhouse gas (“GHG”) and Nitrogen Oxide (“NOx”) emissions and improving the fuel efficiency of medium and heavy-duty trucks and buses. One of these rules, referred to herein as the “EPA 2027 Low NOx” rule, requires commercial vehicle engines to emit significantly less NOx than most such engines do today, beginning in model year 2027. In March 2024, the EPA issued an additional rule associated with reducing GHG emissions from heavy-duty trucks and buses for model years 2027 through 2032 (the “GHG-3” rule). While the GHG-3 rule claims to be technology neutral, in order to comply with the rule, commercial vehicle engine manufacturers would be required to manufacture an increasing percentage of “zero-emission” vehicles over time, which would likely reduce the number of diesel internal combustion engines (“ICE”) vehicles that could be manufactured over that time period. Similarly, the California Air Resources Board (“CARB”) has adopted rules and regulations that are intended to reduce NOx emissions (the “HD Omnibus” rule), phase out the sale of ICE commercial vehicles over time by requiring a certain percentage of each manufacturer’s commercial vehicles sold within the state to be “zero-emission vehicles” (the “Advanced Clean Trucks” rule) and require fleets to purchase a certain number of “zero-emission vehicles” (the “Advanced Clean Fleet” rule).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EPA previously granted waivers to CARB with respect to the HD Omnibus and Advanced Clean Truck rules, each of which became effective in January 2024. CARB withdrew its request for a waiver from the EPA with respect to the Advanced Clean Fleet rule in January 2025. Further, in February 2025, the EPA asked Congress to review the previously granted waivers that CARB received with respect to the HD Omnibus and Advanced Clean Truck rules. Congress voted to rescind the waivers, and in June 2025, President Trump signed Congress’ resolutions rescinding the waivers. The State of California and ten other states are currently challenging Congress’ authority to revoke the waivers. In addition, in July 2025, the EPA issued a proposal to rescind President Obama’s 2009 findings that GHG emissions endanger public human health and that vehicle emissions contribute to the GHG emissions (the “2009 Endangerment Finding”). The EPA’s proposal is currently out for public comment, but it is widely expected that that the GHG-3 rule will be repealed. In addition, it is also widely expected that the EPA 2027 Low NOx rule will be modified or repealed during 2025. It is also worth noting that there are currently multiple lawsuits pending where plaintiffs are challenging CARB’s rules on the basis that, amongst other things, such rules are preempted by other federal laws and that the EPA exceeded its authority in granting the waivers with respect to the HD Omnibus and Advanced Clean Truck rules. There are also multiple lawsuits pending where plaintiffs are challenging the GHG-3 rule on multiple grounds, including that the EPA exceeded its statutory authority in creating the rule.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not clear at this time if the Clean Truck Partnership will survive in light of all of the legal challenges questioning CARB’s authority to regulate engine emissions regulations, in addition to legal challenges to the Clean Truck Partnership itself. A group of seventeen U.S. states and the District of Columbia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although multiple of these states have recently announced plans to delay various aspects of CARB’s regulations. If CARB were to prevail in its legal challenges against Congress’ recission of the EPA waivers, attaining CARB’s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and discount rates related to finance sales. Our floor plan debt is based on SOFR and CORRA, the WF Credit Agreement is based on SOFR, the RTC Canada Revolving Agreement is based on CORRA and the PLC Agreement is based on the prime rate. As of June 30, 2025, we had floor plan borrowings and borrowings from BMO Harris, WF, PLC and BMO in the amount of $1,335.1 million. Assuming an increase or decrease in SOFR, CORRA or the prime rate of 100 basis points, annual interest expense could correspondingly increase or decrease by approximately $13.3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2025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June 30, 2025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June 30, 2025,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2024 Annual Report on Form 10-K (the “2024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second quarter of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second quarter of 2025 is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8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or Programs (3)</w:t>
            </w:r>
          </w:p>
        </w:tc>
        <w:tc>
          <w:tcPr>
            <w:tcW w:w="100" w:type="dxa"/>
            <w:vAlign w:val="bottom"/>
          </w:tcPr>
          <w:p>
            <w:pPr>
              <w:spacing w:after="0"/>
              <w:rPr>
                <w:sz w:val="20"/>
                <w:szCs w:val="20"/>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51.40 </w:t>
            </w:r>
            <w:r>
              <w:rPr>
                <w:rFonts w:ascii="Times New Roman" w:cs="Times New Roman" w:eastAsia="Times New Roman" w:hAnsi="Times New Roman"/>
                <w:sz w:val="18"/>
                <w:szCs w:val="18"/>
                <w:b w:val="1"/>
                <w:bCs w:val="1"/>
                <w:color w:val="auto"/>
              </w:rPr>
              <w:t>(5)</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1,482,555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36,362,581</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50.07 </w:t>
            </w:r>
            <w:r>
              <w:rPr>
                <w:rFonts w:ascii="Times New Roman" w:cs="Times New Roman" w:eastAsia="Times New Roman" w:hAnsi="Times New Roman"/>
                <w:sz w:val="18"/>
                <w:szCs w:val="18"/>
                <w:b w:val="1"/>
                <w:bCs w:val="1"/>
                <w:color w:val="auto"/>
              </w:rPr>
              <w:t>(6)</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148,477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28,923,805</w:t>
            </w:r>
          </w:p>
        </w:tc>
      </w:tr>
      <w:tr>
        <w:trPr>
          <w:trHeight w:val="21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2025</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48.96 </w:t>
            </w:r>
            <w:r>
              <w:rPr>
                <w:rFonts w:ascii="Times New Roman" w:cs="Times New Roman" w:eastAsia="Times New Roman" w:hAnsi="Times New Roman"/>
                <w:sz w:val="18"/>
                <w:szCs w:val="18"/>
                <w:b w:val="1"/>
                <w:bCs w:val="1"/>
                <w:color w:val="auto"/>
              </w:rPr>
              <w:t>(7)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28,649,311</w:t>
            </w: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1,636,638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Common Stock and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2024, we announced the approval of a new stock repurchase program, effective December 3, 2024, authorizing management to repurchase, from time to time, up to an aggregate of $150.0 million of our shares of Class A common stock and/or Class B common stock.</w:t>
      </w:r>
    </w:p>
    <w:p>
      <w:pPr>
        <w:jc w:val="both"/>
        <w:ind w:left="660" w:right="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2025, we announced the approval of a $50.0 million increase to the stock repurchase program, effective May 29, 2025, authorizing management to repurchase, from time to time, up to an aggregate of $200.0 million of our shares of Class A common stock and/or Class B common stock.</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1,349,252 shares of Class A Common Stock at an average price paid per share of $50.92 and 133,303 shares of Class B Common Stock at an average price paid per share of $56.23.</w:t>
      </w:r>
    </w:p>
    <w:p>
      <w:pPr>
        <w:ind w:left="660" w:right="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141,823 shares of Class A Common Stock at an average price paid per share of $49.70 and 6,654 shares of Class B Common Stock at an average price paid per share of $57.87.</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5,606 shares of Class A Common Stock at an average price paid per share of $48.96.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 Title</w:t>
            </w:r>
          </w:p>
        </w:tc>
      </w:tr>
      <w:tr>
        <w:trPr>
          <w:trHeight w:val="23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4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14"/>
                <w:szCs w:val="14"/>
                <w:color w:val="auto"/>
              </w:rPr>
            </w:pPr>
          </w:p>
        </w:tc>
        <w:tc>
          <w:tcPr>
            <w:tcW w:w="10100" w:type="dxa"/>
            <w:vAlign w:val="bottom"/>
            <w:gridSpan w:val="14"/>
          </w:tcPr>
          <w:p>
            <w:pPr>
              <w:spacing w:after="0" w:line="169"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Report on Form 10-Q (File No. 000-20797) for the quarter ended June 30, 2008)</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34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Certificate of Amendment to the Restated Articles of Incorporation of Rush Enterprises, Inc. (incorporated herein by reference to Exhibit</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of the Company’s Quarterly Report on Form 10-Q (File No. 000-20797) for the quarter ended June 30, 2023)</w:t>
              </w:r>
            </w:hyperlink>
          </w:p>
        </w:tc>
        <w:tc>
          <w:tcPr>
            <w:tcW w:w="1960" w:type="dxa"/>
            <w:vAlign w:val="bottom"/>
            <w:gridSpan w:val="8"/>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34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 on</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8-K (File No. 000-20797) filed May 21, 2013)</w:t>
              </w:r>
            </w:hyperlink>
          </w:p>
        </w:tc>
        <w:tc>
          <w:tcPr>
            <w:tcW w:w="6320" w:type="dxa"/>
            <w:vAlign w:val="bottom"/>
            <w:gridSpan w:val="12"/>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34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Company’s Current Report on Form 8-K (File No. 000-20797) filed May 24, 2021)</w:t>
              </w:r>
            </w:hyperlink>
          </w:p>
        </w:tc>
        <w:tc>
          <w:tcPr>
            <w:tcW w:w="4100" w:type="dxa"/>
            <w:vAlign w:val="bottom"/>
            <w:gridSpan w:val="9"/>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Third Amendment to the First Amended and Restate BMO Wholesale Financing and Security Agreements, dated as of June 13, 2025, by</w:t>
              </w:r>
            </w:hyperlink>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and between Rush Truck Centres of Canada, Ltd. and Bank of Montreal (incorporated herein by reference to Exhibit 10.1 of the Company’s</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Current Report on Form 8-K (File No. 000-20797) filed June 13, 2025)</w:t>
              </w:r>
            </w:hyperlink>
          </w:p>
        </w:tc>
        <w:tc>
          <w:tcPr>
            <w:tcW w:w="492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340" w:type="dxa"/>
            <w:vAlign w:val="bottom"/>
          </w:tcPr>
          <w:p>
            <w:pPr>
              <w:spacing w:after="0"/>
              <w:rPr>
                <w:sz w:val="17"/>
                <w:szCs w:val="17"/>
                <w:color w:val="auto"/>
              </w:rPr>
            </w:pPr>
          </w:p>
        </w:tc>
        <w:tc>
          <w:tcPr>
            <w:tcW w:w="9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500" w:type="dxa"/>
            <w:vAlign w:val="bottom"/>
            <w:gridSpan w:val="4"/>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340" w:type="dxa"/>
            <w:vAlign w:val="bottom"/>
          </w:tcPr>
          <w:p>
            <w:pPr>
              <w:spacing w:after="0"/>
              <w:rPr>
                <w:sz w:val="17"/>
                <w:szCs w:val="17"/>
                <w:color w:val="auto"/>
              </w:rPr>
            </w:pPr>
          </w:p>
        </w:tc>
        <w:tc>
          <w:tcPr>
            <w:tcW w:w="9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CFO pursuant to Rules 13a-14(a) and 15d-14(a) adopted pursuant to Section 302 of the Sarbanes-Oxley Act of 2002.</w:t>
            </w:r>
          </w:p>
        </w:tc>
        <w:tc>
          <w:tcPr>
            <w:tcW w:w="520" w:type="dxa"/>
            <w:vAlign w:val="bottom"/>
            <w:gridSpan w:val="5"/>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820" w:type="dxa"/>
            <w:vAlign w:val="bottom"/>
            <w:gridSpan w:val="6"/>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7"/>
                <w:szCs w:val="17"/>
                <w:color w:val="auto"/>
              </w:rPr>
            </w:pPr>
          </w:p>
        </w:tc>
        <w:tc>
          <w:tcPr>
            <w:tcW w:w="92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CFO pursuant to 18 U.S.C. Section 1350 as adopted pursuant to Section 906 of the Sarbanes-Oxley Act of 2002.</w:t>
            </w:r>
          </w:p>
        </w:tc>
        <w:tc>
          <w:tcPr>
            <w:tcW w:w="840" w:type="dxa"/>
            <w:vAlign w:val="bottom"/>
            <w:gridSpan w:val="7"/>
          </w:tcPr>
          <w:p>
            <w:pPr>
              <w:spacing w:after="0"/>
              <w:rPr>
                <w:sz w:val="17"/>
                <w:szCs w:val="17"/>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18"/>
                <w:szCs w:val="18"/>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100" w:hanging="65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8, 2025</w:t>
            </w:r>
          </w:p>
        </w:tc>
        <w:tc>
          <w:tcPr>
            <w:tcW w:w="23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8"/>
              </w:rPr>
              <w:t>/S/ W.M. “RUSTY” RUSH</w:t>
            </w:r>
          </w:p>
        </w:tc>
        <w:tc>
          <w:tcPr>
            <w:tcW w:w="1160" w:type="dxa"/>
            <w:vAlign w:val="bottom"/>
          </w:tcPr>
          <w:p>
            <w:pPr>
              <w:spacing w:after="0"/>
              <w:rPr>
                <w:sz w:val="17"/>
                <w:szCs w:val="17"/>
                <w:color w:val="auto"/>
              </w:rPr>
            </w:pPr>
          </w:p>
        </w:tc>
      </w:tr>
      <w:tr>
        <w:trPr>
          <w:trHeight w:val="21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8, 2025</w:t>
            </w:r>
          </w:p>
        </w:tc>
        <w:tc>
          <w:tcPr>
            <w:tcW w:w="23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STEVEN L. KELLER</w:t>
            </w:r>
          </w:p>
        </w:tc>
      </w:tr>
      <w:tr>
        <w:trPr>
          <w:trHeight w:val="21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gridSpan w:val="2"/>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32"/>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2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7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6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0"/>
        </w:trPr>
        <w:tc>
          <w:tcPr>
            <w:tcW w:w="3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8"/>
        </w:trPr>
        <w:tc>
          <w:tcPr>
            <w:tcW w:w="3680" w:type="dxa"/>
            <w:vAlign w:val="bottom"/>
          </w:tcPr>
          <w:p>
            <w:pPr>
              <w:spacing w:after="0"/>
              <w:rPr>
                <w:sz w:val="18"/>
                <w:szCs w:val="18"/>
                <w:color w:val="auto"/>
              </w:rPr>
            </w:pPr>
          </w:p>
        </w:tc>
        <w:tc>
          <w:tcPr>
            <w:tcW w:w="564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3680" w:type="dxa"/>
            <w:vAlign w:val="bottom"/>
          </w:tcPr>
          <w:p>
            <w:pPr>
              <w:spacing w:after="0"/>
              <w:rPr>
                <w:sz w:val="18"/>
                <w:szCs w:val="18"/>
                <w:color w:val="auto"/>
              </w:rPr>
            </w:pPr>
          </w:p>
        </w:tc>
        <w:tc>
          <w:tcPr>
            <w:tcW w:w="564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680" w:type="dxa"/>
            <w:vAlign w:val="bottom"/>
          </w:tcPr>
          <w:p>
            <w:pPr>
              <w:spacing w:after="0"/>
              <w:rPr>
                <w:sz w:val="20"/>
                <w:szCs w:val="20"/>
                <w:color w:val="auto"/>
              </w:rPr>
            </w:pPr>
          </w:p>
        </w:tc>
        <w:tc>
          <w:tcPr>
            <w:tcW w:w="564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1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Name:W.M. “Rusty” Rush</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President, Chief Executive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Name:Steven L. Keller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8" Type="http://schemas.openxmlformats.org/officeDocument/2006/relationships/image" Target="media/image26.png"/><Relationship Id="rId33" Type="http://schemas.openxmlformats.org/officeDocument/2006/relationships/hyperlink" Target="http://www.sec.gov/Archives/edgar/data/1012019/000110465908051789/a08-18770_1ex3d1.htm" TargetMode="External"/><Relationship Id="rId34" Type="http://schemas.openxmlformats.org/officeDocument/2006/relationships/hyperlink" Target="http://www.sec.gov/Archives/edgar/data/1012019/000143774923022761/ex_553893.htm" TargetMode="External"/><Relationship Id="rId35" Type="http://schemas.openxmlformats.org/officeDocument/2006/relationships/hyperlink" Target="http://www.sec.gov/Archives/edgar/data/1012019/000143774913006455/rusha20130517_8kex3-1.htm" TargetMode="External"/><Relationship Id="rId36" Type="http://schemas.openxmlformats.org/officeDocument/2006/relationships/hyperlink" Target="http://www.sec.gov/Archives/edgar/data/1012019/000143774921013172/ex_252719.htm" TargetMode="External"/><Relationship Id="rId37" Type="http://schemas.openxmlformats.org/officeDocument/2006/relationships/hyperlink" Target="http://www.sec.gov/Archives/edgar/data/1012019/000143774925020786/ex_8322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2025-08-08T15:42:04Z</dcterms:created>
  <dcterms:modified xsi:type="dcterms:W3CDTF">2025-08-08T15:42:04Z</dcterms:modified>
</cp:coreProperties>
</file>