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700" w:hanging="692"/>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06" w:lineRule="exact"/>
        <w:rPr>
          <w:rFonts w:ascii="Arial" w:cs="Arial" w:eastAsia="Arial" w:hAnsi="Arial"/>
          <w:sz w:val="18"/>
          <w:szCs w:val="18"/>
          <w:color w:val="auto"/>
        </w:rPr>
      </w:pPr>
    </w:p>
    <w:p>
      <w:pPr>
        <w:ind w:left="3980"/>
        <w:spacing w:after="0"/>
        <w:rPr>
          <w:rFonts w:ascii="Arial" w:cs="Arial" w:eastAsia="Arial" w:hAnsi="Arial"/>
          <w:sz w:val="18"/>
          <w:szCs w:val="18"/>
          <w:color w:val="auto"/>
        </w:rPr>
      </w:pPr>
      <w:r>
        <w:rPr>
          <w:rFonts w:ascii="Arial" w:cs="Arial" w:eastAsia="Arial" w:hAnsi="Arial"/>
          <w:sz w:val="18"/>
          <w:szCs w:val="18"/>
          <w:b w:val="1"/>
          <w:bCs w:val="1"/>
          <w:color w:val="auto"/>
        </w:rPr>
        <w:t>For the quarterly period ended June 30, 2015</w:t>
      </w:r>
    </w:p>
    <w:p>
      <w:pPr>
        <w:spacing w:after="0" w:line="22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ind w:right="2060" w:firstLine="8"/>
        <w:spacing w:after="0" w:line="530" w:lineRule="auto"/>
        <w:tabs>
          <w:tab w:leader="none" w:pos="195" w:val="left"/>
        </w:tabs>
        <w:numPr>
          <w:ilvl w:val="0"/>
          <w:numId w:val="2"/>
        </w:numPr>
        <w:rPr>
          <w:rFonts w:ascii="Arial" w:cs="Arial" w:eastAsia="Arial" w:hAnsi="Arial"/>
          <w:sz w:val="17"/>
          <w:szCs w:val="17"/>
          <w:color w:val="auto"/>
        </w:rPr>
      </w:pPr>
      <w:r>
        <w:rPr>
          <w:rFonts w:ascii="Arial" w:cs="Arial" w:eastAsia="Arial" w:hAnsi="Arial"/>
          <w:sz w:val="17"/>
          <w:szCs w:val="17"/>
          <w:color w:val="auto"/>
        </w:rPr>
        <w:t>) TRANSITION REPORT PURSUANT TO SECTION 13 OR 15(d) OF THE SECURITIES EXCHANGE ACT OF 1934 For the transition period from ___________________________ to ____________________________________________</w:t>
      </w:r>
    </w:p>
    <w:p>
      <w:pPr>
        <w:spacing w:after="0" w:line="1" w:lineRule="exact"/>
        <w:rPr>
          <w:sz w:val="24"/>
          <w:szCs w:val="24"/>
          <w:color w:val="auto"/>
        </w:rPr>
      </w:pPr>
    </w:p>
    <w:tbl>
      <w:tblPr>
        <w:tblLayout w:type="fixed"/>
        <w:tblInd w:w="580" w:type="dxa"/>
        <w:tblCellMar>
          <w:top w:w="0" w:type="dxa"/>
          <w:left w:w="0" w:type="dxa"/>
          <w:bottom w:w="0" w:type="dxa"/>
          <w:right w:w="0" w:type="dxa"/>
        </w:tblCellMar>
      </w:tblPr>
      <w:tr>
        <w:trPr>
          <w:trHeight w:val="230"/>
        </w:trPr>
        <w:tc>
          <w:tcPr>
            <w:tcW w:w="2660" w:type="dxa"/>
            <w:vAlign w:val="bottom"/>
          </w:tcPr>
          <w:p>
            <w:pPr>
              <w:spacing w:after="0"/>
              <w:rPr>
                <w:sz w:val="20"/>
                <w:szCs w:val="20"/>
                <w:color w:val="auto"/>
              </w:rPr>
            </w:pPr>
          </w:p>
        </w:tc>
        <w:tc>
          <w:tcPr>
            <w:tcW w:w="7600" w:type="dxa"/>
            <w:vAlign w:val="bottom"/>
          </w:tcPr>
          <w:p>
            <w:pPr>
              <w:jc w:val="center"/>
              <w:ind w:right="2550"/>
              <w:spacing w:after="0"/>
              <w:rPr>
                <w:sz w:val="20"/>
                <w:szCs w:val="20"/>
                <w:color w:val="auto"/>
              </w:rPr>
            </w:pPr>
            <w:r>
              <w:rPr>
                <w:rFonts w:ascii="Arial" w:cs="Arial" w:eastAsia="Arial" w:hAnsi="Arial"/>
                <w:sz w:val="18"/>
                <w:szCs w:val="18"/>
                <w:color w:val="auto"/>
                <w:w w:val="92"/>
              </w:rPr>
              <w:t>Commission File Number 0-20797</w:t>
            </w:r>
          </w:p>
        </w:tc>
      </w:tr>
      <w:tr>
        <w:trPr>
          <w:trHeight w:val="634"/>
        </w:trPr>
        <w:tc>
          <w:tcPr>
            <w:tcW w:w="2660" w:type="dxa"/>
            <w:vAlign w:val="bottom"/>
          </w:tcPr>
          <w:p>
            <w:pPr>
              <w:spacing w:after="0"/>
              <w:rPr>
                <w:sz w:val="24"/>
                <w:szCs w:val="24"/>
                <w:color w:val="auto"/>
              </w:rPr>
            </w:pPr>
          </w:p>
        </w:tc>
        <w:tc>
          <w:tcPr>
            <w:tcW w:w="7600" w:type="dxa"/>
            <w:vAlign w:val="bottom"/>
          </w:tcPr>
          <w:p>
            <w:pPr>
              <w:jc w:val="center"/>
              <w:ind w:right="2570"/>
              <w:spacing w:after="0"/>
              <w:rPr>
                <w:sz w:val="20"/>
                <w:szCs w:val="20"/>
                <w:color w:val="auto"/>
              </w:rPr>
            </w:pPr>
            <w:r>
              <w:rPr>
                <w:rFonts w:ascii="Arial" w:cs="Arial" w:eastAsia="Arial" w:hAnsi="Arial"/>
                <w:sz w:val="18"/>
                <w:szCs w:val="18"/>
                <w:b w:val="1"/>
                <w:bCs w:val="1"/>
                <w:color w:val="auto"/>
                <w:w w:val="98"/>
              </w:rPr>
              <w:t>RUSH ENTERPRISES, INC.</w:t>
            </w:r>
          </w:p>
        </w:tc>
      </w:tr>
      <w:tr>
        <w:trPr>
          <w:trHeight w:val="230"/>
        </w:trPr>
        <w:tc>
          <w:tcPr>
            <w:tcW w:w="2660" w:type="dxa"/>
            <w:vAlign w:val="bottom"/>
          </w:tcPr>
          <w:p>
            <w:pPr>
              <w:spacing w:after="0"/>
              <w:rPr>
                <w:sz w:val="20"/>
                <w:szCs w:val="20"/>
                <w:color w:val="auto"/>
              </w:rPr>
            </w:pPr>
          </w:p>
        </w:tc>
        <w:tc>
          <w:tcPr>
            <w:tcW w:w="7600" w:type="dxa"/>
            <w:vAlign w:val="bottom"/>
          </w:tcPr>
          <w:p>
            <w:pPr>
              <w:jc w:val="center"/>
              <w:ind w:right="255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18"/>
        </w:trPr>
        <w:tc>
          <w:tcPr>
            <w:tcW w:w="2660" w:type="dxa"/>
            <w:vAlign w:val="bottom"/>
          </w:tcPr>
          <w:p>
            <w:pPr>
              <w:ind w:left="920"/>
              <w:spacing w:after="0"/>
              <w:rPr>
                <w:sz w:val="20"/>
                <w:szCs w:val="20"/>
                <w:color w:val="auto"/>
              </w:rPr>
            </w:pPr>
            <w:r>
              <w:rPr>
                <w:rFonts w:ascii="Arial" w:cs="Arial" w:eastAsia="Arial" w:hAnsi="Arial"/>
                <w:sz w:val="18"/>
                <w:szCs w:val="18"/>
                <w:color w:val="auto"/>
              </w:rPr>
              <w:t>Texas</w:t>
            </w:r>
          </w:p>
        </w:tc>
        <w:tc>
          <w:tcPr>
            <w:tcW w:w="7600" w:type="dxa"/>
            <w:vAlign w:val="bottom"/>
          </w:tcPr>
          <w:p>
            <w:pPr>
              <w:jc w:val="right"/>
              <w:ind w:right="230"/>
              <w:spacing w:after="0"/>
              <w:rPr>
                <w:sz w:val="20"/>
                <w:szCs w:val="20"/>
                <w:color w:val="auto"/>
              </w:rPr>
            </w:pPr>
            <w:r>
              <w:rPr>
                <w:rFonts w:ascii="Arial" w:cs="Arial" w:eastAsia="Arial" w:hAnsi="Arial"/>
                <w:sz w:val="18"/>
                <w:szCs w:val="18"/>
                <w:color w:val="auto"/>
              </w:rPr>
              <w:t>74-1733016</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(State or other jurisdiction of</w:t>
            </w:r>
          </w:p>
        </w:tc>
        <w:tc>
          <w:tcPr>
            <w:tcW w:w="7600" w:type="dxa"/>
            <w:vAlign w:val="bottom"/>
          </w:tcPr>
          <w:p>
            <w:pPr>
              <w:jc w:val="right"/>
              <w:spacing w:after="0"/>
              <w:rPr>
                <w:sz w:val="20"/>
                <w:szCs w:val="20"/>
                <w:color w:val="auto"/>
              </w:rPr>
            </w:pPr>
            <w:r>
              <w:rPr>
                <w:rFonts w:ascii="Arial" w:cs="Arial" w:eastAsia="Arial" w:hAnsi="Arial"/>
                <w:sz w:val="18"/>
                <w:szCs w:val="18"/>
                <w:color w:val="auto"/>
              </w:rPr>
              <w:t>(I.R.S. Employer Identification No.)</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incorporation or</w:t>
            </w:r>
          </w:p>
        </w:tc>
        <w:tc>
          <w:tcPr>
            <w:tcW w:w="7600" w:type="dxa"/>
            <w:vAlign w:val="bottom"/>
          </w:tcPr>
          <w:p>
            <w:pPr>
              <w:spacing w:after="0"/>
              <w:rPr>
                <w:sz w:val="18"/>
                <w:szCs w:val="18"/>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organization)</w:t>
            </w:r>
          </w:p>
        </w:tc>
        <w:tc>
          <w:tcPr>
            <w:tcW w:w="7600" w:type="dxa"/>
            <w:vAlign w:val="bottom"/>
          </w:tcPr>
          <w:p>
            <w:pPr>
              <w:spacing w:after="0"/>
              <w:rPr>
                <w:sz w:val="20"/>
                <w:szCs w:val="20"/>
                <w:color w:val="auto"/>
              </w:rPr>
            </w:pPr>
          </w:p>
        </w:tc>
      </w:tr>
      <w:tr>
        <w:trPr>
          <w:trHeight w:val="418"/>
        </w:trPr>
        <w:tc>
          <w:tcPr>
            <w:tcW w:w="2660" w:type="dxa"/>
            <w:vAlign w:val="bottom"/>
          </w:tcPr>
          <w:p>
            <w:pPr>
              <w:spacing w:after="0"/>
              <w:rPr>
                <w:sz w:val="24"/>
                <w:szCs w:val="24"/>
                <w:color w:val="auto"/>
              </w:rPr>
            </w:pPr>
          </w:p>
        </w:tc>
        <w:tc>
          <w:tcPr>
            <w:tcW w:w="7600" w:type="dxa"/>
            <w:vAlign w:val="bottom"/>
          </w:tcPr>
          <w:p>
            <w:pPr>
              <w:jc w:val="center"/>
              <w:ind w:right="2570"/>
              <w:spacing w:after="0"/>
              <w:rPr>
                <w:sz w:val="20"/>
                <w:szCs w:val="20"/>
                <w:color w:val="auto"/>
              </w:rPr>
            </w:pPr>
            <w:r>
              <w:rPr>
                <w:rFonts w:ascii="Arial" w:cs="Arial" w:eastAsia="Arial" w:hAnsi="Arial"/>
                <w:sz w:val="18"/>
                <w:szCs w:val="18"/>
                <w:color w:val="auto"/>
                <w:w w:val="91"/>
              </w:rPr>
              <w:t>555 I.H. 35 South, Suite 500</w:t>
            </w:r>
          </w:p>
        </w:tc>
      </w:tr>
      <w:tr>
        <w:trPr>
          <w:trHeight w:val="216"/>
        </w:trPr>
        <w:tc>
          <w:tcPr>
            <w:tcW w:w="2660" w:type="dxa"/>
            <w:vAlign w:val="bottom"/>
          </w:tcPr>
          <w:p>
            <w:pPr>
              <w:spacing w:after="0"/>
              <w:rPr>
                <w:sz w:val="18"/>
                <w:szCs w:val="18"/>
                <w:color w:val="auto"/>
              </w:rPr>
            </w:pPr>
          </w:p>
        </w:tc>
        <w:tc>
          <w:tcPr>
            <w:tcW w:w="7600" w:type="dxa"/>
            <w:vAlign w:val="bottom"/>
          </w:tcPr>
          <w:p>
            <w:pPr>
              <w:jc w:val="center"/>
              <w:ind w:right="2550"/>
              <w:spacing w:after="0"/>
              <w:rPr>
                <w:sz w:val="20"/>
                <w:szCs w:val="20"/>
                <w:color w:val="auto"/>
              </w:rPr>
            </w:pPr>
            <w:r>
              <w:rPr>
                <w:rFonts w:ascii="Arial" w:cs="Arial" w:eastAsia="Arial" w:hAnsi="Arial"/>
                <w:sz w:val="18"/>
                <w:szCs w:val="18"/>
                <w:color w:val="auto"/>
                <w:w w:val="89"/>
              </w:rPr>
              <w:t>New Braunfels, Texas 78130</w:t>
            </w:r>
          </w:p>
        </w:tc>
      </w:tr>
      <w:tr>
        <w:trPr>
          <w:trHeight w:val="216"/>
        </w:trPr>
        <w:tc>
          <w:tcPr>
            <w:tcW w:w="2660" w:type="dxa"/>
            <w:vAlign w:val="bottom"/>
          </w:tcPr>
          <w:p>
            <w:pPr>
              <w:spacing w:after="0"/>
              <w:rPr>
                <w:sz w:val="18"/>
                <w:szCs w:val="18"/>
                <w:color w:val="auto"/>
              </w:rPr>
            </w:pPr>
          </w:p>
        </w:tc>
        <w:tc>
          <w:tcPr>
            <w:tcW w:w="7600" w:type="dxa"/>
            <w:vAlign w:val="bottom"/>
          </w:tcPr>
          <w:p>
            <w:pPr>
              <w:jc w:val="center"/>
              <w:ind w:right="2570"/>
              <w:spacing w:after="0"/>
              <w:rPr>
                <w:sz w:val="20"/>
                <w:szCs w:val="20"/>
                <w:color w:val="auto"/>
              </w:rPr>
            </w:pPr>
            <w:r>
              <w:rPr>
                <w:rFonts w:ascii="Arial" w:cs="Arial" w:eastAsia="Arial" w:hAnsi="Arial"/>
                <w:sz w:val="18"/>
                <w:szCs w:val="18"/>
                <w:color w:val="auto"/>
                <w:w w:val="92"/>
              </w:rPr>
              <w:t>(Address of principal executive offices)</w:t>
            </w:r>
          </w:p>
        </w:tc>
      </w:tr>
      <w:tr>
        <w:trPr>
          <w:trHeight w:val="230"/>
        </w:trPr>
        <w:tc>
          <w:tcPr>
            <w:tcW w:w="2660" w:type="dxa"/>
            <w:vAlign w:val="bottom"/>
          </w:tcPr>
          <w:p>
            <w:pPr>
              <w:spacing w:after="0"/>
              <w:rPr>
                <w:sz w:val="20"/>
                <w:szCs w:val="20"/>
                <w:color w:val="auto"/>
              </w:rPr>
            </w:pPr>
          </w:p>
        </w:tc>
        <w:tc>
          <w:tcPr>
            <w:tcW w:w="7600" w:type="dxa"/>
            <w:vAlign w:val="bottom"/>
          </w:tcPr>
          <w:p>
            <w:pPr>
              <w:jc w:val="center"/>
              <w:ind w:right="2550"/>
              <w:spacing w:after="0"/>
              <w:rPr>
                <w:sz w:val="20"/>
                <w:szCs w:val="20"/>
                <w:color w:val="auto"/>
              </w:rPr>
            </w:pPr>
            <w:r>
              <w:rPr>
                <w:rFonts w:ascii="Arial" w:cs="Arial" w:eastAsia="Arial" w:hAnsi="Arial"/>
                <w:sz w:val="18"/>
                <w:szCs w:val="18"/>
                <w:color w:val="auto"/>
                <w:w w:val="94"/>
              </w:rPr>
              <w:t>(Zip Code)</w:t>
            </w:r>
          </w:p>
        </w:tc>
      </w:tr>
      <w:tr>
        <w:trPr>
          <w:trHeight w:val="418"/>
        </w:trPr>
        <w:tc>
          <w:tcPr>
            <w:tcW w:w="2660" w:type="dxa"/>
            <w:vAlign w:val="bottom"/>
          </w:tcPr>
          <w:p>
            <w:pPr>
              <w:spacing w:after="0"/>
              <w:rPr>
                <w:sz w:val="24"/>
                <w:szCs w:val="24"/>
                <w:color w:val="auto"/>
              </w:rPr>
            </w:pPr>
          </w:p>
        </w:tc>
        <w:tc>
          <w:tcPr>
            <w:tcW w:w="7600" w:type="dxa"/>
            <w:vAlign w:val="bottom"/>
          </w:tcPr>
          <w:p>
            <w:pPr>
              <w:jc w:val="center"/>
              <w:ind w:right="2550"/>
              <w:spacing w:after="0"/>
              <w:rPr>
                <w:sz w:val="20"/>
                <w:szCs w:val="20"/>
                <w:color w:val="auto"/>
              </w:rPr>
            </w:pPr>
            <w:r>
              <w:rPr>
                <w:rFonts w:ascii="Arial" w:cs="Arial" w:eastAsia="Arial" w:hAnsi="Arial"/>
                <w:sz w:val="18"/>
                <w:szCs w:val="18"/>
                <w:color w:val="auto"/>
                <w:w w:val="90"/>
              </w:rPr>
              <w:t>(830) 626-5200</w:t>
            </w:r>
          </w:p>
        </w:tc>
      </w:tr>
      <w:tr>
        <w:trPr>
          <w:trHeight w:val="230"/>
        </w:trPr>
        <w:tc>
          <w:tcPr>
            <w:tcW w:w="2660" w:type="dxa"/>
            <w:vAlign w:val="bottom"/>
          </w:tcPr>
          <w:p>
            <w:pPr>
              <w:spacing w:after="0"/>
              <w:rPr>
                <w:sz w:val="20"/>
                <w:szCs w:val="20"/>
                <w:color w:val="auto"/>
              </w:rPr>
            </w:pPr>
          </w:p>
        </w:tc>
        <w:tc>
          <w:tcPr>
            <w:tcW w:w="7600" w:type="dxa"/>
            <w:vAlign w:val="bottom"/>
          </w:tcPr>
          <w:p>
            <w:pPr>
              <w:jc w:val="center"/>
              <w:ind w:right="2570"/>
              <w:spacing w:after="0"/>
              <w:rPr>
                <w:sz w:val="20"/>
                <w:szCs w:val="20"/>
                <w:color w:val="auto"/>
              </w:rPr>
            </w:pPr>
            <w:r>
              <w:rPr>
                <w:rFonts w:ascii="Arial" w:cs="Arial" w:eastAsia="Arial" w:hAnsi="Arial"/>
                <w:sz w:val="18"/>
                <w:szCs w:val="18"/>
                <w:color w:val="auto"/>
                <w:w w:val="90"/>
              </w:rPr>
              <w:t>(Registrant’s telephone number, including area code)</w:t>
            </w:r>
          </w:p>
        </w:tc>
      </w:tr>
    </w:tbl>
    <w:p>
      <w:pPr>
        <w:spacing w:after="0" w:line="200" w:lineRule="exact"/>
        <w:rPr>
          <w:sz w:val="24"/>
          <w:szCs w:val="24"/>
          <w:color w:val="auto"/>
        </w:rPr>
      </w:pPr>
    </w:p>
    <w:p>
      <w:pPr>
        <w:spacing w:after="0" w:line="218" w:lineRule="exact"/>
        <w:rPr>
          <w:sz w:val="24"/>
          <w:szCs w:val="24"/>
          <w:color w:val="auto"/>
        </w:rPr>
      </w:pPr>
    </w:p>
    <w:p>
      <w:pPr>
        <w:jc w:val="both"/>
        <w:ind w:right="260" w:firstLine="648"/>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4920"/>
        <w:spacing w:after="0"/>
        <w:tabs>
          <w:tab w:leader="none" w:pos="630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8"/>
          <w:szCs w:val="18"/>
          <w:color w:val="auto"/>
        </w:rPr>
        <w:t>No [  ]</w:t>
      </w:r>
    </w:p>
    <w:p>
      <w:pPr>
        <w:spacing w:after="0" w:line="211" w:lineRule="exact"/>
        <w:rPr>
          <w:sz w:val="24"/>
          <w:szCs w:val="24"/>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81" w:lineRule="exact"/>
        <w:rPr>
          <w:sz w:val="24"/>
          <w:szCs w:val="24"/>
          <w:color w:val="auto"/>
        </w:rPr>
      </w:pPr>
    </w:p>
    <w:p>
      <w:pPr>
        <w:ind w:left="4920"/>
        <w:spacing w:after="0"/>
        <w:tabs>
          <w:tab w:leader="none" w:pos="630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8"/>
          <w:szCs w:val="18"/>
          <w:color w:val="auto"/>
        </w:rPr>
        <w:t>No [  ]</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460"/>
          </w:cols>
          <w:pgMar w:left="240" w:top="226" w:right="199" w:bottom="627" w:gutter="0" w:footer="0" w:header="0"/>
        </w:sectPr>
      </w:pPr>
    </w:p>
    <w:p>
      <w:pPr>
        <w:spacing w:after="0" w:line="178" w:lineRule="exact"/>
        <w:rPr>
          <w:sz w:val="24"/>
          <w:szCs w:val="24"/>
          <w:color w:val="auto"/>
        </w:rPr>
      </w:pPr>
    </w:p>
    <w:p>
      <w:pPr>
        <w:ind w:left="3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6880" w:space="720"/>
            <w:col w:w="3860"/>
          </w:cols>
          <w:pgMar w:left="240" w:top="226" w:right="199" w:bottom="627" w:gutter="0" w:footer="0" w:header="0"/>
          <w:type w:val="continuous"/>
        </w:sectPr>
      </w:pPr>
    </w:p>
    <w:p>
      <w:pPr>
        <w:spacing w:after="0" w:line="48"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58" w:lineRule="exact"/>
        <w:rPr>
          <w:sz w:val="24"/>
          <w:szCs w:val="24"/>
          <w:color w:val="auto"/>
        </w:rPr>
      </w:pPr>
    </w:p>
    <w:p>
      <w:pPr>
        <w:ind w:left="3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464" w:lineRule="exact"/>
        <w:rPr>
          <w:sz w:val="24"/>
          <w:szCs w:val="24"/>
          <w:color w:val="auto"/>
        </w:rPr>
      </w:pPr>
    </w:p>
    <w:p>
      <w:pPr>
        <w:sectPr>
          <w:pgSz w:w="11900" w:h="16838" w:orient="portrait"/>
          <w:cols w:equalWidth="0" w:num="2">
            <w:col w:w="6880" w:space="720"/>
            <w:col w:w="3860"/>
          </w:cols>
          <w:pgMar w:left="240" w:top="226" w:right="199" w:bottom="627" w:gutter="0" w:footer="0" w:header="0"/>
          <w:type w:val="continuous"/>
        </w:sectPr>
      </w:pPr>
    </w:p>
    <w:p>
      <w:pPr>
        <w:spacing w:after="0" w:line="32"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46" w:lineRule="exact"/>
        <w:rPr>
          <w:sz w:val="24"/>
          <w:szCs w:val="24"/>
          <w:color w:val="auto"/>
        </w:rPr>
      </w:pPr>
    </w:p>
    <w:p>
      <w:pPr>
        <w:ind w:left="4920"/>
        <w:spacing w:after="0"/>
        <w:tabs>
          <w:tab w:leader="none" w:pos="6300" w:val="left"/>
        </w:tabs>
        <w:rPr>
          <w:sz w:val="20"/>
          <w:szCs w:val="20"/>
          <w:color w:val="auto"/>
        </w:rPr>
      </w:pPr>
      <w:r>
        <w:rPr>
          <w:rFonts w:ascii="Arial" w:cs="Arial" w:eastAsia="Arial" w:hAnsi="Arial"/>
          <w:sz w:val="18"/>
          <w:szCs w:val="18"/>
          <w:color w:val="auto"/>
        </w:rPr>
        <w:t>Yes [  ]</w:t>
      </w:r>
      <w:r>
        <w:rPr>
          <w:sz w:val="20"/>
          <w:szCs w:val="20"/>
          <w:color w:val="auto"/>
        </w:rPr>
        <w:tab/>
      </w:r>
      <w:r>
        <w:rPr>
          <w:rFonts w:ascii="Arial" w:cs="Arial" w:eastAsia="Arial" w:hAnsi="Arial"/>
          <w:sz w:val="18"/>
          <w:szCs w:val="18"/>
          <w:color w:val="auto"/>
        </w:rPr>
        <w:t>No [X]</w:t>
      </w:r>
    </w:p>
    <w:p>
      <w:pPr>
        <w:sectPr>
          <w:pgSz w:w="11900" w:h="16838" w:orient="portrait"/>
          <w:cols w:equalWidth="0" w:num="1">
            <w:col w:w="11460"/>
          </w:cols>
          <w:pgMar w:left="240" w:top="226" w:right="199" w:bottom="627" w:gutter="0" w:footer="0" w:header="0"/>
          <w:type w:val="continuous"/>
        </w:sectPr>
      </w:pPr>
    </w:p>
    <w:p>
      <w:pPr>
        <w:spacing w:after="0" w:line="21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Indicated below is the number of shares outstanding of each of the issuer’s classes of common stock, as of August 1, 2015.</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3260" w:type="dxa"/>
            <w:vAlign w:val="bottom"/>
            <w:gridSpan w:val="2"/>
          </w:tcPr>
          <w:p>
            <w:pPr>
              <w:ind w:left="20"/>
              <w:spacing w:after="0"/>
              <w:rPr>
                <w:sz w:val="20"/>
                <w:szCs w:val="20"/>
                <w:color w:val="auto"/>
              </w:rPr>
            </w:pPr>
            <w:r>
              <w:rPr>
                <w:rFonts w:ascii="Arial" w:cs="Arial" w:eastAsia="Arial" w:hAnsi="Arial"/>
                <w:sz w:val="18"/>
                <w:szCs w:val="18"/>
                <w:color w:val="auto"/>
              </w:rPr>
              <w:t>Number of</w:t>
            </w:r>
          </w:p>
        </w:tc>
      </w:tr>
      <w:tr>
        <w:trPr>
          <w:trHeight w:val="216"/>
        </w:trPr>
        <w:tc>
          <w:tcPr>
            <w:tcW w:w="1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3260" w:type="dxa"/>
            <w:vAlign w:val="bottom"/>
            <w:gridSpan w:val="2"/>
          </w:tcPr>
          <w:p>
            <w:pPr>
              <w:ind w:left="200"/>
              <w:spacing w:after="0"/>
              <w:rPr>
                <w:sz w:val="20"/>
                <w:szCs w:val="20"/>
                <w:color w:val="auto"/>
              </w:rPr>
            </w:pPr>
            <w:r>
              <w:rPr>
                <w:rFonts w:ascii="Arial" w:cs="Arial" w:eastAsia="Arial" w:hAnsi="Arial"/>
                <w:sz w:val="18"/>
                <w:szCs w:val="18"/>
                <w:color w:val="auto"/>
              </w:rPr>
              <w:t>Shares</w:t>
            </w:r>
          </w:p>
        </w:tc>
      </w:tr>
      <w:tr>
        <w:trPr>
          <w:trHeight w:val="190"/>
        </w:trPr>
        <w:tc>
          <w:tcPr>
            <w:tcW w:w="1300" w:type="dxa"/>
            <w:vAlign w:val="bottom"/>
          </w:tcPr>
          <w:p>
            <w:pPr>
              <w:spacing w:after="0"/>
              <w:rPr>
                <w:sz w:val="16"/>
                <w:szCs w:val="16"/>
                <w:color w:val="auto"/>
              </w:rPr>
            </w:pPr>
          </w:p>
        </w:tc>
        <w:tc>
          <w:tcPr>
            <w:tcW w:w="6900" w:type="dxa"/>
            <w:vAlign w:val="bottom"/>
            <w:gridSpan w:val="2"/>
          </w:tcPr>
          <w:p>
            <w:pPr>
              <w:spacing w:after="0" w:line="190" w:lineRule="exact"/>
              <w:rPr>
                <w:sz w:val="20"/>
                <w:szCs w:val="20"/>
                <w:color w:val="auto"/>
              </w:rPr>
            </w:pPr>
            <w:r>
              <w:rPr>
                <w:rFonts w:ascii="Arial" w:cs="Arial" w:eastAsia="Arial" w:hAnsi="Arial"/>
                <w:sz w:val="18"/>
                <w:szCs w:val="18"/>
                <w:color w:val="auto"/>
              </w:rPr>
              <w:t>Title of Class</w:t>
            </w:r>
          </w:p>
        </w:tc>
        <w:tc>
          <w:tcPr>
            <w:tcW w:w="3260" w:type="dxa"/>
            <w:vAlign w:val="bottom"/>
            <w:gridSpan w:val="2"/>
          </w:tcPr>
          <w:p>
            <w:pPr>
              <w:spacing w:after="0" w:line="190" w:lineRule="exact"/>
              <w:rPr>
                <w:sz w:val="20"/>
                <w:szCs w:val="20"/>
                <w:color w:val="auto"/>
              </w:rPr>
            </w:pPr>
            <w:r>
              <w:rPr>
                <w:rFonts w:ascii="Arial" w:cs="Arial" w:eastAsia="Arial" w:hAnsi="Arial"/>
                <w:sz w:val="18"/>
                <w:szCs w:val="18"/>
                <w:color w:val="auto"/>
              </w:rPr>
              <w:t>Outstanding</w:t>
            </w:r>
          </w:p>
        </w:tc>
      </w:tr>
      <w:tr>
        <w:trPr>
          <w:trHeight w:val="20"/>
        </w:trPr>
        <w:tc>
          <w:tcPr>
            <w:tcW w:w="13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22"/>
        </w:trPr>
        <w:tc>
          <w:tcPr>
            <w:tcW w:w="8200" w:type="dxa"/>
            <w:vAlign w:val="bottom"/>
            <w:gridSpan w:val="3"/>
          </w:tcPr>
          <w:p>
            <w:pPr>
              <w:ind w:left="660"/>
              <w:spacing w:after="0"/>
              <w:rPr>
                <w:sz w:val="20"/>
                <w:szCs w:val="20"/>
                <w:color w:val="auto"/>
              </w:rPr>
            </w:pPr>
            <w:r>
              <w:rPr>
                <w:rFonts w:ascii="Arial" w:cs="Arial" w:eastAsia="Arial" w:hAnsi="Arial"/>
                <w:sz w:val="18"/>
                <w:szCs w:val="18"/>
                <w:color w:val="auto"/>
              </w:rPr>
              <w:t>Class A Common Stock, $.01 Par Value</w:t>
            </w:r>
          </w:p>
        </w:tc>
        <w:tc>
          <w:tcPr>
            <w:tcW w:w="880" w:type="dxa"/>
            <w:vAlign w:val="bottom"/>
          </w:tcPr>
          <w:p>
            <w:pPr>
              <w:ind w:left="20"/>
              <w:spacing w:after="0"/>
              <w:rPr>
                <w:sz w:val="20"/>
                <w:szCs w:val="20"/>
                <w:color w:val="auto"/>
              </w:rPr>
            </w:pPr>
            <w:r>
              <w:rPr>
                <w:rFonts w:ascii="Arial" w:cs="Arial" w:eastAsia="Arial" w:hAnsi="Arial"/>
                <w:sz w:val="18"/>
                <w:szCs w:val="18"/>
                <w:color w:val="auto"/>
                <w:w w:val="93"/>
              </w:rPr>
              <w:t>30,264,701</w:t>
            </w:r>
          </w:p>
        </w:tc>
        <w:tc>
          <w:tcPr>
            <w:tcW w:w="2380" w:type="dxa"/>
            <w:vAlign w:val="bottom"/>
          </w:tcPr>
          <w:p>
            <w:pPr>
              <w:spacing w:after="0"/>
              <w:rPr>
                <w:sz w:val="19"/>
                <w:szCs w:val="19"/>
                <w:color w:val="auto"/>
              </w:rPr>
            </w:pPr>
          </w:p>
        </w:tc>
      </w:tr>
      <w:tr>
        <w:trPr>
          <w:trHeight w:val="230"/>
        </w:trPr>
        <w:tc>
          <w:tcPr>
            <w:tcW w:w="8200" w:type="dxa"/>
            <w:vAlign w:val="bottom"/>
            <w:gridSpan w:val="3"/>
          </w:tcPr>
          <w:p>
            <w:pPr>
              <w:ind w:left="660"/>
              <w:spacing w:after="0"/>
              <w:rPr>
                <w:sz w:val="20"/>
                <w:szCs w:val="20"/>
                <w:color w:val="auto"/>
              </w:rPr>
            </w:pPr>
            <w:r>
              <w:rPr>
                <w:rFonts w:ascii="Arial" w:cs="Arial" w:eastAsia="Arial" w:hAnsi="Arial"/>
                <w:sz w:val="18"/>
                <w:szCs w:val="18"/>
                <w:color w:val="auto"/>
              </w:rPr>
              <w:t>Class B Common Stock, $.01 Par Value</w:t>
            </w:r>
          </w:p>
        </w:tc>
        <w:tc>
          <w:tcPr>
            <w:tcW w:w="880" w:type="dxa"/>
            <w:vAlign w:val="bottom"/>
          </w:tcPr>
          <w:p>
            <w:pPr>
              <w:ind w:left="20"/>
              <w:spacing w:after="0"/>
              <w:rPr>
                <w:sz w:val="20"/>
                <w:szCs w:val="20"/>
                <w:color w:val="auto"/>
              </w:rPr>
            </w:pPr>
            <w:r>
              <w:rPr>
                <w:rFonts w:ascii="Arial" w:cs="Arial" w:eastAsia="Arial" w:hAnsi="Arial"/>
                <w:sz w:val="18"/>
                <w:szCs w:val="18"/>
                <w:color w:val="auto"/>
                <w:w w:val="93"/>
              </w:rPr>
              <w:t>10,093,305</w:t>
            </w:r>
          </w:p>
        </w:tc>
        <w:tc>
          <w:tcPr>
            <w:tcW w:w="2380" w:type="dxa"/>
            <w:vAlign w:val="bottom"/>
          </w:tcPr>
          <w:p>
            <w:pPr>
              <w:spacing w:after="0"/>
              <w:rPr>
                <w:sz w:val="20"/>
                <w:szCs w:val="20"/>
                <w:color w:val="auto"/>
              </w:rPr>
            </w:pPr>
          </w:p>
        </w:tc>
      </w:tr>
      <w:tr>
        <w:trPr>
          <w:trHeight w:val="834"/>
        </w:trPr>
        <w:tc>
          <w:tcPr>
            <w:tcW w:w="1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61"/>
        </w:trPr>
        <w:tc>
          <w:tcPr>
            <w:tcW w:w="130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59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3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226" w:right="199" w:bottom="627" w:gutter="0" w:footer="0" w:header="0"/>
          <w:type w:val="continuous"/>
        </w:sectPr>
      </w:pPr>
    </w:p>
    <w:bookmarkStart w:id="1" w:name="page2"/>
    <w:bookmarkEnd w:id="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RUSH ENTERPRISES, INC.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40" w:type="dxa"/>
            <w:vAlign w:val="bottom"/>
            <w:gridSpan w:val="17"/>
          </w:tcPr>
          <w:p>
            <w:pPr>
              <w:spacing w:after="0"/>
              <w:rPr>
                <w:sz w:val="20"/>
                <w:szCs w:val="20"/>
                <w:color w:val="auto"/>
              </w:rPr>
            </w:pPr>
            <w:r>
              <w:rPr>
                <w:rFonts w:ascii="Arial" w:cs="Arial" w:eastAsia="Arial" w:hAnsi="Arial"/>
                <w:sz w:val="18"/>
                <w:szCs w:val="18"/>
                <w:b w:val="1"/>
                <w:bCs w:val="1"/>
                <w:color w:val="auto"/>
              </w:rPr>
              <w:t>PART I.  FINANCIAL INFORMATION</w:t>
            </w:r>
          </w:p>
        </w:tc>
        <w:tc>
          <w:tcPr>
            <w:tcW w:w="820" w:type="dxa"/>
            <w:vAlign w:val="bottom"/>
            <w:gridSpan w:val="3"/>
          </w:tcPr>
          <w:p>
            <w:pPr>
              <w:ind w:left="2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412"/>
        </w:trPr>
        <w:tc>
          <w:tcPr>
            <w:tcW w:w="1440" w:type="dxa"/>
            <w:vAlign w:val="bottom"/>
            <w:gridSpan w:val="2"/>
          </w:tcPr>
          <w:p>
            <w:pPr>
              <w:ind w:left="660"/>
              <w:spacing w:after="0"/>
              <w:rPr>
                <w:sz w:val="20"/>
                <w:szCs w:val="20"/>
                <w:color w:val="auto"/>
              </w:rPr>
            </w:pPr>
            <w:r>
              <w:rPr>
                <w:rFonts w:ascii="Arial" w:cs="Arial" w:eastAsia="Arial" w:hAnsi="Arial"/>
                <w:sz w:val="18"/>
                <w:szCs w:val="18"/>
                <w:color w:val="auto"/>
              </w:rPr>
              <w:t>Item 1.</w:t>
            </w:r>
          </w:p>
        </w:tc>
        <w:tc>
          <w:tcPr>
            <w:tcW w:w="920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26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 - June 30, 2015 (unaudited) and December 31, 2014</w:t>
              </w:r>
            </w:hyperlink>
          </w:p>
        </w:tc>
        <w:tc>
          <w:tcPr>
            <w:tcW w:w="620" w:type="dxa"/>
            <w:vAlign w:val="bottom"/>
            <w:gridSpan w:val="2"/>
          </w:tcPr>
          <w:p>
            <w:pPr>
              <w:jc w:val="center"/>
              <w:ind w:left="170"/>
              <w:spacing w:after="0"/>
              <w:rPr>
                <w:sz w:val="20"/>
                <w:szCs w:val="20"/>
                <w:color w:val="auto"/>
              </w:rPr>
            </w:pPr>
            <w:r>
              <w:rPr>
                <w:rFonts w:ascii="Arial" w:cs="Arial" w:eastAsia="Arial" w:hAnsi="Arial"/>
                <w:sz w:val="18"/>
                <w:szCs w:val="18"/>
                <w:color w:val="auto"/>
                <w:w w:val="79"/>
              </w:rPr>
              <w:t>3</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Income and Comprehensive Income - For the Three and Six Months Ended June 30, 2015 and 2014</w:t>
              </w:r>
            </w:hyperlink>
          </w:p>
        </w:tc>
        <w:tc>
          <w:tcPr>
            <w:tcW w:w="620" w:type="dxa"/>
            <w:vAlign w:val="bottom"/>
            <w:gridSpan w:val="2"/>
            <w:vMerge w:val="restart"/>
          </w:tcPr>
          <w:p>
            <w:pPr>
              <w:jc w:val="center"/>
              <w:ind w:left="170"/>
              <w:spacing w:after="0"/>
              <w:rPr>
                <w:sz w:val="20"/>
                <w:szCs w:val="20"/>
                <w:color w:val="auto"/>
              </w:rPr>
            </w:pPr>
            <w:r>
              <w:rPr>
                <w:rFonts w:ascii="Arial" w:cs="Arial" w:eastAsia="Arial" w:hAnsi="Arial"/>
                <w:sz w:val="18"/>
                <w:szCs w:val="18"/>
                <w:color w:val="auto"/>
                <w:w w:val="79"/>
              </w:rPr>
              <w:t>4</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0" w:type="dxa"/>
            <w:vAlign w:val="bottom"/>
            <w:gridSpan w:val="15"/>
            <w:vMerge w:val="restart"/>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(unaudited)</w:t>
              </w:r>
            </w:hyperlink>
          </w:p>
        </w:tc>
        <w:tc>
          <w:tcPr>
            <w:tcW w:w="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200" w:type="dxa"/>
            <w:vAlign w:val="bottom"/>
            <w:gridSpan w:val="15"/>
            <w:vMerge w:val="continue"/>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5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Cash Flows - For the Six Months Ended June 30, 2015 and 2014 (unaudited)</w:t>
              </w:r>
            </w:hyperlink>
          </w:p>
        </w:tc>
        <w:tc>
          <w:tcPr>
            <w:tcW w:w="1640" w:type="dxa"/>
            <w:vAlign w:val="bottom"/>
          </w:tcPr>
          <w:p>
            <w:pPr>
              <w:spacing w:after="0"/>
              <w:rPr>
                <w:sz w:val="24"/>
                <w:szCs w:val="24"/>
                <w:color w:val="auto"/>
              </w:rPr>
            </w:pPr>
          </w:p>
        </w:tc>
        <w:tc>
          <w:tcPr>
            <w:tcW w:w="620" w:type="dxa"/>
            <w:vAlign w:val="bottom"/>
            <w:gridSpan w:val="2"/>
          </w:tcPr>
          <w:p>
            <w:pPr>
              <w:jc w:val="center"/>
              <w:ind w:left="170"/>
              <w:spacing w:after="0"/>
              <w:rPr>
                <w:sz w:val="20"/>
                <w:szCs w:val="20"/>
                <w:color w:val="auto"/>
              </w:rPr>
            </w:pPr>
            <w:r>
              <w:rPr>
                <w:rFonts w:ascii="Arial" w:cs="Arial" w:eastAsia="Arial" w:hAnsi="Arial"/>
                <w:sz w:val="18"/>
                <w:szCs w:val="18"/>
                <w:color w:val="auto"/>
                <w:w w:val="79"/>
              </w:rPr>
              <w:t>5</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0" w:type="dxa"/>
            <w:vAlign w:val="bottom"/>
            <w:gridSpan w:val="1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Consolidated Financial Statements (unaudited)</w:t>
              </w:r>
            </w:hyperlink>
          </w:p>
        </w:tc>
        <w:tc>
          <w:tcPr>
            <w:tcW w:w="620" w:type="dxa"/>
            <w:vAlign w:val="bottom"/>
            <w:gridSpan w:val="2"/>
          </w:tcPr>
          <w:p>
            <w:pPr>
              <w:jc w:val="center"/>
              <w:ind w:left="170"/>
              <w:spacing w:after="0"/>
              <w:rPr>
                <w:sz w:val="20"/>
                <w:szCs w:val="20"/>
                <w:color w:val="auto"/>
              </w:rPr>
            </w:pPr>
            <w:r>
              <w:rPr>
                <w:rFonts w:ascii="Arial" w:cs="Arial" w:eastAsia="Arial" w:hAnsi="Arial"/>
                <w:sz w:val="18"/>
                <w:szCs w:val="18"/>
                <w:color w:val="auto"/>
                <w:w w:val="79"/>
              </w:rPr>
              <w:t>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440" w:type="dxa"/>
            <w:vAlign w:val="bottom"/>
            <w:gridSpan w:val="2"/>
          </w:tcPr>
          <w:p>
            <w:pPr>
              <w:ind w:left="660"/>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13">
              <w:r>
                <w:rPr>
                  <w:rFonts w:ascii="Arial" w:cs="Arial" w:eastAsia="Arial" w:hAnsi="Arial"/>
                  <w:sz w:val="18"/>
                  <w:szCs w:val="18"/>
                  <w:color w:val="0000EE"/>
                  <w:w w:val="90"/>
                </w:rPr>
                <w:t>Management’s Discussion and Analysis of Financial Condition and Results of Operations</w:t>
              </w:r>
            </w:hyperlink>
          </w:p>
        </w:tc>
        <w:tc>
          <w:tcPr>
            <w:tcW w:w="2740" w:type="dxa"/>
            <w:vAlign w:val="bottom"/>
            <w:gridSpan w:val="2"/>
          </w:tcPr>
          <w:p>
            <w:pPr>
              <w:spacing w:after="0"/>
              <w:rPr>
                <w:sz w:val="24"/>
                <w:szCs w:val="24"/>
                <w:color w:val="auto"/>
              </w:rPr>
            </w:pPr>
          </w:p>
        </w:tc>
        <w:tc>
          <w:tcPr>
            <w:tcW w:w="62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13</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440" w:type="dxa"/>
            <w:vAlign w:val="bottom"/>
            <w:gridSpan w:val="2"/>
          </w:tcPr>
          <w:p>
            <w:pPr>
              <w:ind w:left="660"/>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1"/>
          </w:tcPr>
          <w:p>
            <w:pPr>
              <w:spacing w:after="0"/>
              <w:rPr>
                <w:rFonts w:ascii="Arial" w:cs="Arial" w:eastAsia="Arial" w:hAnsi="Arial"/>
                <w:sz w:val="18"/>
                <w:szCs w:val="18"/>
                <w:color w:val="0000EE"/>
                <w:w w:val="92"/>
              </w:rPr>
            </w:pPr>
            <w:hyperlink w:anchor="page26">
              <w:r>
                <w:rPr>
                  <w:rFonts w:ascii="Arial" w:cs="Arial" w:eastAsia="Arial" w:hAnsi="Arial"/>
                  <w:sz w:val="18"/>
                  <w:szCs w:val="18"/>
                  <w:color w:val="0000EE"/>
                  <w:w w:val="92"/>
                </w:rPr>
                <w:t>Quantitative and Qualitative Disclosures About Market Risk</w:t>
              </w:r>
            </w:hyperlink>
          </w:p>
        </w:tc>
        <w:tc>
          <w:tcPr>
            <w:tcW w:w="4840" w:type="dxa"/>
            <w:vAlign w:val="bottom"/>
            <w:gridSpan w:val="4"/>
          </w:tcPr>
          <w:p>
            <w:pPr>
              <w:spacing w:after="0"/>
              <w:rPr>
                <w:sz w:val="24"/>
                <w:szCs w:val="24"/>
                <w:color w:val="auto"/>
              </w:rPr>
            </w:pPr>
          </w:p>
        </w:tc>
        <w:tc>
          <w:tcPr>
            <w:tcW w:w="62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26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440" w:type="dxa"/>
            <w:vAlign w:val="bottom"/>
            <w:gridSpan w:val="2"/>
          </w:tcPr>
          <w:p>
            <w:pPr>
              <w:ind w:left="660"/>
              <w:spacing w:after="0"/>
              <w:rPr>
                <w:sz w:val="20"/>
                <w:szCs w:val="20"/>
                <w:color w:val="auto"/>
              </w:rPr>
            </w:pPr>
            <w:r>
              <w:rPr>
                <w:rFonts w:ascii="Arial" w:cs="Arial" w:eastAsia="Arial" w:hAnsi="Arial"/>
                <w:sz w:val="18"/>
                <w:szCs w:val="18"/>
                <w:color w:val="auto"/>
              </w:rPr>
              <w:t>Item 4.</w:t>
            </w:r>
          </w:p>
        </w:tc>
        <w:tc>
          <w:tcPr>
            <w:tcW w:w="9200" w:type="dxa"/>
            <w:vAlign w:val="bottom"/>
            <w:gridSpan w:val="15"/>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Controls and Procedures</w:t>
              </w:r>
            </w:hyperlink>
          </w:p>
        </w:tc>
        <w:tc>
          <w:tcPr>
            <w:tcW w:w="62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26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86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5"/>
        </w:trPr>
        <w:tc>
          <w:tcPr>
            <w:tcW w:w="10640" w:type="dxa"/>
            <w:vAlign w:val="bottom"/>
            <w:gridSpan w:val="17"/>
          </w:tcPr>
          <w:p>
            <w:pPr>
              <w:spacing w:after="0"/>
              <w:rPr>
                <w:sz w:val="20"/>
                <w:szCs w:val="20"/>
                <w:color w:val="auto"/>
              </w:rPr>
            </w:pPr>
            <w:r>
              <w:rPr>
                <w:rFonts w:ascii="Arial" w:cs="Arial" w:eastAsia="Arial" w:hAnsi="Arial"/>
                <w:sz w:val="18"/>
                <w:szCs w:val="18"/>
                <w:b w:val="1"/>
                <w:bCs w:val="1"/>
                <w:color w:val="auto"/>
              </w:rPr>
              <w:t>PART II.  OTHER INFORMATION</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440" w:type="dxa"/>
            <w:vAlign w:val="bottom"/>
            <w:gridSpan w:val="2"/>
          </w:tcPr>
          <w:p>
            <w:pPr>
              <w:ind w:left="660"/>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27">
              <w:r>
                <w:rPr>
                  <w:rFonts w:ascii="Arial" w:cs="Arial" w:eastAsia="Arial" w:hAnsi="Arial"/>
                  <w:sz w:val="18"/>
                  <w:szCs w:val="18"/>
                  <w:color w:val="0000EE"/>
                  <w:w w:val="88"/>
                </w:rPr>
                <w:t>Legal Proceedings</w:t>
              </w:r>
            </w:hyperlink>
          </w:p>
        </w:tc>
        <w:tc>
          <w:tcPr>
            <w:tcW w:w="7860" w:type="dxa"/>
            <w:vAlign w:val="bottom"/>
            <w:gridSpan w:val="10"/>
          </w:tcPr>
          <w:p>
            <w:pPr>
              <w:spacing w:after="0"/>
              <w:rPr>
                <w:sz w:val="24"/>
                <w:szCs w:val="24"/>
                <w:color w:val="auto"/>
              </w:rPr>
            </w:pPr>
          </w:p>
        </w:tc>
        <w:tc>
          <w:tcPr>
            <w:tcW w:w="62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27</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440" w:type="dxa"/>
            <w:vAlign w:val="bottom"/>
            <w:gridSpan w:val="2"/>
          </w:tcPr>
          <w:p>
            <w:pPr>
              <w:ind w:left="660"/>
              <w:spacing w:after="0"/>
              <w:rPr>
                <w:sz w:val="20"/>
                <w:szCs w:val="20"/>
                <w:color w:val="auto"/>
              </w:rPr>
            </w:pPr>
            <w:r>
              <w:rPr>
                <w:rFonts w:ascii="Arial" w:cs="Arial" w:eastAsia="Arial" w:hAnsi="Arial"/>
                <w:sz w:val="18"/>
                <w:szCs w:val="18"/>
                <w:color w:val="auto"/>
              </w:rPr>
              <w:t>Item 1A.</w:t>
            </w:r>
          </w:p>
        </w:tc>
        <w:tc>
          <w:tcPr>
            <w:tcW w:w="9200" w:type="dxa"/>
            <w:vAlign w:val="bottom"/>
            <w:gridSpan w:val="15"/>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62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27</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860" w:type="dxa"/>
            <w:vAlign w:val="bottom"/>
            <w:gridSpan w:val="5"/>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440" w:type="dxa"/>
            <w:vAlign w:val="bottom"/>
            <w:gridSpan w:val="2"/>
          </w:tcPr>
          <w:p>
            <w:pPr>
              <w:ind w:left="660"/>
              <w:spacing w:after="0"/>
              <w:rPr>
                <w:sz w:val="20"/>
                <w:szCs w:val="20"/>
                <w:color w:val="auto"/>
              </w:rPr>
            </w:pPr>
            <w:r>
              <w:rPr>
                <w:rFonts w:ascii="Arial" w:cs="Arial" w:eastAsia="Arial" w:hAnsi="Arial"/>
                <w:sz w:val="18"/>
                <w:szCs w:val="18"/>
                <w:color w:val="auto"/>
              </w:rPr>
              <w:t>Item 2.</w:t>
            </w:r>
          </w:p>
        </w:tc>
        <w:tc>
          <w:tcPr>
            <w:tcW w:w="9200" w:type="dxa"/>
            <w:vAlign w:val="bottom"/>
            <w:gridSpan w:val="15"/>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Unregistered Sales of Equity Securities and Use of Proceeds</w:t>
              </w:r>
            </w:hyperlink>
          </w:p>
        </w:tc>
        <w:tc>
          <w:tcPr>
            <w:tcW w:w="62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27</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440" w:type="dxa"/>
            <w:vAlign w:val="bottom"/>
            <w:gridSpan w:val="2"/>
          </w:tcPr>
          <w:p>
            <w:pPr>
              <w:ind w:left="660"/>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0"/>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Defaults Upon Senior Securities</w:t>
              </w:r>
            </w:hyperlink>
          </w:p>
        </w:tc>
        <w:tc>
          <w:tcPr>
            <w:tcW w:w="4860" w:type="dxa"/>
            <w:vAlign w:val="bottom"/>
            <w:gridSpan w:val="5"/>
          </w:tcPr>
          <w:p>
            <w:pPr>
              <w:spacing w:after="0"/>
              <w:rPr>
                <w:sz w:val="24"/>
                <w:szCs w:val="24"/>
                <w:color w:val="auto"/>
              </w:rPr>
            </w:pPr>
          </w:p>
        </w:tc>
        <w:tc>
          <w:tcPr>
            <w:tcW w:w="62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27</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440" w:type="dxa"/>
            <w:vAlign w:val="bottom"/>
            <w:gridSpan w:val="2"/>
          </w:tcPr>
          <w:p>
            <w:pPr>
              <w:ind w:left="660"/>
              <w:spacing w:after="0"/>
              <w:rPr>
                <w:sz w:val="20"/>
                <w:szCs w:val="20"/>
                <w:color w:val="auto"/>
              </w:rPr>
            </w:pPr>
            <w:r>
              <w:rPr>
                <w:rFonts w:ascii="Arial" w:cs="Arial" w:eastAsia="Arial" w:hAnsi="Arial"/>
                <w:sz w:val="18"/>
                <w:szCs w:val="18"/>
                <w:color w:val="auto"/>
              </w:rPr>
              <w:t>Item 4.</w:t>
            </w:r>
          </w:p>
        </w:tc>
        <w:tc>
          <w:tcPr>
            <w:tcW w:w="2320" w:type="dxa"/>
            <w:vAlign w:val="bottom"/>
            <w:tcBorders>
              <w:top w:val="single" w:sz="8" w:color="0000EE"/>
            </w:tcBorders>
            <w:gridSpan w:val="8"/>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Mine Safety Disclosures</w:t>
              </w:r>
            </w:hyperlink>
          </w:p>
        </w:tc>
        <w:tc>
          <w:tcPr>
            <w:tcW w:w="6880" w:type="dxa"/>
            <w:vAlign w:val="bottom"/>
            <w:gridSpan w:val="7"/>
          </w:tcPr>
          <w:p>
            <w:pPr>
              <w:spacing w:after="0"/>
              <w:rPr>
                <w:sz w:val="24"/>
                <w:szCs w:val="24"/>
                <w:color w:val="auto"/>
              </w:rPr>
            </w:pPr>
          </w:p>
        </w:tc>
        <w:tc>
          <w:tcPr>
            <w:tcW w:w="62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27</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440" w:type="dxa"/>
            <w:vAlign w:val="bottom"/>
            <w:gridSpan w:val="2"/>
          </w:tcPr>
          <w:p>
            <w:pPr>
              <w:ind w:left="660"/>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27">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3"/>
          </w:tcPr>
          <w:p>
            <w:pPr>
              <w:spacing w:after="0"/>
              <w:rPr>
                <w:sz w:val="24"/>
                <w:szCs w:val="24"/>
                <w:color w:val="auto"/>
              </w:rPr>
            </w:pPr>
          </w:p>
        </w:tc>
        <w:tc>
          <w:tcPr>
            <w:tcW w:w="7440" w:type="dxa"/>
            <w:vAlign w:val="bottom"/>
            <w:gridSpan w:val="8"/>
          </w:tcPr>
          <w:p>
            <w:pPr>
              <w:spacing w:after="0"/>
              <w:rPr>
                <w:sz w:val="24"/>
                <w:szCs w:val="24"/>
                <w:color w:val="auto"/>
              </w:rPr>
            </w:pPr>
          </w:p>
        </w:tc>
        <w:tc>
          <w:tcPr>
            <w:tcW w:w="62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27</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440" w:type="dxa"/>
            <w:vAlign w:val="bottom"/>
            <w:gridSpan w:val="2"/>
          </w:tcPr>
          <w:p>
            <w:pPr>
              <w:ind w:left="660"/>
              <w:spacing w:after="0"/>
              <w:rPr>
                <w:sz w:val="20"/>
                <w:szCs w:val="20"/>
                <w:color w:val="auto"/>
              </w:rPr>
            </w:pPr>
            <w:r>
              <w:rPr>
                <w:rFonts w:ascii="Arial" w:cs="Arial" w:eastAsia="Arial" w:hAnsi="Arial"/>
                <w:sz w:val="18"/>
                <w:szCs w:val="18"/>
                <w:color w:val="auto"/>
              </w:rPr>
              <w:t>Item 6.</w:t>
            </w:r>
          </w:p>
        </w:tc>
        <w:tc>
          <w:tcPr>
            <w:tcW w:w="9200" w:type="dxa"/>
            <w:vAlign w:val="bottom"/>
            <w:gridSpan w:val="15"/>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Exhibits</w:t>
              </w:r>
            </w:hyperlink>
          </w:p>
        </w:tc>
        <w:tc>
          <w:tcPr>
            <w:tcW w:w="62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28</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440" w:type="dxa"/>
            <w:vAlign w:val="bottom"/>
            <w:gridSpan w:val="2"/>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SIGNATURES</w:t>
              </w:r>
            </w:hyperlink>
          </w:p>
        </w:tc>
        <w:tc>
          <w:tcPr>
            <w:tcW w:w="60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2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29</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0"/>
        </w:trPr>
        <w:tc>
          <w:tcPr>
            <w:tcW w:w="116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4340" w:type="dxa"/>
            <w:vAlign w:val="bottom"/>
            <w:gridSpan w:val="10"/>
          </w:tcPr>
          <w:p>
            <w:pPr>
              <w:ind w:left="4220"/>
              <w:spacing w:after="0"/>
              <w:rPr>
                <w:sz w:val="20"/>
                <w:szCs w:val="20"/>
                <w:color w:val="auto"/>
              </w:rPr>
            </w:pPr>
            <w:r>
              <w:rPr>
                <w:rFonts w:ascii="Arial" w:cs="Arial" w:eastAsia="Arial" w:hAnsi="Arial"/>
                <w:sz w:val="18"/>
                <w:szCs w:val="18"/>
                <w:color w:val="auto"/>
                <w:w w:val="99"/>
              </w:rPr>
              <w:t>2</w:t>
            </w: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16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70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52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164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18" w:right="199" w:bottom="1440" w:gutter="0" w:footer="0" w:header="0"/>
        </w:sectPr>
      </w:pPr>
    </w:p>
    <w:bookmarkStart w:id="2" w:name="page3"/>
    <w:bookmarkEnd w:id="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40" w:type="dxa"/>
            <w:vAlign w:val="bottom"/>
            <w:gridSpan w:val="10"/>
          </w:tcPr>
          <w:p>
            <w:pPr>
              <w:spacing w:after="0"/>
              <w:rPr>
                <w:sz w:val="20"/>
                <w:szCs w:val="20"/>
                <w:color w:val="auto"/>
              </w:rPr>
            </w:pPr>
            <w:r>
              <w:rPr>
                <w:rFonts w:ascii="Arial" w:cs="Arial" w:eastAsia="Arial" w:hAnsi="Arial"/>
                <w:sz w:val="18"/>
                <w:szCs w:val="18"/>
                <w:b w:val="1"/>
                <w:bCs w:val="1"/>
                <w:color w:val="auto"/>
              </w:rPr>
              <w:t>PART I. FINANCIAL INFORMATION</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40" w:type="dxa"/>
            <w:vAlign w:val="bottom"/>
            <w:gridSpan w:val="10"/>
          </w:tcPr>
          <w:p>
            <w:pPr>
              <w:spacing w:after="0"/>
              <w:rPr>
                <w:sz w:val="20"/>
                <w:szCs w:val="20"/>
                <w:color w:val="auto"/>
              </w:rPr>
            </w:pPr>
            <w:r>
              <w:rPr>
                <w:rFonts w:ascii="Arial" w:cs="Arial" w:eastAsia="Arial" w:hAnsi="Arial"/>
                <w:sz w:val="18"/>
                <w:szCs w:val="18"/>
                <w:b w:val="1"/>
                <w:bCs w:val="1"/>
                <w:color w:val="auto"/>
              </w:rPr>
              <w:t>ITEM 1. Financial Statements.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8"/>
              </w:rPr>
              <w:t>RUSH ENTERPRISES, INC. AND SUBSIDIARIES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2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9"/>
              </w:rPr>
              <w:t>CONSOLIDATED BALANCE SHEETS</w:t>
            </w:r>
          </w:p>
        </w:tc>
        <w:tc>
          <w:tcPr>
            <w:tcW w:w="76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0" w:type="dxa"/>
            <w:vAlign w:val="bottom"/>
            <w:gridSpan w:val="5"/>
          </w:tcPr>
          <w:p>
            <w:pPr>
              <w:jc w:val="center"/>
              <w:ind w:right="660"/>
              <w:spacing w:after="0" w:line="196" w:lineRule="exact"/>
              <w:rPr>
                <w:sz w:val="20"/>
                <w:szCs w:val="20"/>
                <w:color w:val="auto"/>
              </w:rPr>
            </w:pPr>
            <w:r>
              <w:rPr>
                <w:rFonts w:ascii="Arial" w:cs="Arial" w:eastAsia="Arial" w:hAnsi="Arial"/>
                <w:sz w:val="18"/>
                <w:szCs w:val="18"/>
                <w:b w:val="1"/>
                <w:bCs w:val="1"/>
                <w:color w:val="auto"/>
                <w:w w:val="95"/>
              </w:rPr>
              <w:t>JUNE 30, 2015 AND DECEMBER 31, 2014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22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89"/>
              </w:rPr>
              <w:t>(In Thousands, Except Shares)</w:t>
            </w:r>
          </w:p>
        </w:tc>
        <w:tc>
          <w:tcPr>
            <w:tcW w:w="66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color w:val="auto"/>
                <w:w w:val="91"/>
              </w:rPr>
              <w:t>(Unaudited)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20" w:type="dxa"/>
            <w:vAlign w:val="bottom"/>
            <w:gridSpan w:val="9"/>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9"/>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72,948</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tcPr>
          <w:p>
            <w:pPr>
              <w:ind w:left="160"/>
              <w:spacing w:after="0"/>
              <w:rPr>
                <w:sz w:val="20"/>
                <w:szCs w:val="20"/>
                <w:color w:val="auto"/>
              </w:rPr>
            </w:pPr>
            <w:r>
              <w:rPr>
                <w:rFonts w:ascii="Arial" w:cs="Arial" w:eastAsia="Arial" w:hAnsi="Arial"/>
                <w:sz w:val="18"/>
                <w:szCs w:val="18"/>
                <w:color w:val="auto"/>
              </w:rPr>
              <w:t>Accounts receivable, net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174,392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170,027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shd w:val="clear" w:color="auto" w:fill="CCEEFF"/>
          </w:tcPr>
          <w:p>
            <w:pPr>
              <w:ind w:left="160"/>
              <w:spacing w:after="0"/>
              <w:rPr>
                <w:sz w:val="20"/>
                <w:szCs w:val="20"/>
                <w:color w:val="auto"/>
              </w:rPr>
            </w:pPr>
            <w:r>
              <w:rPr>
                <w:rFonts w:ascii="Arial" w:cs="Arial" w:eastAsia="Arial" w:hAnsi="Arial"/>
                <w:sz w:val="18"/>
                <w:szCs w:val="18"/>
                <w:color w:val="auto"/>
              </w:rPr>
              <w:t>Note receivable affiliate</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9,797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tcPr>
          <w:p>
            <w:pPr>
              <w:ind w:left="160"/>
              <w:spacing w:after="0"/>
              <w:rPr>
                <w:sz w:val="20"/>
                <w:szCs w:val="20"/>
                <w:color w:val="auto"/>
              </w:rPr>
            </w:pPr>
            <w:r>
              <w:rPr>
                <w:rFonts w:ascii="Arial" w:cs="Arial" w:eastAsia="Arial" w:hAnsi="Arial"/>
                <w:sz w:val="18"/>
                <w:szCs w:val="18"/>
                <w:color w:val="auto"/>
              </w:rPr>
              <w:t>Inventories, net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1,078,169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1,024,104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shd w:val="clear" w:color="auto" w:fill="CCEEFF"/>
          </w:tcPr>
          <w:p>
            <w:pPr>
              <w:ind w:left="160"/>
              <w:spacing w:after="0"/>
              <w:rPr>
                <w:sz w:val="20"/>
                <w:szCs w:val="20"/>
                <w:color w:val="auto"/>
              </w:rPr>
            </w:pPr>
            <w:r>
              <w:rPr>
                <w:rFonts w:ascii="Arial" w:cs="Arial" w:eastAsia="Arial" w:hAnsi="Arial"/>
                <w:sz w:val="18"/>
                <w:szCs w:val="18"/>
                <w:color w:val="auto"/>
              </w:rPr>
              <w:t>Prepaid expenses and other</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11,153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tcPr>
          <w:p>
            <w:pPr>
              <w:ind w:left="160"/>
              <w:spacing w:after="0"/>
              <w:rPr>
                <w:sz w:val="20"/>
                <w:szCs w:val="20"/>
                <w:color w:val="auto"/>
              </w:rPr>
            </w:pPr>
            <w:r>
              <w:rPr>
                <w:rFonts w:ascii="Arial" w:cs="Arial" w:eastAsia="Arial" w:hAnsi="Arial"/>
                <w:sz w:val="18"/>
                <w:szCs w:val="18"/>
                <w:color w:val="auto"/>
              </w:rPr>
              <w:t>Asset held for sale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5,053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shd w:val="clear" w:color="auto" w:fill="CCEEFF"/>
          </w:tcPr>
          <w:p>
            <w:pPr>
              <w:ind w:left="160"/>
              <w:spacing w:after="0"/>
              <w:rPr>
                <w:sz w:val="20"/>
                <w:szCs w:val="20"/>
                <w:color w:val="auto"/>
              </w:rPr>
            </w:pPr>
            <w:r>
              <w:rPr>
                <w:rFonts w:ascii="Arial" w:cs="Arial" w:eastAsia="Arial" w:hAnsi="Arial"/>
                <w:sz w:val="18"/>
                <w:szCs w:val="18"/>
                <w:color w:val="auto"/>
              </w:rPr>
              <w:t>Deferred income taxes, net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18,346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gridSpan w:val="9"/>
          </w:tcPr>
          <w:p>
            <w:pPr>
              <w:ind w:left="320"/>
              <w:spacing w:after="0"/>
              <w:rPr>
                <w:sz w:val="20"/>
                <w:szCs w:val="20"/>
                <w:color w:val="auto"/>
              </w:rPr>
            </w:pPr>
            <w:r>
              <w:rPr>
                <w:rFonts w:ascii="Arial" w:cs="Arial" w:eastAsia="Arial" w:hAnsi="Arial"/>
                <w:sz w:val="18"/>
                <w:szCs w:val="18"/>
                <w:color w:val="auto"/>
              </w:rPr>
              <w:t>Total current assets</w:t>
            </w: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1,369,858</w:t>
            </w: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1,445,514</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Investments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6,650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1,028,685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923,080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Goodwill, net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285,975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tcPr>
          <w:p>
            <w:pPr>
              <w:spacing w:after="0"/>
              <w:rPr>
                <w:sz w:val="20"/>
                <w:szCs w:val="20"/>
                <w:color w:val="auto"/>
              </w:rPr>
            </w:pPr>
            <w:r>
              <w:rPr>
                <w:rFonts w:ascii="Arial" w:cs="Arial" w:eastAsia="Arial" w:hAnsi="Arial"/>
                <w:sz w:val="18"/>
                <w:szCs w:val="18"/>
                <w:color w:val="auto"/>
              </w:rPr>
              <w:t>Other assets, net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55,848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53,618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20" w:type="dxa"/>
            <w:vAlign w:val="bottom"/>
            <w:gridSpan w:val="9"/>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80" w:type="dxa"/>
            <w:vAlign w:val="bottom"/>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2,747,016</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2,694,262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224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20" w:type="dxa"/>
            <w:vAlign w:val="bottom"/>
            <w:gridSpan w:val="9"/>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Liabilities and shareholders’ equity</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Current liabilities:</w:t>
            </w:r>
          </w:p>
        </w:tc>
        <w:tc>
          <w:tcPr>
            <w:tcW w:w="5320" w:type="dxa"/>
            <w:vAlign w:val="bottom"/>
            <w:tcBorders>
              <w:top w:val="single" w:sz="8" w:color="CCEEFF"/>
            </w:tcBorders>
            <w:gridSpan w:val="7"/>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shd w:val="clear" w:color="auto" w:fill="CCEEFF"/>
          </w:tcPr>
          <w:p>
            <w:pPr>
              <w:ind w:left="160"/>
              <w:spacing w:after="0"/>
              <w:rPr>
                <w:sz w:val="20"/>
                <w:szCs w:val="20"/>
                <w:color w:val="auto"/>
              </w:rPr>
            </w:pPr>
            <w:r>
              <w:rPr>
                <w:rFonts w:ascii="Arial" w:cs="Arial" w:eastAsia="Arial" w:hAnsi="Arial"/>
                <w:sz w:val="18"/>
                <w:szCs w:val="18"/>
                <w:color w:val="auto"/>
              </w:rPr>
              <w:t>Floor plan notes payable</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871,418</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tcPr>
          <w:p>
            <w:pPr>
              <w:ind w:left="160"/>
              <w:spacing w:after="0"/>
              <w:rPr>
                <w:sz w:val="20"/>
                <w:szCs w:val="20"/>
                <w:color w:val="auto"/>
              </w:rPr>
            </w:pPr>
            <w:r>
              <w:rPr>
                <w:rFonts w:ascii="Arial" w:cs="Arial" w:eastAsia="Arial" w:hAnsi="Arial"/>
                <w:sz w:val="18"/>
                <w:szCs w:val="18"/>
                <w:color w:val="auto"/>
              </w:rPr>
              <w:t>Current maturities of long-term debt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129,745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149,065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shd w:val="clear" w:color="auto" w:fill="CCEEFF"/>
          </w:tcPr>
          <w:p>
            <w:pPr>
              <w:ind w:left="160"/>
              <w:spacing w:after="0"/>
              <w:rPr>
                <w:sz w:val="20"/>
                <w:szCs w:val="20"/>
                <w:color w:val="auto"/>
              </w:rPr>
            </w:pPr>
            <w:r>
              <w:rPr>
                <w:rFonts w:ascii="Arial" w:cs="Arial" w:eastAsia="Arial" w:hAnsi="Arial"/>
                <w:sz w:val="18"/>
                <w:szCs w:val="18"/>
                <w:color w:val="auto"/>
              </w:rPr>
              <w:t>Current maturities of capital lease obligations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11,724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tcPr>
          <w:p>
            <w:pPr>
              <w:ind w:left="160"/>
              <w:spacing w:after="0"/>
              <w:rPr>
                <w:sz w:val="20"/>
                <w:szCs w:val="20"/>
                <w:color w:val="auto"/>
              </w:rPr>
            </w:pPr>
            <w:r>
              <w:rPr>
                <w:rFonts w:ascii="Arial" w:cs="Arial" w:eastAsia="Arial" w:hAnsi="Arial"/>
                <w:sz w:val="18"/>
                <w:szCs w:val="18"/>
                <w:color w:val="auto"/>
              </w:rPr>
              <w:t>Liabilities directly associated with asset held for sale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5,680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shd w:val="clear" w:color="auto" w:fill="CCEEFF"/>
          </w:tcPr>
          <w:p>
            <w:pPr>
              <w:ind w:left="160"/>
              <w:spacing w:after="0"/>
              <w:rPr>
                <w:sz w:val="20"/>
                <w:szCs w:val="20"/>
                <w:color w:val="auto"/>
              </w:rPr>
            </w:pPr>
            <w:r>
              <w:rPr>
                <w:rFonts w:ascii="Arial" w:cs="Arial" w:eastAsia="Arial" w:hAnsi="Arial"/>
                <w:sz w:val="18"/>
                <w:szCs w:val="18"/>
                <w:color w:val="auto"/>
              </w:rPr>
              <w:t>Trade accounts payable</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125,357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tcPr>
          <w:p>
            <w:pPr>
              <w:ind w:left="160"/>
              <w:spacing w:after="0"/>
              <w:rPr>
                <w:sz w:val="20"/>
                <w:szCs w:val="20"/>
                <w:color w:val="auto"/>
              </w:rPr>
            </w:pPr>
            <w:r>
              <w:rPr>
                <w:rFonts w:ascii="Arial" w:cs="Arial" w:eastAsia="Arial" w:hAnsi="Arial"/>
                <w:sz w:val="18"/>
                <w:szCs w:val="18"/>
                <w:color w:val="auto"/>
              </w:rPr>
              <w:t>Customer deposits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19,696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44,879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91,862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92,743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gridSpan w:val="9"/>
          </w:tcPr>
          <w:p>
            <w:pPr>
              <w:ind w:left="320"/>
              <w:spacing w:after="0"/>
              <w:rPr>
                <w:sz w:val="20"/>
                <w:szCs w:val="20"/>
                <w:color w:val="auto"/>
              </w:rPr>
            </w:pPr>
            <w:r>
              <w:rPr>
                <w:rFonts w:ascii="Arial" w:cs="Arial" w:eastAsia="Arial" w:hAnsi="Arial"/>
                <w:sz w:val="18"/>
                <w:szCs w:val="18"/>
                <w:color w:val="auto"/>
              </w:rPr>
              <w:t>Total current liabilities</w:t>
            </w: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1,255,482</w:t>
            </w: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1,274,610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9"/>
          </w:tcPr>
          <w:p>
            <w:pPr>
              <w:spacing w:after="0"/>
              <w:rPr>
                <w:sz w:val="20"/>
                <w:szCs w:val="20"/>
                <w:color w:val="auto"/>
              </w:rPr>
            </w:pPr>
            <w:r>
              <w:rPr>
                <w:rFonts w:ascii="Arial" w:cs="Arial" w:eastAsia="Arial" w:hAnsi="Arial"/>
                <w:sz w:val="18"/>
                <w:szCs w:val="18"/>
                <w:color w:val="auto"/>
              </w:rPr>
              <w:t>Long-term debt, net of current maturities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456,294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429,189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Capital lease obligations, net of current maturities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49,640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tcPr>
          <w:p>
            <w:pPr>
              <w:spacing w:after="0"/>
              <w:rPr>
                <w:sz w:val="20"/>
                <w:szCs w:val="20"/>
                <w:color w:val="auto"/>
              </w:rPr>
            </w:pPr>
            <w:r>
              <w:rPr>
                <w:rFonts w:ascii="Arial" w:cs="Arial" w:eastAsia="Arial" w:hAnsi="Arial"/>
                <w:sz w:val="18"/>
                <w:szCs w:val="18"/>
                <w:color w:val="auto"/>
              </w:rPr>
              <w:t>Other long-term liabilities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5,397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172,007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175,635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gridSpan w:val="9"/>
          </w:tcPr>
          <w:p>
            <w:pPr>
              <w:ind w:left="160"/>
              <w:spacing w:after="0" w:line="201" w:lineRule="exact"/>
              <w:rPr>
                <w:sz w:val="20"/>
                <w:szCs w:val="20"/>
                <w:color w:val="auto"/>
              </w:rPr>
            </w:pPr>
            <w:r>
              <w:rPr>
                <w:rFonts w:ascii="Arial" w:cs="Arial" w:eastAsia="Arial" w:hAnsi="Arial"/>
                <w:sz w:val="18"/>
                <w:szCs w:val="18"/>
                <w:color w:val="auto"/>
                <w:w w:val="93"/>
              </w:rPr>
              <w:t>Preferred stock, par value $.01 per share; 1,000,000 shares authorized; 0 shares outstanding in 2015 and</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20" w:type="dxa"/>
            <w:vAlign w:val="bottom"/>
            <w:gridSpan w:val="3"/>
          </w:tcPr>
          <w:p>
            <w:pPr>
              <w:ind w:left="340"/>
              <w:spacing w:after="0"/>
              <w:rPr>
                <w:sz w:val="20"/>
                <w:szCs w:val="20"/>
                <w:color w:val="auto"/>
              </w:rPr>
            </w:pPr>
            <w:r>
              <w:rPr>
                <w:rFonts w:ascii="Arial" w:cs="Arial" w:eastAsia="Arial" w:hAnsi="Arial"/>
                <w:sz w:val="18"/>
                <w:szCs w:val="18"/>
                <w:color w:val="auto"/>
              </w:rPr>
              <w:t>2014</w:t>
            </w: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gridSpan w:val="9"/>
            <w:shd w:val="clear" w:color="auto" w:fill="CCEEFF"/>
          </w:tcPr>
          <w:p>
            <w:pPr>
              <w:ind w:left="160"/>
              <w:spacing w:after="0" w:line="201" w:lineRule="exact"/>
              <w:rPr>
                <w:sz w:val="20"/>
                <w:szCs w:val="20"/>
                <w:color w:val="auto"/>
              </w:rPr>
            </w:pPr>
            <w:r>
              <w:rPr>
                <w:rFonts w:ascii="Arial" w:cs="Arial" w:eastAsia="Arial" w:hAnsi="Arial"/>
                <w:sz w:val="18"/>
                <w:szCs w:val="18"/>
                <w:color w:val="auto"/>
                <w:w w:val="98"/>
              </w:rPr>
              <w:t>Common stock, par value $.01 per share; 60,000,000 class A shares and 20,000,000 class B shares</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shd w:val="clear" w:color="auto" w:fill="CCEEFF"/>
          </w:tcPr>
          <w:p>
            <w:pPr>
              <w:ind w:left="320"/>
              <w:spacing w:after="0"/>
              <w:rPr>
                <w:sz w:val="20"/>
                <w:szCs w:val="20"/>
                <w:color w:val="auto"/>
              </w:rPr>
            </w:pPr>
            <w:r>
              <w:rPr>
                <w:rFonts w:ascii="Arial" w:cs="Arial" w:eastAsia="Arial" w:hAnsi="Arial"/>
                <w:sz w:val="18"/>
                <w:szCs w:val="18"/>
                <w:color w:val="auto"/>
                <w:w w:val="89"/>
              </w:rPr>
              <w:t>authorized; 30,205,415 class A shares and 10,093,305 class B shares outstanding in 2015; and 29,889,332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gridSpan w:val="9"/>
            <w:shd w:val="clear" w:color="auto" w:fill="CCEEFF"/>
          </w:tcPr>
          <w:p>
            <w:pPr>
              <w:ind w:left="320"/>
              <w:spacing w:after="0"/>
              <w:rPr>
                <w:sz w:val="20"/>
                <w:szCs w:val="20"/>
                <w:color w:val="auto"/>
              </w:rPr>
            </w:pPr>
            <w:r>
              <w:rPr>
                <w:rFonts w:ascii="Arial" w:cs="Arial" w:eastAsia="Arial" w:hAnsi="Arial"/>
                <w:sz w:val="18"/>
                <w:szCs w:val="18"/>
                <w:color w:val="auto"/>
              </w:rPr>
              <w:t>class A shares and 9,999,122 class B shares outstanding in 2014</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429</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tcPr>
          <w:p>
            <w:pPr>
              <w:ind w:left="16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281,290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272,486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shd w:val="clear" w:color="auto" w:fill="CCEEFF"/>
          </w:tcPr>
          <w:p>
            <w:pPr>
              <w:ind w:left="160"/>
              <w:spacing w:after="0"/>
              <w:rPr>
                <w:sz w:val="20"/>
                <w:szCs w:val="20"/>
                <w:color w:val="auto"/>
              </w:rPr>
            </w:pPr>
            <w:r>
              <w:rPr>
                <w:rFonts w:ascii="Arial" w:cs="Arial" w:eastAsia="Arial" w:hAnsi="Arial"/>
                <w:sz w:val="18"/>
                <w:szCs w:val="18"/>
                <w:color w:val="auto"/>
              </w:rPr>
              <w:t>Treasury stock, at cost: 2,616,657 class B shares in 2015 and 2,560,580 class B shares in 2014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(43,368)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tcPr>
          <w:p>
            <w:pPr>
              <w:ind w:left="160"/>
              <w:spacing w:after="0"/>
              <w:rPr>
                <w:sz w:val="20"/>
                <w:szCs w:val="20"/>
                <w:color w:val="auto"/>
              </w:rPr>
            </w:pPr>
            <w:r>
              <w:rPr>
                <w:rFonts w:ascii="Arial" w:cs="Arial" w:eastAsia="Arial" w:hAnsi="Arial"/>
                <w:sz w:val="18"/>
                <w:szCs w:val="18"/>
                <w:color w:val="auto"/>
              </w:rPr>
              <w:t>Retained earnings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570,150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533,793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 net of tax</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(305)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gridSpan w:val="9"/>
          </w:tcPr>
          <w:p>
            <w:pPr>
              <w:ind w:left="320"/>
              <w:spacing w:after="0"/>
              <w:rPr>
                <w:sz w:val="20"/>
                <w:szCs w:val="20"/>
                <w:color w:val="auto"/>
              </w:rPr>
            </w:pPr>
            <w:r>
              <w:rPr>
                <w:rFonts w:ascii="Arial" w:cs="Arial" w:eastAsia="Arial" w:hAnsi="Arial"/>
                <w:sz w:val="18"/>
                <w:szCs w:val="18"/>
                <w:color w:val="auto"/>
              </w:rPr>
              <w:t>Total shareholders’ equity</w:t>
            </w: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808,196</w:t>
            </w:r>
          </w:p>
        </w:tc>
        <w:tc>
          <w:tcPr>
            <w:tcW w:w="20" w:type="dxa"/>
            <w:vAlign w:val="bottom"/>
            <w:tcBorders>
              <w:top w:val="single" w:sz="8" w:color="CCEEFF"/>
              <w:bottom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764,339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2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2,747,016</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2,694,262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3" w:name="page4"/>
    <w:bookmarkEnd w:id="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u w:val="single" w:color="auto"/>
          <w:color w:val="auto"/>
        </w:rPr>
        <w:t xml:space="preserve">RUSH ENTERPRISES, INC. AND SUBSIDIARIES CONSOLIDATED STATEMENTS OF INCOME AND COMPREHENSIVE INCOME </w:t>
      </w:r>
      <w:r>
        <w:rPr>
          <w:rFonts w:ascii="Arial" w:cs="Arial" w:eastAsia="Arial" w:hAnsi="Arial"/>
          <w:sz w:val="18"/>
          <w:szCs w:val="18"/>
          <w:b w:val="1"/>
          <w:bCs w:val="1"/>
          <w:color w:val="auto"/>
        </w:rPr>
        <w:t>(In Thousands, Except Per Share Amounts) (Unaudited)</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60" w:type="dxa"/>
            <w:vAlign w:val="bottom"/>
            <w:gridSpan w:val="6"/>
          </w:tcPr>
          <w:p>
            <w:pPr>
              <w:ind w:left="3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New and used truck sales</w:t>
            </w:r>
          </w:p>
        </w:tc>
        <w:tc>
          <w:tcPr>
            <w:tcW w:w="18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917,878</w:t>
            </w:r>
          </w:p>
        </w:tc>
        <w:tc>
          <w:tcPr>
            <w:tcW w:w="5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797,291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1,718,072</w:t>
            </w: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1,398,191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Parts and service</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353,268</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330,982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690,290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Lease and rental</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49,297</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44,057</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97,089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85,046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Finance and insurance</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5,678</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5,256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10,209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Other</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4,182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4,875</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8,178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8,603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15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1,330,303</w:t>
            </w: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1,182,461</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2,523,838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2,141,128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b w:val="1"/>
                <w:bCs w:val="1"/>
                <w:color w:val="auto"/>
              </w:rPr>
              <w:t>Cost of products sold</w:t>
            </w:r>
            <w:r>
              <w:rPr>
                <w:rFonts w:ascii="Arial" w:cs="Arial" w:eastAsia="Arial" w:hAnsi="Arial"/>
                <w:sz w:val="18"/>
                <w:szCs w:val="18"/>
                <w:color w:val="auto"/>
              </w:rPr>
              <w:t>:</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New and used truck sales</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856,274</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738,851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1,600,534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1,296,993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Parts and service</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222,225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212,016</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436,922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410,719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 and rental</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44,171</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85,127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Total cost of products sold</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1,122,670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989,112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2,122,583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1,781,854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5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207,633</w:t>
            </w: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193,349</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401,255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359,274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161,309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149,260</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313,936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283,705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10,829</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9,177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20,823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Gain (loss) on sale of assets</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(607)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5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35,560</w:t>
            </w: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34,932</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Interest expense, net</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3,598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2,543</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6,539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5,674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taxes</w:t>
            </w:r>
          </w:p>
        </w:tc>
        <w:tc>
          <w:tcPr>
            <w:tcW w:w="15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31,962</w:t>
            </w: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32,389</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12,386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12,551</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22,993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20,152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19,576</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19,838</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36,357</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31,852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common share:</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Basic</w:t>
            </w:r>
          </w:p>
        </w:tc>
        <w:tc>
          <w:tcPr>
            <w:tcW w:w="18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.49</w:t>
            </w:r>
          </w:p>
        </w:tc>
        <w:tc>
          <w:tcPr>
            <w:tcW w:w="5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.50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.91</w:t>
            </w: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8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52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w:t>
            </w:r>
          </w:p>
        </w:tc>
        <w:tc>
          <w:tcPr>
            <w:tcW w:w="38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Basic</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40,275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39,751</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40,171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39,544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41,072</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40,849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41,029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40,682</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18"/>
                <w:szCs w:val="18"/>
                <w:color w:val="auto"/>
              </w:rPr>
            </w:pPr>
          </w:p>
        </w:tc>
        <w:tc>
          <w:tcPr>
            <w:tcW w:w="182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38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18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19,659</w:t>
            </w:r>
          </w:p>
        </w:tc>
        <w:tc>
          <w:tcPr>
            <w:tcW w:w="52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20,154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36,512</w:t>
            </w:r>
          </w:p>
        </w:tc>
        <w:tc>
          <w:tcPr>
            <w:tcW w:w="38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ind w:left="802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left="802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5715</wp:posOffset>
            </wp:positionV>
            <wp:extent cx="20237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36,357</w:t>
            </w:r>
          </w:p>
        </w:tc>
        <w:tc>
          <w:tcPr>
            <w:tcW w:w="140" w:type="dxa"/>
            <w:vAlign w:val="bottom"/>
          </w:tcPr>
          <w:p>
            <w:pPr>
              <w:spacing w:after="0"/>
              <w:rPr>
                <w:sz w:val="18"/>
                <w:szCs w:val="18"/>
                <w:color w:val="auto"/>
              </w:rPr>
            </w:pP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31,852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69,809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59,298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(gain) on sale of property and equipment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Stock-based compensation expense related to stock options and employee stock purchases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income tax benefit</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(3,686)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Excess tax expense (benefit) from stock-based compensation</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Acquired research and development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Change in accounts receivable, net</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(4,681)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(55,700)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 in inventories, net</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(20,393)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Change in prepaid expenses and other, net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17,316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 in trade accounts payable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(Payments) draws on floor plan notes payable – trade, net</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(14,327)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 in customer deposits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(25,183)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Change in accrued expenses</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(1,866)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15,161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62,347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46,615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property and equipment</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(164,203)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Proceeds from the sale of property and equipment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Business acquisitions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(57,906)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Proceeds from the sale of available for sale securities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other assets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(2,349)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(221,911)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(261,291)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Draws on floor plan notes payable – non-trade, net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39,768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73,344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long-term debt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84,968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Principal payments on long-term debt</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(77,663)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(56,897)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Principal payments on capital lease obligations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(6,147)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w w:val="98"/>
              </w:rPr>
              <w:t>Proceeds from issuance of shares relating to employee stock options and employee stock purchases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Excess tax benefits (expense) from stock-based compensation</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Common stock repurchased</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(1,464)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(8,698)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(118,515)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(86,342)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191,463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217,305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72,948</w:t>
            </w:r>
          </w:p>
        </w:tc>
        <w:tc>
          <w:tcPr>
            <w:tcW w:w="140" w:type="dxa"/>
            <w:vAlign w:val="bottom"/>
          </w:tcPr>
          <w:p>
            <w:pPr>
              <w:spacing w:after="0"/>
              <w:rPr>
                <w:sz w:val="18"/>
                <w:szCs w:val="18"/>
                <w:color w:val="auto"/>
              </w:rPr>
            </w:pP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130,963</w:t>
            </w:r>
          </w:p>
        </w:tc>
        <w:tc>
          <w:tcPr>
            <w:tcW w:w="0" w:type="dxa"/>
            <w:vAlign w:val="bottom"/>
          </w:tcPr>
          <w:p>
            <w:pPr>
              <w:spacing w:after="0"/>
              <w:rPr>
                <w:sz w:val="1"/>
                <w:szCs w:val="1"/>
                <w:color w:val="auto"/>
              </w:rPr>
            </w:pPr>
          </w:p>
        </w:tc>
      </w:tr>
      <w:tr>
        <w:trPr>
          <w:trHeight w:val="20"/>
        </w:trPr>
        <w:tc>
          <w:tcPr>
            <w:tcW w:w="812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during the period for:</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Interest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16,967</w:t>
            </w:r>
          </w:p>
        </w:tc>
        <w:tc>
          <w:tcPr>
            <w:tcW w:w="140" w:type="dxa"/>
            <w:vAlign w:val="bottom"/>
          </w:tcPr>
          <w:p>
            <w:pPr>
              <w:spacing w:after="0"/>
              <w:rPr>
                <w:sz w:val="18"/>
                <w:szCs w:val="18"/>
                <w:color w:val="auto"/>
              </w:rPr>
            </w:pP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14,460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tcBorders>
              <w:bottom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Income taxes, net of refunds</w:t>
            </w: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2,370</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5,425</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tcPr>
          <w:p>
            <w:pPr>
              <w:ind w:left="160"/>
              <w:spacing w:after="0" w:line="196" w:lineRule="exact"/>
              <w:rPr>
                <w:sz w:val="20"/>
                <w:szCs w:val="20"/>
                <w:color w:val="auto"/>
              </w:rPr>
            </w:pPr>
            <w:r>
              <w:rPr>
                <w:rFonts w:ascii="Arial" w:cs="Arial" w:eastAsia="Arial" w:hAnsi="Arial"/>
                <w:sz w:val="18"/>
                <w:szCs w:val="18"/>
                <w:color w:val="auto"/>
              </w:rPr>
              <w:t>Noncash investing activities: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Common stock issued related to business acquisition</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tcPr>
          <w:p>
            <w:pPr>
              <w:ind w:left="320"/>
              <w:spacing w:after="0" w:line="196" w:lineRule="exact"/>
              <w:rPr>
                <w:sz w:val="20"/>
                <w:szCs w:val="20"/>
                <w:color w:val="auto"/>
              </w:rPr>
            </w:pPr>
            <w:r>
              <w:rPr>
                <w:rFonts w:ascii="Arial" w:cs="Arial" w:eastAsia="Arial" w:hAnsi="Arial"/>
                <w:sz w:val="18"/>
                <w:szCs w:val="18"/>
                <w:color w:val="auto"/>
              </w:rPr>
              <w:t>Assets acquired under capital leases</w:t>
            </w: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10,261</w:t>
            </w:r>
          </w:p>
        </w:tc>
        <w:tc>
          <w:tcPr>
            <w:tcW w:w="140" w:type="dxa"/>
            <w:vAlign w:val="bottom"/>
          </w:tcPr>
          <w:p>
            <w:pPr>
              <w:spacing w:after="0"/>
              <w:rPr>
                <w:sz w:val="17"/>
                <w:szCs w:val="17"/>
                <w:color w:val="auto"/>
              </w:rPr>
            </w:pPr>
          </w:p>
        </w:tc>
        <w:tc>
          <w:tcPr>
            <w:tcW w:w="400" w:type="dxa"/>
            <w:vAlign w:val="bottom"/>
            <w:gridSpan w:val="2"/>
          </w:tcPr>
          <w:p>
            <w:pPr>
              <w:jc w:val="right"/>
              <w:ind w:right="165"/>
              <w:spacing w:after="0" w:line="196"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6,415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18" w:right="239" w:bottom="638"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638" w:gutter="0" w:footer="0" w:header="0"/>
          <w:type w:val="continuous"/>
        </w:sectPr>
      </w:pPr>
    </w:p>
    <w:bookmarkStart w:id="5" w:name="page6"/>
    <w:bookmarkEnd w:id="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 Principles of Consolidation and Basis of Presentation</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interim consolidated financial statements included herein have been prepared by Rush Enterprises, Inc. and its subsidiaries (collectively referred to as the “Company”), without audit, pursuant to the rules and regulations of the Securities and Exchange Commission (the “SEC”). All adjustments have been made to the accompanying interim consolidated financial statements, which, in the opinion of our management, are necessary for a fair presentation of our operating results. All adjustments are of a normal recurring nature. Certain information and footnote disclosures normally included in financial statements prepared in accordance with generally accepted accounting principles have been condensed or omitted pursuant to such rules and regulations. It is recommended that these interim consolidated financial statements be read in conjunction with the consolidated financial statements and the notes thereto included in our Annual Report on Form 10-K for the year ended December 31, 2014. Results of operations for interim periods are not necessarily indicative of results that may be expected for any other interim periods or the full fiscal year.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 Other Assets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capitalized costs, including capitalized interest, of the SAP enterprise software and SAP dealership management system are recorded in Other Assets on the Consolidated Balance Sheets in the amount of $37.6 million at June 30, 2015 and $38.5 million at December 31, 2014. These capitalized costs are net of accumulated amortization of $11.9 million at June 30, 2015 and $10.3 million at December 31, 2014. The SAP software is being amortized over a period of 15 years. The Company completed the conversion of all of its Rush Truck Centers and leasing operations to the SAP enterprise software and SAP dealership management system, except for two newly acquired locations in Effingham and Mount Vernon, Illinois, which will be converted in the third quarter of 2015.</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Amortization expense relating to the SAP software, which is recognized in depreciation and amortization expense in the Consolidated Statement of Income, was $0.8 million for the three months ended June 30, 2015 and the three months ended June 30, 2014, and $1.6 million for the six months ended June 30, 2015 and the six months ended June 30, 2014. The Company estimates that amortization expense relating to the SAP software will be approximately $3.3 million for each of the next five succeeding years.</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only significant identifiable intangible assets, other than goodwill, are rights under franchise agreements with manufacturers. The fair value of franchise rights is determined at the acquisition date by discounting the projected cash flows specific to each acquisition. The carrying value of our manufacturer franchise rights was $7.0 million at June 30, 2015 and December 31, 2014, and is included in Other Assets on the accompanying consolidated balance sheets. The Company has determined that manufacturer franchise rights have an indefinite life as there are no economic or other factors that limit their useful lives and they are expected to generate cash flows indefinitely due to the historically long lives of the manufacturers’ brand names. Furthermore, to the extent that any agreements evidencing manufacturer franchise rights have expiration dates, the Company expects that it will be able to renew those agreements in the ordinary course of business. Accordingly, the Company does not amortize manufacturer franchise rights.</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Due to the fact that manufacturer franchise rights are specific to geographic region, the Company has determined that the geographic region is the appropriate level for purposes of testing franchise rights for impairment. Management reviews indefinite-lived manufacturer franchise rights for impairment annually during the fourth quarter, or more often if events or circumstances indicate that an impairment may have occurred. The Company is subject to financial statement risk to the extent that manufacturer franchise rights become impaired due to decreases in the fair market value of its individual franchises.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significant estimates and assumptions used by management in assessing the recoverability of manufacturer franchise rights include estimated future cash flows, present value discount rate, and other factors. Any changes in these estimates or assumptions could result in an impairment charge. The estimates of future cash flows, based on reasonable and supportable assumptions and projections, require management’s subjective judgment. Depending on the assumptions and estimates used, the estimated future cash flows projected in the evaluations of manufacturer franchise rights can vary within a range of outcomes.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 impairment write down was required in the fourth quarter of 2014. The Company cannot predict the occurrence of certain events that might adversely affect the reported value of manufacturer franchise rights in the future. However, no facts or circumstances were noted during the three months ended June 30, 2015 that would indicate impairment.</w:t>
      </w:r>
    </w:p>
    <w:p>
      <w:pPr>
        <w:spacing w:after="0" w:line="200" w:lineRule="exact"/>
        <w:rPr>
          <w:sz w:val="20"/>
          <w:szCs w:val="20"/>
          <w:color w:val="auto"/>
        </w:rPr>
      </w:pPr>
    </w:p>
    <w:p>
      <w:pPr>
        <w:spacing w:after="0" w:line="22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40"/>
          </w:cols>
          <w:pgMar w:left="240" w:top="118" w:right="619" w:bottom="1440" w:gutter="0" w:footer="0" w:header="0"/>
        </w:sectPr>
      </w:pPr>
    </w:p>
    <w:bookmarkStart w:id="6" w:name="page7"/>
    <w:bookmarkEnd w:id="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 Commitments and Contingencies</w:t>
      </w:r>
    </w:p>
    <w:p>
      <w:pPr>
        <w:spacing w:after="0" w:line="229" w:lineRule="exact"/>
        <w:rPr>
          <w:sz w:val="20"/>
          <w:szCs w:val="20"/>
          <w:color w:val="auto"/>
        </w:rPr>
      </w:pPr>
    </w:p>
    <w:p>
      <w:pPr>
        <w:jc w:val="both"/>
        <w:ind w:right="400" w:firstLine="648"/>
        <w:spacing w:after="0" w:line="291" w:lineRule="auto"/>
        <w:rPr>
          <w:sz w:val="20"/>
          <w:szCs w:val="20"/>
          <w:color w:val="auto"/>
        </w:rPr>
      </w:pPr>
      <w:r>
        <w:rPr>
          <w:rFonts w:ascii="Arial" w:cs="Arial" w:eastAsia="Arial" w:hAnsi="Arial"/>
          <w:sz w:val="16"/>
          <w:szCs w:val="16"/>
          <w:color w:val="auto"/>
        </w:rPr>
        <w:t>From time to time, the Company is involved in litigation arising out of its operations in the ordinary course of business. The Company maintains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our financial condition or results of operations. The Company believes that there are no claims or litigation pending, the outcome of which could have a material adverse effect on its financial position or results of operations. However, due to the inherent uncertainty of litigation, there can be no assurance that the resolution of any particular claim or proceeding would not have a material adverse effect on our financial condition or results of operations for the fiscal period in which such resolution occurred.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 Earnings Per Share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earnings per share (in thousands, except per share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ind w:left="26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8"/>
                <w:szCs w:val="18"/>
                <w:color w:val="auto"/>
              </w:rPr>
            </w:pPr>
          </w:p>
        </w:tc>
        <w:tc>
          <w:tcPr>
            <w:tcW w:w="2360" w:type="dxa"/>
            <w:vAlign w:val="bottom"/>
            <w:gridSpan w:val="6"/>
          </w:tcPr>
          <w:p>
            <w:pPr>
              <w:ind w:left="34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June 30,</w:t>
            </w:r>
          </w:p>
        </w:tc>
        <w:tc>
          <w:tcPr>
            <w:tcW w:w="8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Numerator for basic and diluted earnings per share –</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 available to common shareholders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19,576</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19,838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36,357</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Pr>
          <w:p>
            <w:pPr>
              <w:ind w:left="160"/>
              <w:spacing w:after="0" w:line="201" w:lineRule="exact"/>
              <w:rPr>
                <w:sz w:val="20"/>
                <w:szCs w:val="20"/>
                <w:color w:val="auto"/>
              </w:rPr>
            </w:pPr>
            <w:r>
              <w:rPr>
                <w:rFonts w:ascii="Arial" w:cs="Arial" w:eastAsia="Arial" w:hAnsi="Arial"/>
                <w:sz w:val="18"/>
                <w:szCs w:val="18"/>
                <w:color w:val="auto"/>
              </w:rPr>
              <w:t>Denominator for basic earnings per share – weighted average shares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outstanding</w:t>
            </w:r>
          </w:p>
        </w:tc>
        <w:tc>
          <w:tcPr>
            <w:tcW w:w="2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40,275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39,751</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40,171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39,544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Effect of dilutive securities–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Employee and director stock options and restricted share awards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858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6060" w:type="dxa"/>
            <w:vAlign w:val="bottom"/>
            <w:shd w:val="clear" w:color="auto" w:fill="CCEEFF"/>
          </w:tcPr>
          <w:p>
            <w:pPr>
              <w:ind w:left="160"/>
              <w:spacing w:after="0" w:line="195" w:lineRule="exact"/>
              <w:rPr>
                <w:sz w:val="20"/>
                <w:szCs w:val="20"/>
                <w:color w:val="auto"/>
              </w:rPr>
            </w:pPr>
            <w:r>
              <w:rPr>
                <w:rFonts w:ascii="Arial" w:cs="Arial" w:eastAsia="Arial" w:hAnsi="Arial"/>
                <w:sz w:val="18"/>
                <w:szCs w:val="18"/>
                <w:color w:val="auto"/>
                <w:w w:val="92"/>
              </w:rPr>
              <w:t>Denominator for diluted earnings per share – adjusted weighted average shares</w:t>
            </w:r>
          </w:p>
        </w:tc>
        <w:tc>
          <w:tcPr>
            <w:tcW w:w="24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41,072</w:t>
            </w:r>
          </w:p>
        </w:tc>
        <w:tc>
          <w:tcPr>
            <w:tcW w:w="120" w:type="dxa"/>
            <w:vAlign w:val="bottom"/>
            <w:vMerge w:val="restart"/>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40,849</w:t>
            </w:r>
          </w:p>
        </w:tc>
        <w:tc>
          <w:tcPr>
            <w:tcW w:w="200" w:type="dxa"/>
            <w:vAlign w:val="bottom"/>
            <w:vMerge w:val="restart"/>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41,029</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40,682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shd w:val="clear" w:color="auto" w:fill="CCEEFF"/>
          </w:tcPr>
          <w:p>
            <w:pPr>
              <w:ind w:left="320"/>
              <w:spacing w:after="0" w:line="190" w:lineRule="exact"/>
              <w:rPr>
                <w:sz w:val="20"/>
                <w:szCs w:val="20"/>
                <w:color w:val="auto"/>
              </w:rPr>
            </w:pPr>
            <w:r>
              <w:rPr>
                <w:rFonts w:ascii="Arial" w:cs="Arial" w:eastAsia="Arial" w:hAnsi="Arial"/>
                <w:sz w:val="18"/>
                <w:szCs w:val="18"/>
                <w:color w:val="auto"/>
              </w:rPr>
              <w:t>outstanding and assumed conversions</w:t>
            </w:r>
          </w:p>
        </w:tc>
        <w:tc>
          <w:tcPr>
            <w:tcW w:w="2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0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80" w:type="dxa"/>
            <w:vAlign w:val="bottom"/>
            <w:gridSpan w:val="2"/>
          </w:tcPr>
          <w:p>
            <w:pPr>
              <w:spacing w:after="0" w:line="196" w:lineRule="exact"/>
              <w:rPr>
                <w:sz w:val="20"/>
                <w:szCs w:val="20"/>
                <w:color w:val="auto"/>
              </w:rPr>
            </w:pPr>
            <w:r>
              <w:rPr>
                <w:rFonts w:ascii="Arial" w:cs="Arial" w:eastAsia="Arial" w:hAnsi="Arial"/>
                <w:sz w:val="18"/>
                <w:szCs w:val="18"/>
                <w:color w:val="auto"/>
              </w:rPr>
              <w:t>Diluted earnings per common share and common share equivalents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120" w:type="dxa"/>
            <w:vAlign w:val="bottom"/>
          </w:tcPr>
          <w:p>
            <w:pPr>
              <w:spacing w:after="0"/>
              <w:rPr>
                <w:sz w:val="17"/>
                <w:szCs w:val="17"/>
                <w:color w:val="auto"/>
              </w:rPr>
            </w:pPr>
          </w:p>
        </w:tc>
        <w:tc>
          <w:tcPr>
            <w:tcW w:w="38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.49</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.89</w:t>
            </w:r>
          </w:p>
        </w:tc>
        <w:tc>
          <w:tcPr>
            <w:tcW w:w="4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Options to purchase shares of common stock that were outstanding for the three months and six months ended June 30, 2015, and 2014, that were not included in the computation of diluted earnings per share because the effect would have been anti-dilutive are as follows (in thousands):</w:t>
      </w:r>
    </w:p>
    <w:p>
      <w:pPr>
        <w:spacing w:after="0" w:line="124"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Three Months Ended</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00" w:type="dxa"/>
            <w:vAlign w:val="bottom"/>
            <w:gridSpan w:val="3"/>
          </w:tcPr>
          <w:p>
            <w:pPr>
              <w:jc w:val="center"/>
              <w:ind w:right="80"/>
              <w:spacing w:after="0"/>
              <w:rPr>
                <w:sz w:val="20"/>
                <w:szCs w:val="20"/>
                <w:color w:val="auto"/>
              </w:rPr>
            </w:pPr>
            <w:r>
              <w:rPr>
                <w:rFonts w:ascii="Arial" w:cs="Arial" w:eastAsia="Arial" w:hAnsi="Arial"/>
                <w:sz w:val="18"/>
                <w:szCs w:val="18"/>
                <w:color w:val="auto"/>
                <w:w w:val="91"/>
              </w:rPr>
              <w:t>Six Months Ended</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3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8"/>
                <w:szCs w:val="18"/>
                <w:color w:val="auto"/>
                <w:w w:val="86"/>
              </w:rPr>
              <w:t>June 30,</w:t>
            </w:r>
          </w:p>
        </w:tc>
        <w:tc>
          <w:tcPr>
            <w:tcW w:w="3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86"/>
              </w:rPr>
              <w:t>June 30,</w:t>
            </w:r>
          </w:p>
        </w:tc>
        <w:tc>
          <w:tcPr>
            <w:tcW w:w="3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3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2015</w:t>
            </w:r>
          </w:p>
        </w:tc>
        <w:tc>
          <w:tcPr>
            <w:tcW w:w="1600" w:type="dxa"/>
            <w:vAlign w:val="bottom"/>
            <w:gridSpan w:val="3"/>
          </w:tcPr>
          <w:p>
            <w:pPr>
              <w:jc w:val="right"/>
              <w:ind w:right="140"/>
              <w:spacing w:after="0"/>
              <w:rPr>
                <w:sz w:val="20"/>
                <w:szCs w:val="20"/>
                <w:color w:val="auto"/>
              </w:rPr>
            </w:pPr>
            <w:r>
              <w:rPr>
                <w:rFonts w:ascii="Arial" w:cs="Arial" w:eastAsia="Arial" w:hAnsi="Arial"/>
                <w:sz w:val="18"/>
                <w:szCs w:val="18"/>
                <w:color w:val="auto"/>
              </w:rPr>
              <w:t>2014</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2015</w:t>
            </w: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2014</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3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w:t>
            </w: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1,234</w:t>
            </w: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4"/>
              </w:rPr>
              <w:t>1,045</w:t>
            </w: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4200" w:type="dxa"/>
            <w:vAlign w:val="bottom"/>
            <w:gridSpan w:val="2"/>
          </w:tcPr>
          <w:p>
            <w:pPr>
              <w:spacing w:after="0"/>
              <w:rPr>
                <w:sz w:val="20"/>
                <w:szCs w:val="20"/>
                <w:color w:val="auto"/>
              </w:rPr>
            </w:pPr>
            <w:r>
              <w:rPr>
                <w:rFonts w:ascii="Arial" w:cs="Arial" w:eastAsia="Arial" w:hAnsi="Arial"/>
                <w:sz w:val="18"/>
                <w:szCs w:val="18"/>
                <w:color w:val="auto"/>
              </w:rPr>
              <w:t>Total anti-dilutive securities</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1,234</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721</w:t>
            </w:r>
          </w:p>
        </w:tc>
        <w:tc>
          <w:tcPr>
            <w:tcW w:w="86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1,045</w:t>
            </w:r>
          </w:p>
        </w:tc>
        <w:tc>
          <w:tcPr>
            <w:tcW w:w="90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576</w:t>
            </w:r>
          </w:p>
        </w:tc>
      </w:tr>
      <w:tr>
        <w:trPr>
          <w:trHeight w:val="20"/>
        </w:trPr>
        <w:tc>
          <w:tcPr>
            <w:tcW w:w="3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 Stock Options and Restricted Stock Awards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accounts for stock-based compensation in accordance with Accounting Standards Codification (“ASC”) 718-10, “Compensation</w:t>
      </w:r>
    </w:p>
    <w:p>
      <w:pPr>
        <w:spacing w:after="0" w:line="35" w:lineRule="exact"/>
        <w:rPr>
          <w:sz w:val="20"/>
          <w:szCs w:val="20"/>
          <w:color w:val="auto"/>
        </w:rPr>
      </w:pPr>
    </w:p>
    <w:p>
      <w:pPr>
        <w:jc w:val="both"/>
        <w:ind w:right="380"/>
        <w:spacing w:after="0" w:line="252" w:lineRule="auto"/>
        <w:rPr>
          <w:sz w:val="20"/>
          <w:szCs w:val="20"/>
          <w:color w:val="auto"/>
        </w:rPr>
      </w:pPr>
      <w:r>
        <w:rPr>
          <w:rFonts w:ascii="Arial" w:cs="Arial" w:eastAsia="Arial" w:hAnsi="Arial"/>
          <w:sz w:val="18"/>
          <w:szCs w:val="18"/>
          <w:color w:val="auto"/>
        </w:rPr>
        <w:t>– Stock Compensation,” which requires the measurement and recognition of compensation expense for all share-based payment awards made to our employees and directors, including employee stock options, restricted share awards and employee stock purchases related to the Employee Stock Purchase Plan based on estimated fair values. Stock-based compensation expense, calculated using the Black-Scholes option-pricing model for employee stock options, and included in selling, general and administrative expense, was $3.5 million for the three months ended June 30, 2015, and $3.8 million for the three months ended June 30, 2014. Stock-based compensation expense, included in selling, general and administrative expense, for the six months ended June 30, 2015, was $7.2 million and for the six months ended June 30, 2014, was $7.1 million. As of June 30, 2015, there was $21.4 million of total unrecognized compensation cost related to non-vested share-based compensation arrangements to be recognized over a weighted-average period of 2.8 years.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 Financial Instruments and Fair Value</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 measures certain financial assets and liabilities at fair value on a recurring basis. Financial instruments consist primarily of cash, accounts receivable, accounts payable and floor plan notes payable. The carrying values of our financial instruments approximate fair value due to either their short-term nature or the existence of variable interest rates, which approximate market rates. Certain methods and assumptions were used by the Company in estimating the fair value of financial instruments at June 30, 2015, and December 31, 2014. The carrying value of current assets and current liabilities approximates the fair value due to the short maturity of these items.</w:t>
      </w:r>
    </w:p>
    <w:p>
      <w:pPr>
        <w:spacing w:after="0" w:line="173"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The fair value of the Company’s long-term debt is based on secondary market indicators. Because the Company’s debt is not quoted, estimates are based on each obligation’s characteristics, including remaining maturities, interest rate, credit rating, collateral and liquidity. Accordingly, the Company concluded that the valuation measurement inputs of its long-term debt represent, at its lowest level, current market interest rates available to the Company for similar debt and our current credit standing and has categorized such debt within Level 2 of the hierarchy framework. The carrying amount approximates fair value.</w:t>
      </w:r>
    </w:p>
    <w:p>
      <w:pPr>
        <w:spacing w:after="0" w:line="18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If investments are deemed to be impaired, the Company determines whether the impairment is temporary or other than temporary. If the impairment is deemed to be temporary, the Company records an unrealized loss in other comprehensive income. If the impairment is deemed other than temporary, the Company records the impairment in the Company’s Consolidated Statements of Income.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Auction Rate Securities</w:t>
      </w:r>
    </w:p>
    <w:p>
      <w:pPr>
        <w:spacing w:after="0" w:line="225"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6"/>
          <w:szCs w:val="16"/>
          <w:color w:val="auto"/>
        </w:rPr>
        <w:t>In prior years, the Company invested in interest-bearing short-term investments primarily consisting of investment-grade auction rate securities classified as available-for-sale and reported at fair value. These types of investments were designed to provide liquidity through an auction process that reset the applicable interest rates at predetermined periods ranging from 1 to 35 days. This reset mechanism was intended to allow existing investors to continue to own their respective interest in the auction rate security or to gain immediate liquidity by selling their interests at par.</w:t>
      </w:r>
    </w:p>
    <w:p>
      <w:pPr>
        <w:spacing w:after="0" w:line="154"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Auctions for investment grade securities held by the Company have failed. However, a failed auction does not represent a default by the issuer. The auction rate securities continue to pay interest in accordance with the terms of the underlying security; however, liquidity will be limited until there is a successful auction or until such time as other markets for these investments develop. The Company has the intent and ability to hold these auction rate securities until liquidity returns to the market. The Company does not believe that the lack of liquidity relating to its auction rate securities will have a material impact on its ability to fund operations.</w:t>
      </w:r>
    </w:p>
    <w:p>
      <w:pPr>
        <w:spacing w:after="0" w:line="188"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The Company holds auction rate securities with underlying tax-exempt municipal bonds that mature in 2030 and have a fair value of $6.6 million and a cost basis of $7.2 million as of June 30, 2015, and a fair value of $6.9 million and a cost basis of $7.4 million as of December 31, 2014. The Company redeemed $275,000 of the auction rate securities, at par, during the second quarter of 2015. These bonds have credit wrap insurance and a credit rating of A by a major credit rating agency.</w:t>
      </w:r>
    </w:p>
    <w:p>
      <w:pPr>
        <w:spacing w:after="0" w:line="18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valued the auction rate securities at June 30, 2015 using a discounted cash flow model based on the characteristics of the individual securities, which the Company believes yields the best estimate of fair value. The first step in the valuation included a credit analysis of the security which considered various factors, including the credit quality of the issuer, the instrument’s position within the capital structure of the issuing authority, and the composition of the authority’s assets including the effect of insurance and/or government guarantees. Next, the future cash flows of the instruments were projected based on certain assumptions regarding the auction rate market significant to the valuation, including that the auction rate market will remain illiquid and auctions will continue to fail, causing the interest rate to be the maximum applicable rate. This assumption resulted in discounted cash flow analysis being performed through 2019, the point at which the Company estimates the securities will be redeemed by the municipality. The projected cash flows were then discounted using the applicable yield curve plus a 225 basis point liquidity premium added to the applicable discount rate.</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recorded a pre-tax impairment charge of $1.0 million on these auction rate securities in 2011 and a subsequent pre-tax increase in fair value of $427,000 during 2014. The Company believes that the impairment is temporary and has included the impairment in accumulated other comprehensive loss.</w:t>
      </w:r>
    </w:p>
    <w:p>
      <w:pPr>
        <w:spacing w:after="0" w:line="200" w:lineRule="exact"/>
        <w:rPr>
          <w:sz w:val="20"/>
          <w:szCs w:val="20"/>
          <w:color w:val="auto"/>
        </w:rPr>
      </w:pPr>
    </w:p>
    <w:p>
      <w:pPr>
        <w:spacing w:after="0" w:line="22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40"/>
          </w:cols>
          <w:pgMar w:left="240" w:top="118" w:right="619" w:bottom="1440" w:gutter="0" w:footer="0" w:header="0"/>
        </w:sectPr>
      </w:pPr>
    </w:p>
    <w:bookmarkStart w:id="8" w:name="page9"/>
    <w:bookmarkEnd w:id="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table below presents disclosures about the auction rate securities measured at fair value on a recurring basis in the Company’s financial statements as follows (in thousands):</w:t>
      </w:r>
    </w:p>
    <w:p>
      <w:pPr>
        <w:sectPr>
          <w:pgSz w:w="11900" w:h="16838" w:orient="portrait"/>
          <w:cols w:equalWidth="0" w:num="1">
            <w:col w:w="11040"/>
          </w:cols>
          <w:pgMar w:left="240" w:top="118" w:right="619" w:bottom="1440" w:gutter="0" w:footer="0" w:header="0"/>
        </w:sectPr>
      </w:pPr>
    </w:p>
    <w:p>
      <w:pPr>
        <w:spacing w:after="0" w:line="16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At June 30, 2015</w:t>
      </w:r>
    </w:p>
    <w:p>
      <w:pPr>
        <w:spacing w:after="0" w:line="27" w:lineRule="exact"/>
        <w:rPr>
          <w:sz w:val="20"/>
          <w:szCs w:val="20"/>
          <w:color w:val="auto"/>
        </w:rPr>
      </w:pPr>
    </w:p>
    <w:tbl>
      <w:tblPr>
        <w:tblLayout w:type="fixed"/>
        <w:tblInd w:w="3480" w:type="dxa"/>
        <w:tblCellMar>
          <w:top w:w="0" w:type="dxa"/>
          <w:left w:w="0" w:type="dxa"/>
          <w:bottom w:w="0" w:type="dxa"/>
          <w:right w:w="0" w:type="dxa"/>
        </w:tblCellMar>
      </w:tblPr>
      <w:tr>
        <w:trPr>
          <w:trHeight w:val="191"/>
        </w:trPr>
        <w:tc>
          <w:tcPr>
            <w:tcW w:w="114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91"/>
              </w:rPr>
              <w:t>Level 1</w:t>
            </w:r>
          </w:p>
        </w:tc>
        <w:tc>
          <w:tcPr>
            <w:tcW w:w="12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Level 2</w:t>
            </w:r>
          </w:p>
        </w:tc>
        <w:tc>
          <w:tcPr>
            <w:tcW w:w="1160" w:type="dxa"/>
            <w:vAlign w:val="bottom"/>
            <w:tcBorders>
              <w:top w:val="single" w:sz="8" w:color="auto"/>
            </w:tcBorders>
          </w:tcPr>
          <w:p>
            <w:pPr>
              <w:jc w:val="center"/>
              <w:ind w:left="10"/>
              <w:spacing w:after="0" w:line="191" w:lineRule="exact"/>
              <w:rPr>
                <w:sz w:val="20"/>
                <w:szCs w:val="20"/>
                <w:color w:val="auto"/>
              </w:rPr>
            </w:pPr>
            <w:r>
              <w:rPr>
                <w:rFonts w:ascii="Arial" w:cs="Arial" w:eastAsia="Arial" w:hAnsi="Arial"/>
                <w:sz w:val="18"/>
                <w:szCs w:val="18"/>
                <w:b w:val="1"/>
                <w:bCs w:val="1"/>
                <w:color w:val="auto"/>
                <w:w w:val="88"/>
              </w:rPr>
              <w:t>Level 3</w:t>
            </w:r>
          </w:p>
        </w:tc>
      </w:tr>
      <w:tr>
        <w:trPr>
          <w:trHeight w:val="234"/>
        </w:trPr>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Inputs</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2"/>
              </w:rPr>
              <w:t>Inputs</w:t>
            </w:r>
          </w:p>
        </w:tc>
        <w:tc>
          <w:tcPr>
            <w:tcW w:w="1160" w:type="dxa"/>
            <w:vAlign w:val="bottom"/>
          </w:tcPr>
          <w:p>
            <w:pPr>
              <w:jc w:val="center"/>
              <w:ind w:left="10"/>
              <w:spacing w:after="0"/>
              <w:rPr>
                <w:sz w:val="20"/>
                <w:szCs w:val="20"/>
                <w:color w:val="auto"/>
              </w:rPr>
            </w:pPr>
            <w:r>
              <w:rPr>
                <w:rFonts w:ascii="Arial" w:cs="Arial" w:eastAsia="Arial" w:hAnsi="Arial"/>
                <w:sz w:val="18"/>
                <w:szCs w:val="18"/>
                <w:b w:val="1"/>
                <w:bCs w:val="1"/>
                <w:color w:val="auto"/>
                <w:w w:val="92"/>
              </w:rPr>
              <w:t>Inputs</w:t>
            </w:r>
          </w:p>
        </w:tc>
      </w:tr>
    </w:tbl>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At December 31, 2014</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1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Level 1</w:t>
            </w:r>
          </w:p>
        </w:tc>
        <w:tc>
          <w:tcPr>
            <w:tcW w:w="12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Level 2</w:t>
            </w:r>
          </w:p>
        </w:tc>
        <w:tc>
          <w:tcPr>
            <w:tcW w:w="1100" w:type="dxa"/>
            <w:vAlign w:val="bottom"/>
            <w:tcBorders>
              <w:top w:val="single" w:sz="8" w:color="auto"/>
            </w:tcBorders>
          </w:tcPr>
          <w:p>
            <w:pPr>
              <w:jc w:val="center"/>
              <w:ind w:left="10"/>
              <w:spacing w:after="0" w:line="191" w:lineRule="exact"/>
              <w:rPr>
                <w:sz w:val="20"/>
                <w:szCs w:val="20"/>
                <w:color w:val="auto"/>
              </w:rPr>
            </w:pPr>
            <w:r>
              <w:rPr>
                <w:rFonts w:ascii="Arial" w:cs="Arial" w:eastAsia="Arial" w:hAnsi="Arial"/>
                <w:sz w:val="18"/>
                <w:szCs w:val="18"/>
                <w:b w:val="1"/>
                <w:bCs w:val="1"/>
                <w:color w:val="auto"/>
                <w:w w:val="91"/>
              </w:rPr>
              <w:t>Level 3</w:t>
            </w:r>
          </w:p>
        </w:tc>
      </w:tr>
      <w:tr>
        <w:trPr>
          <w:trHeight w:val="234"/>
        </w:trPr>
        <w:tc>
          <w:tcPr>
            <w:tcW w:w="112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Inputs</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2"/>
              </w:rPr>
              <w:t>Inputs</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2"/>
              </w:rPr>
              <w:t>Inputs</w:t>
            </w:r>
          </w:p>
        </w:tc>
      </w:tr>
    </w:tbl>
    <w:p>
      <w:pPr>
        <w:spacing w:after="0" w:line="20" w:lineRule="exact"/>
        <w:rPr>
          <w:sz w:val="20"/>
          <w:szCs w:val="20"/>
          <w:color w:val="auto"/>
        </w:rPr>
      </w:pPr>
    </w:p>
    <w:p>
      <w:pPr>
        <w:sectPr>
          <w:pgSz w:w="11900" w:h="16838" w:orient="portrait"/>
          <w:cols w:equalWidth="0" w:num="2">
            <w:col w:w="7040" w:space="200"/>
            <w:col w:w="3800"/>
          </w:cols>
          <w:pgMar w:left="240" w:top="118" w:right="619" w:bottom="1440" w:gutter="0" w:footer="0" w:header="0"/>
          <w:type w:val="continuous"/>
        </w:sectPr>
      </w:pPr>
    </w:p>
    <w:tbl>
      <w:tblPr>
        <w:tblLayout w:type="fixed"/>
        <w:tblInd w:w="340" w:type="dxa"/>
        <w:tblCellMar>
          <w:top w:w="0" w:type="dxa"/>
          <w:left w:w="0" w:type="dxa"/>
          <w:bottom w:w="0" w:type="dxa"/>
          <w:right w:w="0" w:type="dxa"/>
        </w:tblCellMar>
      </w:tblPr>
      <w:tr>
        <w:trPr>
          <w:trHeight w:val="20"/>
        </w:trPr>
        <w:tc>
          <w:tcPr>
            <w:tcW w:w="1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r>
      <w:tr>
        <w:trPr>
          <w:trHeight w:val="190"/>
        </w:trPr>
        <w:tc>
          <w:tcPr>
            <w:tcW w:w="160" w:type="dxa"/>
            <w:vAlign w:val="bottom"/>
          </w:tcPr>
          <w:p>
            <w:pPr>
              <w:spacing w:after="0"/>
              <w:rPr>
                <w:sz w:val="16"/>
                <w:szCs w:val="16"/>
                <w:color w:val="auto"/>
              </w:rPr>
            </w:pPr>
          </w:p>
        </w:tc>
        <w:tc>
          <w:tcPr>
            <w:tcW w:w="29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Investment in auction rate securities</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ind w:left="380"/>
              <w:spacing w:after="0" w:line="189" w:lineRule="exact"/>
              <w:rPr>
                <w:sz w:val="20"/>
                <w:szCs w:val="20"/>
                <w:color w:val="auto"/>
              </w:rPr>
            </w:pPr>
            <w:r>
              <w:rPr>
                <w:rFonts w:ascii="Arial" w:cs="Arial" w:eastAsia="Arial" w:hAnsi="Arial"/>
                <w:sz w:val="18"/>
                <w:szCs w:val="18"/>
                <w:color w:val="auto"/>
              </w:rPr>
              <w:t>—   $</w:t>
            </w:r>
          </w:p>
        </w:tc>
        <w:tc>
          <w:tcPr>
            <w:tcW w:w="1160" w:type="dxa"/>
            <w:vAlign w:val="bottom"/>
            <w:shd w:val="clear" w:color="auto" w:fill="CCEEFF"/>
          </w:tcPr>
          <w:p>
            <w:pPr>
              <w:ind w:left="400"/>
              <w:spacing w:after="0" w:line="189" w:lineRule="exact"/>
              <w:rPr>
                <w:sz w:val="20"/>
                <w:szCs w:val="20"/>
                <w:color w:val="auto"/>
              </w:rPr>
            </w:pPr>
            <w:r>
              <w:rPr>
                <w:rFonts w:ascii="Arial" w:cs="Arial" w:eastAsia="Arial" w:hAnsi="Arial"/>
                <w:sz w:val="18"/>
                <w:szCs w:val="18"/>
                <w:color w:val="auto"/>
              </w:rPr>
              <w:t>—   $</w:t>
            </w:r>
          </w:p>
        </w:tc>
        <w:tc>
          <w:tcPr>
            <w:tcW w:w="68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6,650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30"/>
              <w:spacing w:after="0" w:line="189" w:lineRule="exact"/>
              <w:rPr>
                <w:sz w:val="20"/>
                <w:szCs w:val="20"/>
                <w:color w:val="auto"/>
              </w:rPr>
            </w:pPr>
            <w:r>
              <w:rPr>
                <w:rFonts w:ascii="Arial" w:cs="Arial" w:eastAsia="Arial" w:hAnsi="Arial"/>
                <w:sz w:val="18"/>
                <w:szCs w:val="18"/>
                <w:color w:val="auto"/>
                <w:w w:val="79"/>
              </w:rPr>
              <w:t>$</w:t>
            </w:r>
          </w:p>
        </w:tc>
        <w:tc>
          <w:tcPr>
            <w:tcW w:w="300" w:type="dxa"/>
            <w:vAlign w:val="bottom"/>
            <w:gridSpan w:val="2"/>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720"/>
              <w:spacing w:after="0" w:line="189" w:lineRule="exact"/>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90"/>
              <w:spacing w:after="0" w:line="189" w:lineRule="exact"/>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6,905</w:t>
            </w:r>
          </w:p>
        </w:tc>
      </w:tr>
      <w:tr>
        <w:trPr>
          <w:trHeight w:val="414"/>
        </w:trPr>
        <w:tc>
          <w:tcPr>
            <w:tcW w:w="1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1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8"/>
              </w:rPr>
              <w:t>Loss In</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85"/>
              </w:rPr>
              <w:t>Cost Basis</w:t>
            </w:r>
          </w:p>
        </w:tc>
        <w:tc>
          <w:tcPr>
            <w:tcW w:w="220" w:type="dxa"/>
            <w:vAlign w:val="bottom"/>
          </w:tcPr>
          <w:p>
            <w:pPr>
              <w:spacing w:after="0"/>
              <w:rPr>
                <w:sz w:val="18"/>
                <w:szCs w:val="18"/>
                <w:color w:val="auto"/>
              </w:rPr>
            </w:pPr>
          </w:p>
        </w:tc>
        <w:tc>
          <w:tcPr>
            <w:tcW w:w="120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1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rPr>
              <w:t>OCI</w:t>
            </w:r>
          </w:p>
        </w:tc>
        <w:tc>
          <w:tcPr>
            <w:tcW w:w="100" w:type="dxa"/>
            <w:vAlign w:val="bottom"/>
          </w:tcPr>
          <w:p>
            <w:pPr>
              <w:spacing w:after="0"/>
              <w:rPr>
                <w:sz w:val="20"/>
                <w:szCs w:val="20"/>
                <w:color w:val="auto"/>
              </w:rPr>
            </w:pPr>
          </w:p>
        </w:tc>
        <w:tc>
          <w:tcPr>
            <w:tcW w:w="118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w w:val="92"/>
              </w:rPr>
              <w:t>Fair Value</w:t>
            </w:r>
          </w:p>
        </w:tc>
      </w:tr>
      <w:tr>
        <w:trPr>
          <w:trHeight w:val="210"/>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June 30, 2015</w:t>
            </w: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140" w:type="dxa"/>
            <w:vAlign w:val="bottom"/>
            <w:gridSpan w:val="2"/>
          </w:tcPr>
          <w:p>
            <w:pPr>
              <w:ind w:left="160"/>
              <w:spacing w:after="0"/>
              <w:rPr>
                <w:sz w:val="20"/>
                <w:szCs w:val="20"/>
                <w:color w:val="auto"/>
              </w:rPr>
            </w:pPr>
            <w:r>
              <w:rPr>
                <w:rFonts w:ascii="Arial" w:cs="Arial" w:eastAsia="Arial" w:hAnsi="Arial"/>
                <w:sz w:val="18"/>
                <w:szCs w:val="18"/>
                <w:color w:val="auto"/>
              </w:rPr>
              <w:t>Investment in auction rate securities</w:t>
            </w: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7,150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500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3140" w:type="dxa"/>
            <w:vAlign w:val="bottom"/>
            <w:gridSpan w:val="2"/>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b w:val="1"/>
                <w:bCs w:val="1"/>
                <w:color w:val="auto"/>
              </w:rPr>
              <w:t>December 31, 2014</w:t>
            </w: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Investment in auction rate securities</w:t>
            </w: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7,425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6,905</w:t>
            </w: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160" w:type="dxa"/>
            <w:vAlign w:val="bottom"/>
            <w:shd w:val="clear" w:color="auto" w:fill="CCEEFF"/>
          </w:tcPr>
          <w:p>
            <w:pPr>
              <w:spacing w:after="0" w:line="20" w:lineRule="exact"/>
              <w:rPr>
                <w:sz w:val="1"/>
                <w:szCs w:val="1"/>
                <w:color w:val="auto"/>
              </w:rPr>
            </w:pPr>
          </w:p>
        </w:tc>
        <w:tc>
          <w:tcPr>
            <w:tcW w:w="29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68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Rate Swap Agreements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has entered into swap agreements to hedge against the potential impact of increases in interest rates on its floating-rate debt instruments. Swap agreements that hedge exposures to changes in interest rates expose the Company to credit risk and market risk. Credit risk is the potential failure of the counterparty to perform under the terms of the swap agreement. The Company attempts to minimize this risk by entering into transactions with high-quality counterparties. Market risk is the potential adverse effect on the value of the swap agreement that results from a decline in interest rates. The market risk associated with interest-rate contracts is managed by establishing and monitoring parameters that limit the types and degree of market risk that may be undertaken.</w:t>
      </w:r>
    </w:p>
    <w:p>
      <w:pPr>
        <w:spacing w:after="0" w:line="19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At June 30, 2015, the Company had an aggregate $5.1 million notional amount of interest rate swap contracts, which have been designated as cash flow hedges, to pay fixed rates of interest and receive a floating interest rate based on LIBOR. The fixed interest rates specified in the interest rate swap contracts became effective on or about January 1, 2012. The Company’s interest rate swaps qualify for cash flow hedge accounting treatment. Unrealized gains or losses are recorded in Accumulated Other Comprehensive Income (Loss) on the Consolidated Balance Sheets. Realized gains and losses will be recognized in interest expense, if they occur. Amounts to be received or paid under the contracts will be recognized as interest expense over the life of the contracts. These swaps were effective during the three months ended June 30, 2015 and 2014.</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fair value of cash flow hedges is calculated as the present value of expected future cash flows, determined on the basis of forward interest rates and present value factors. As such, the carrying amounts for these swaps are designated to be Level 2 fair values and totaled $0 as of June 30, 2015. The carrying value of these swaps is included in Other Long-Term Liabilities on the accompanying Consolidated Balance Sheets as of December 31, 2014.</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2015, the Company was party to derivative financial instruments, as described in the following table (in thousands):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3"/>
              </w:rPr>
              <w:t>Underlying</w:t>
            </w: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640" w:type="dxa"/>
            <w:vAlign w:val="bottom"/>
          </w:tcPr>
          <w:p>
            <w:pPr>
              <w:ind w:left="400"/>
              <w:spacing w:after="0"/>
              <w:rPr>
                <w:sz w:val="20"/>
                <w:szCs w:val="20"/>
                <w:color w:val="auto"/>
              </w:rPr>
            </w:pPr>
            <w:r>
              <w:rPr>
                <w:rFonts w:ascii="Arial" w:cs="Arial" w:eastAsia="Arial" w:hAnsi="Arial"/>
                <w:sz w:val="18"/>
                <w:szCs w:val="18"/>
                <w:b w:val="1"/>
                <w:bCs w:val="1"/>
                <w:color w:val="auto"/>
              </w:rPr>
              <w:t>Agreement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Notional Amount</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w w:val="93"/>
              </w:rPr>
              <w:t>Fixed Interest Rate</w:t>
            </w:r>
          </w:p>
        </w:tc>
        <w:tc>
          <w:tcPr>
            <w:tcW w:w="10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2"/>
              </w:rPr>
              <w:t>Rate</w:t>
            </w:r>
          </w:p>
        </w:tc>
        <w:tc>
          <w:tcPr>
            <w:tcW w:w="8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2"/>
              </w:rPr>
              <w:t>Expiration Date</w:t>
            </w:r>
          </w:p>
        </w:tc>
        <w:tc>
          <w:tcPr>
            <w:tcW w:w="100" w:type="dxa"/>
            <w:vAlign w:val="bottom"/>
          </w:tcPr>
          <w:p>
            <w:pPr>
              <w:spacing w:after="0"/>
              <w:rPr>
                <w:sz w:val="20"/>
                <w:szCs w:val="20"/>
                <w:color w:val="auto"/>
              </w:rPr>
            </w:pPr>
          </w:p>
        </w:tc>
        <w:tc>
          <w:tcPr>
            <w:tcW w:w="1620" w:type="dxa"/>
            <w:vAlign w:val="bottom"/>
            <w:gridSpan w:val="2"/>
          </w:tcPr>
          <w:p>
            <w:pPr>
              <w:ind w:left="36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1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w w:val="84"/>
              </w:rPr>
              <w:t>1,667</w:t>
            </w:r>
          </w:p>
        </w:tc>
        <w:tc>
          <w:tcPr>
            <w:tcW w:w="220" w:type="dxa"/>
            <w:vAlign w:val="bottom"/>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5.075%</w:t>
            </w:r>
          </w:p>
        </w:tc>
        <w:tc>
          <w:tcPr>
            <w:tcW w:w="100" w:type="dxa"/>
            <w:vAlign w:val="bottom"/>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3 month LIBOR</w:t>
            </w:r>
          </w:p>
        </w:tc>
        <w:tc>
          <w:tcPr>
            <w:tcW w:w="80" w:type="dxa"/>
            <w:vAlign w:val="bottom"/>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July 1, 2015</w:t>
            </w:r>
          </w:p>
        </w:tc>
        <w:tc>
          <w:tcPr>
            <w:tcW w:w="100" w:type="dxa"/>
            <w:vAlign w:val="bottom"/>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ind w:left="134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r>
      <w:tr>
        <w:trPr>
          <w:trHeight w:val="230"/>
        </w:trPr>
        <w:tc>
          <w:tcPr>
            <w:tcW w:w="1640" w:type="dxa"/>
            <w:vAlign w:val="bottom"/>
          </w:tcPr>
          <w:p>
            <w:pPr>
              <w:spacing w:after="0"/>
              <w:rPr>
                <w:sz w:val="20"/>
                <w:szCs w:val="20"/>
                <w:color w:val="auto"/>
              </w:rPr>
            </w:pPr>
            <w:r>
              <w:rPr>
                <w:rFonts w:ascii="Arial" w:cs="Arial" w:eastAsia="Arial" w:hAnsi="Arial"/>
                <w:sz w:val="18"/>
                <w:szCs w:val="18"/>
                <w:color w:val="auto"/>
              </w:rPr>
              <w:t>Interest Rate Swap</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ind w:left="1040"/>
              <w:spacing w:after="0"/>
              <w:rPr>
                <w:sz w:val="20"/>
                <w:szCs w:val="20"/>
                <w:color w:val="auto"/>
              </w:rPr>
            </w:pPr>
            <w:r>
              <w:rPr>
                <w:rFonts w:ascii="Arial" w:cs="Arial" w:eastAsia="Arial" w:hAnsi="Arial"/>
                <w:sz w:val="18"/>
                <w:szCs w:val="18"/>
                <w:color w:val="auto"/>
              </w:rPr>
              <w:t>3,444</w:t>
            </w:r>
          </w:p>
        </w:tc>
        <w:tc>
          <w:tcPr>
            <w:tcW w:w="1560" w:type="dxa"/>
            <w:vAlign w:val="bottom"/>
          </w:tcPr>
          <w:p>
            <w:pPr>
              <w:jc w:val="right"/>
              <w:ind w:right="350"/>
              <w:spacing w:after="0"/>
              <w:rPr>
                <w:sz w:val="20"/>
                <w:szCs w:val="20"/>
                <w:color w:val="auto"/>
              </w:rPr>
            </w:pPr>
            <w:r>
              <w:rPr>
                <w:rFonts w:ascii="Arial" w:cs="Arial" w:eastAsia="Arial" w:hAnsi="Arial"/>
                <w:sz w:val="18"/>
                <w:szCs w:val="18"/>
                <w:color w:val="auto"/>
              </w:rPr>
              <w:t>5.075%</w:t>
            </w:r>
          </w:p>
        </w:tc>
        <w:tc>
          <w:tcPr>
            <w:tcW w:w="10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5"/>
              </w:rPr>
              <w:t>3 month LIBOR</w:t>
            </w:r>
          </w:p>
        </w:tc>
        <w:tc>
          <w:tcPr>
            <w:tcW w:w="8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2"/>
              </w:rPr>
              <w:t>July 1, 2015</w:t>
            </w:r>
          </w:p>
        </w:tc>
        <w:tc>
          <w:tcPr>
            <w:tcW w:w="100" w:type="dxa"/>
            <w:vAlign w:val="bottom"/>
          </w:tcPr>
          <w:p>
            <w:pPr>
              <w:spacing w:after="0"/>
              <w:rPr>
                <w:sz w:val="20"/>
                <w:szCs w:val="20"/>
                <w:color w:val="auto"/>
              </w:rPr>
            </w:pPr>
          </w:p>
        </w:tc>
        <w:tc>
          <w:tcPr>
            <w:tcW w:w="1620" w:type="dxa"/>
            <w:vAlign w:val="bottom"/>
            <w:gridSpan w:val="2"/>
          </w:tcPr>
          <w:p>
            <w:pPr>
              <w:ind w:left="134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Derivative instruments are on the accompanying Consolidated Balance Sheets and Consolidated Statements of Income and Comprehensive Income as follows (in thousands):</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b w:val="1"/>
                <w:bCs w:val="1"/>
                <w:color w:val="auto"/>
              </w:rPr>
              <w:t>Fair Value at</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407"/>
        </w:trPr>
        <w:tc>
          <w:tcPr>
            <w:tcW w:w="4120" w:type="dxa"/>
            <w:vAlign w:val="bottom"/>
          </w:tcPr>
          <w:p>
            <w:pPr>
              <w:spacing w:after="0"/>
              <w:rPr>
                <w:sz w:val="20"/>
                <w:szCs w:val="20"/>
                <w:color w:val="auto"/>
              </w:rPr>
            </w:pPr>
            <w:r>
              <w:rPr>
                <w:rFonts w:ascii="Arial" w:cs="Arial" w:eastAsia="Arial" w:hAnsi="Arial"/>
                <w:sz w:val="18"/>
                <w:szCs w:val="18"/>
                <w:b w:val="1"/>
                <w:bCs w:val="1"/>
                <w:color w:val="auto"/>
              </w:rPr>
              <w:t>Derivative Liabilities Designated as Hedging</w:t>
            </w:r>
          </w:p>
        </w:tc>
        <w:tc>
          <w:tcPr>
            <w:tcW w:w="1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Instruments</w:t>
            </w:r>
          </w:p>
        </w:tc>
        <w:tc>
          <w:tcPr>
            <w:tcW w:w="100" w:type="dxa"/>
            <w:vAlign w:val="bottom"/>
          </w:tcPr>
          <w:p>
            <w:pPr>
              <w:spacing w:after="0"/>
              <w:rPr>
                <w:sz w:val="20"/>
                <w:szCs w:val="20"/>
                <w:color w:val="auto"/>
              </w:rPr>
            </w:pPr>
          </w:p>
        </w:tc>
        <w:tc>
          <w:tcPr>
            <w:tcW w:w="2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Sheet Location</w:t>
            </w: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June 30, 2015</w:t>
            </w:r>
          </w:p>
        </w:tc>
        <w:tc>
          <w:tcPr>
            <w:tcW w:w="162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w w:val="90"/>
              </w:rPr>
              <w:t>December 31, 2014</w:t>
            </w:r>
          </w:p>
        </w:tc>
        <w:tc>
          <w:tcPr>
            <w:tcW w:w="100" w:type="dxa"/>
            <w:vAlign w:val="bottom"/>
          </w:tcPr>
          <w:p>
            <w:pPr>
              <w:spacing w:after="0"/>
              <w:rPr>
                <w:sz w:val="20"/>
                <w:szCs w:val="20"/>
                <w:color w:val="auto"/>
              </w:rPr>
            </w:pPr>
          </w:p>
        </w:tc>
      </w:tr>
      <w:tr>
        <w:trPr>
          <w:trHeight w:val="210"/>
        </w:trPr>
        <w:tc>
          <w:tcPr>
            <w:tcW w:w="4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r>
    </w:tbl>
    <w:p>
      <w:pPr>
        <w:spacing w:after="0" w:line="200" w:lineRule="exact"/>
        <w:rPr>
          <w:sz w:val="20"/>
          <w:szCs w:val="20"/>
          <w:color w:val="auto"/>
        </w:rPr>
      </w:pPr>
    </w:p>
    <w:p>
      <w:pPr>
        <w:sectPr>
          <w:pgSz w:w="11900" w:h="16838" w:orient="portrait"/>
          <w:cols w:equalWidth="0" w:num="1">
            <w:col w:w="11040"/>
          </w:cols>
          <w:pgMar w:left="240" w:top="118" w:right="619" w:bottom="1440" w:gutter="0" w:footer="0" w:header="0"/>
          <w:type w:val="continuous"/>
        </w:sectPr>
      </w:pPr>
    </w:p>
    <w:p>
      <w:pPr>
        <w:spacing w:after="0" w:line="245"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40"/>
          </w:cols>
          <w:pgMar w:left="240" w:top="118" w:right="619" w:bottom="1440" w:gutter="0" w:footer="0" w:header="0"/>
          <w:type w:val="continuous"/>
        </w:sectPr>
      </w:pPr>
    </w:p>
    <w:bookmarkStart w:id="9" w:name="page10"/>
    <w:bookmarkEnd w:id="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4"/>
          </w:tcPr>
          <w:p>
            <w:pPr>
              <w:jc w:val="center"/>
              <w:ind w:left="290"/>
              <w:spacing w:after="0"/>
              <w:rPr>
                <w:sz w:val="20"/>
                <w:szCs w:val="20"/>
                <w:color w:val="auto"/>
              </w:rPr>
            </w:pPr>
            <w:r>
              <w:rPr>
                <w:rFonts w:ascii="Arial" w:cs="Arial" w:eastAsia="Arial" w:hAnsi="Arial"/>
                <w:sz w:val="18"/>
                <w:szCs w:val="18"/>
                <w:b w:val="1"/>
                <w:bCs w:val="1"/>
                <w:color w:val="auto"/>
                <w:w w:val="86"/>
              </w:rPr>
              <w:t>Loss Reclassified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320" w:type="dxa"/>
            <w:vAlign w:val="bottom"/>
            <w:gridSpan w:val="4"/>
          </w:tcPr>
          <w:p>
            <w:pPr>
              <w:jc w:val="center"/>
              <w:ind w:left="172"/>
              <w:spacing w:after="0"/>
              <w:rPr>
                <w:sz w:val="20"/>
                <w:szCs w:val="20"/>
                <w:color w:val="auto"/>
              </w:rPr>
            </w:pPr>
            <w:r>
              <w:rPr>
                <w:rFonts w:ascii="Arial" w:cs="Arial" w:eastAsia="Arial" w:hAnsi="Arial"/>
                <w:sz w:val="18"/>
                <w:szCs w:val="18"/>
                <w:b w:val="1"/>
                <w:bCs w:val="1"/>
                <w:color w:val="auto"/>
                <w:w w:val="89"/>
              </w:rPr>
              <w:t>Gain (Loss) Recognized in</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4"/>
          </w:tcPr>
          <w:p>
            <w:pPr>
              <w:jc w:val="center"/>
              <w:ind w:left="290"/>
              <w:spacing w:after="0"/>
              <w:rPr>
                <w:sz w:val="20"/>
                <w:szCs w:val="20"/>
                <w:color w:val="auto"/>
              </w:rPr>
            </w:pPr>
            <w:r>
              <w:rPr>
                <w:rFonts w:ascii="Arial" w:cs="Arial" w:eastAsia="Arial" w:hAnsi="Arial"/>
                <w:sz w:val="18"/>
                <w:szCs w:val="18"/>
                <w:b w:val="1"/>
                <w:bCs w:val="1"/>
                <w:color w:val="auto"/>
                <w:w w:val="91"/>
              </w:rPr>
              <w:t>from Accumulated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320" w:type="dxa"/>
            <w:vAlign w:val="bottom"/>
            <w:gridSpan w:val="4"/>
          </w:tcPr>
          <w:p>
            <w:pPr>
              <w:jc w:val="center"/>
              <w:ind w:left="172"/>
              <w:spacing w:after="0"/>
              <w:rPr>
                <w:sz w:val="20"/>
                <w:szCs w:val="20"/>
                <w:color w:val="auto"/>
              </w:rPr>
            </w:pPr>
            <w:r>
              <w:rPr>
                <w:rFonts w:ascii="Arial" w:cs="Arial" w:eastAsia="Arial" w:hAnsi="Arial"/>
                <w:sz w:val="18"/>
                <w:szCs w:val="18"/>
                <w:b w:val="1"/>
                <w:bCs w:val="1"/>
                <w:color w:val="auto"/>
                <w:w w:val="93"/>
              </w:rPr>
              <w:t>OCI on Derivatives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4"/>
          </w:tcPr>
          <w:p>
            <w:pPr>
              <w:jc w:val="center"/>
              <w:ind w:left="270"/>
              <w:spacing w:after="0"/>
              <w:rPr>
                <w:sz w:val="20"/>
                <w:szCs w:val="20"/>
                <w:color w:val="auto"/>
              </w:rPr>
            </w:pPr>
            <w:r>
              <w:rPr>
                <w:rFonts w:ascii="Arial" w:cs="Arial" w:eastAsia="Arial" w:hAnsi="Arial"/>
                <w:sz w:val="18"/>
                <w:szCs w:val="18"/>
                <w:b w:val="1"/>
                <w:bCs w:val="1"/>
                <w:color w:val="auto"/>
                <w:w w:val="94"/>
              </w:rPr>
              <w:t>OCI into Income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320" w:type="dxa"/>
            <w:vAlign w:val="bottom"/>
            <w:gridSpan w:val="4"/>
          </w:tcPr>
          <w:p>
            <w:pPr>
              <w:jc w:val="center"/>
              <w:ind w:left="172"/>
              <w:spacing w:after="0"/>
              <w:rPr>
                <w:sz w:val="20"/>
                <w:szCs w:val="20"/>
                <w:color w:val="auto"/>
              </w:rPr>
            </w:pPr>
            <w:r>
              <w:rPr>
                <w:rFonts w:ascii="Arial" w:cs="Arial" w:eastAsia="Arial" w:hAnsi="Arial"/>
                <w:sz w:val="18"/>
                <w:szCs w:val="18"/>
                <w:b w:val="1"/>
                <w:bCs w:val="1"/>
                <w:color w:val="auto"/>
                <w:w w:val="91"/>
              </w:rPr>
              <w:t>(Effective Portion)</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4"/>
          </w:tcPr>
          <w:p>
            <w:pPr>
              <w:jc w:val="center"/>
              <w:ind w:left="290"/>
              <w:spacing w:after="0"/>
              <w:rPr>
                <w:sz w:val="20"/>
                <w:szCs w:val="20"/>
                <w:color w:val="auto"/>
              </w:rPr>
            </w:pPr>
            <w:r>
              <w:rPr>
                <w:rFonts w:ascii="Arial" w:cs="Arial" w:eastAsia="Arial" w:hAnsi="Arial"/>
                <w:sz w:val="18"/>
                <w:szCs w:val="18"/>
                <w:b w:val="1"/>
                <w:bCs w:val="1"/>
                <w:color w:val="auto"/>
                <w:w w:val="92"/>
              </w:rPr>
              <w:t>(Effective Portion)</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320" w:type="dxa"/>
            <w:vAlign w:val="bottom"/>
            <w:gridSpan w:val="4"/>
          </w:tcPr>
          <w:p>
            <w:pPr>
              <w:jc w:val="center"/>
              <w:ind w:left="172"/>
              <w:spacing w:after="0"/>
              <w:rPr>
                <w:sz w:val="20"/>
                <w:szCs w:val="20"/>
                <w:color w:val="auto"/>
              </w:rPr>
            </w:pPr>
            <w:r>
              <w:rPr>
                <w:rFonts w:ascii="Arial" w:cs="Arial" w:eastAsia="Arial" w:hAnsi="Arial"/>
                <w:sz w:val="18"/>
                <w:szCs w:val="18"/>
                <w:b w:val="1"/>
                <w:bCs w:val="1"/>
                <w:color w:val="auto"/>
                <w:w w:val="93"/>
              </w:rPr>
              <w:t>during the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4"/>
          </w:tcPr>
          <w:p>
            <w:pPr>
              <w:jc w:val="center"/>
              <w:ind w:left="290"/>
              <w:spacing w:after="0"/>
              <w:rPr>
                <w:sz w:val="20"/>
                <w:szCs w:val="20"/>
                <w:color w:val="auto"/>
              </w:rPr>
            </w:pPr>
            <w:r>
              <w:rPr>
                <w:rFonts w:ascii="Arial" w:cs="Arial" w:eastAsia="Arial" w:hAnsi="Arial"/>
                <w:sz w:val="18"/>
                <w:szCs w:val="18"/>
                <w:b w:val="1"/>
                <w:bCs w:val="1"/>
                <w:color w:val="auto"/>
                <w:w w:val="90"/>
              </w:rPr>
              <w:t>during the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320" w:type="dxa"/>
            <w:vAlign w:val="bottom"/>
            <w:tcBorders>
              <w:bottom w:val="single" w:sz="8" w:color="auto"/>
            </w:tcBorders>
            <w:gridSpan w:val="4"/>
          </w:tcPr>
          <w:p>
            <w:pPr>
              <w:jc w:val="center"/>
              <w:ind w:left="172"/>
              <w:spacing w:after="0"/>
              <w:rPr>
                <w:sz w:val="20"/>
                <w:szCs w:val="20"/>
                <w:color w:val="auto"/>
              </w:rPr>
            </w:pPr>
            <w:r>
              <w:rPr>
                <w:rFonts w:ascii="Arial" w:cs="Arial" w:eastAsia="Arial" w:hAnsi="Arial"/>
                <w:sz w:val="18"/>
                <w:szCs w:val="18"/>
                <w:b w:val="1"/>
                <w:bCs w:val="1"/>
                <w:color w:val="auto"/>
                <w:w w:val="90"/>
              </w:rPr>
              <w:t>Three Months Ended</w:t>
            </w:r>
          </w:p>
        </w:tc>
        <w:tc>
          <w:tcPr>
            <w:tcW w:w="2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Location of Loss</w:t>
            </w:r>
          </w:p>
        </w:tc>
        <w:tc>
          <w:tcPr>
            <w:tcW w:w="2220" w:type="dxa"/>
            <w:vAlign w:val="bottom"/>
            <w:tcBorders>
              <w:bottom w:val="single" w:sz="8" w:color="auto"/>
            </w:tcBorders>
            <w:gridSpan w:val="4"/>
          </w:tcPr>
          <w:p>
            <w:pPr>
              <w:jc w:val="center"/>
              <w:ind w:left="290"/>
              <w:spacing w:after="0"/>
              <w:rPr>
                <w:sz w:val="20"/>
                <w:szCs w:val="20"/>
                <w:color w:val="auto"/>
              </w:rPr>
            </w:pPr>
            <w:r>
              <w:rPr>
                <w:rFonts w:ascii="Arial" w:cs="Arial" w:eastAsia="Arial" w:hAnsi="Arial"/>
                <w:sz w:val="18"/>
                <w:szCs w:val="18"/>
                <w:b w:val="1"/>
                <w:bCs w:val="1"/>
                <w:color w:val="auto"/>
                <w:w w:val="92"/>
              </w:rPr>
              <w:t>Three Months Ended</w:t>
            </w:r>
          </w:p>
        </w:tc>
        <w:tc>
          <w:tcPr>
            <w:tcW w:w="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0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 w:type="dxa"/>
            <w:vAlign w:val="bottom"/>
          </w:tcPr>
          <w:p>
            <w:pPr>
              <w:jc w:val="center"/>
              <w:ind w:left="152"/>
              <w:spacing w:after="0" w:line="191" w:lineRule="exact"/>
              <w:rPr>
                <w:sz w:val="20"/>
                <w:szCs w:val="20"/>
                <w:color w:val="auto"/>
              </w:rPr>
            </w:pPr>
            <w:r>
              <w:rPr>
                <w:rFonts w:ascii="Arial" w:cs="Arial" w:eastAsia="Arial" w:hAnsi="Arial"/>
                <w:sz w:val="18"/>
                <w:szCs w:val="18"/>
                <w:b w:val="1"/>
                <w:bCs w:val="1"/>
                <w:color w:val="auto"/>
                <w:w w:val="88"/>
              </w:rPr>
              <w:t>June 30,</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center"/>
              <w:ind w:left="195"/>
              <w:spacing w:after="0" w:line="191" w:lineRule="exact"/>
              <w:rPr>
                <w:sz w:val="20"/>
                <w:szCs w:val="20"/>
                <w:color w:val="auto"/>
              </w:rPr>
            </w:pPr>
            <w:r>
              <w:rPr>
                <w:rFonts w:ascii="Arial" w:cs="Arial" w:eastAsia="Arial" w:hAnsi="Arial"/>
                <w:sz w:val="18"/>
                <w:szCs w:val="18"/>
                <w:b w:val="1"/>
                <w:bCs w:val="1"/>
                <w:color w:val="auto"/>
                <w:w w:val="88"/>
              </w:rPr>
              <w:t>June 30,</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88"/>
              </w:rPr>
              <w:t>Reclassified into</w:t>
            </w:r>
          </w:p>
        </w:tc>
        <w:tc>
          <w:tcPr>
            <w:tcW w:w="940" w:type="dxa"/>
            <w:vAlign w:val="bottom"/>
          </w:tcPr>
          <w:p>
            <w:pPr>
              <w:jc w:val="center"/>
              <w:ind w:left="170"/>
              <w:spacing w:after="0" w:line="191" w:lineRule="exact"/>
              <w:rPr>
                <w:sz w:val="20"/>
                <w:szCs w:val="20"/>
                <w:color w:val="auto"/>
              </w:rPr>
            </w:pPr>
            <w:r>
              <w:rPr>
                <w:rFonts w:ascii="Arial" w:cs="Arial" w:eastAsia="Arial" w:hAnsi="Arial"/>
                <w:sz w:val="18"/>
                <w:szCs w:val="18"/>
                <w:b w:val="1"/>
                <w:bCs w:val="1"/>
                <w:color w:val="auto"/>
                <w:w w:val="88"/>
              </w:rPr>
              <w:t>June 30,</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6"/>
                <w:szCs w:val="16"/>
                <w:color w:val="auto"/>
              </w:rPr>
            </w:pPr>
          </w:p>
        </w:tc>
      </w:tr>
      <w:tr>
        <w:trPr>
          <w:trHeight w:val="234"/>
        </w:trPr>
        <w:tc>
          <w:tcPr>
            <w:tcW w:w="2060" w:type="dxa"/>
            <w:vAlign w:val="bottom"/>
          </w:tcPr>
          <w:p>
            <w:pPr>
              <w:spacing w:after="0"/>
              <w:rPr>
                <w:sz w:val="20"/>
                <w:szCs w:val="20"/>
                <w:color w:val="auto"/>
              </w:rPr>
            </w:pPr>
          </w:p>
        </w:tc>
        <w:tc>
          <w:tcPr>
            <w:tcW w:w="1640" w:type="dxa"/>
            <w:vAlign w:val="bottom"/>
            <w:gridSpan w:val="2"/>
          </w:tcPr>
          <w:p>
            <w:pPr>
              <w:jc w:val="center"/>
              <w:ind w:left="870"/>
              <w:spacing w:after="0"/>
              <w:rPr>
                <w:sz w:val="20"/>
                <w:szCs w:val="20"/>
                <w:color w:val="auto"/>
              </w:rPr>
            </w:pPr>
            <w:r>
              <w:rPr>
                <w:rFonts w:ascii="Arial" w:cs="Arial" w:eastAsia="Arial" w:hAnsi="Arial"/>
                <w:sz w:val="18"/>
                <w:szCs w:val="18"/>
                <w:b w:val="1"/>
                <w:bCs w:val="1"/>
                <w:color w:val="auto"/>
                <w:w w:val="89"/>
              </w:rPr>
              <w:t>2015</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center"/>
              <w:ind w:left="195"/>
              <w:spacing w:after="0"/>
              <w:rPr>
                <w:sz w:val="20"/>
                <w:szCs w:val="20"/>
                <w:color w:val="auto"/>
              </w:rPr>
            </w:pPr>
            <w:r>
              <w:rPr>
                <w:rFonts w:ascii="Arial" w:cs="Arial" w:eastAsia="Arial" w:hAnsi="Arial"/>
                <w:sz w:val="18"/>
                <w:szCs w:val="18"/>
                <w:b w:val="1"/>
                <w:bCs w:val="1"/>
                <w:color w:val="auto"/>
                <w:w w:val="89"/>
              </w:rPr>
              <w:t>2014</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Income</w:t>
            </w:r>
          </w:p>
        </w:tc>
        <w:tc>
          <w:tcPr>
            <w:tcW w:w="940" w:type="dxa"/>
            <w:vAlign w:val="bottom"/>
          </w:tcPr>
          <w:p>
            <w:pPr>
              <w:jc w:val="center"/>
              <w:ind w:left="170"/>
              <w:spacing w:after="0"/>
              <w:rPr>
                <w:sz w:val="20"/>
                <w:szCs w:val="20"/>
                <w:color w:val="auto"/>
              </w:rPr>
            </w:pPr>
            <w:r>
              <w:rPr>
                <w:rFonts w:ascii="Arial" w:cs="Arial" w:eastAsia="Arial" w:hAnsi="Arial"/>
                <w:sz w:val="18"/>
                <w:szCs w:val="18"/>
                <w:b w:val="1"/>
                <w:bCs w:val="1"/>
                <w:color w:val="auto"/>
                <w:w w:val="89"/>
              </w:rPr>
              <w:t>2015</w:t>
            </w:r>
          </w:p>
        </w:tc>
        <w:tc>
          <w:tcPr>
            <w:tcW w:w="260" w:type="dxa"/>
            <w:vAlign w:val="bottom"/>
          </w:tcPr>
          <w:p>
            <w:pPr>
              <w:spacing w:after="0"/>
              <w:rPr>
                <w:sz w:val="20"/>
                <w:szCs w:val="20"/>
                <w:color w:val="auto"/>
              </w:rPr>
            </w:pPr>
          </w:p>
        </w:tc>
        <w:tc>
          <w:tcPr>
            <w:tcW w:w="1020" w:type="dxa"/>
            <w:vAlign w:val="bottom"/>
            <w:gridSpan w:val="2"/>
          </w:tcPr>
          <w:p>
            <w:pPr>
              <w:jc w:val="center"/>
              <w:ind w:left="490"/>
              <w:spacing w:after="0"/>
              <w:rPr>
                <w:sz w:val="20"/>
                <w:szCs w:val="20"/>
                <w:color w:val="auto"/>
              </w:rPr>
            </w:pPr>
            <w:r>
              <w:rPr>
                <w:rFonts w:ascii="Arial" w:cs="Arial" w:eastAsia="Arial" w:hAnsi="Arial"/>
                <w:sz w:val="18"/>
                <w:szCs w:val="18"/>
                <w:b w:val="1"/>
                <w:bCs w:val="1"/>
                <w:color w:val="auto"/>
                <w:w w:val="89"/>
              </w:rPr>
              <w:t>2014</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7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52"/>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117</w:t>
            </w:r>
          </w:p>
        </w:tc>
        <w:tc>
          <w:tcPr>
            <w:tcW w:w="2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55"/>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184</w:t>
            </w:r>
          </w:p>
        </w:tc>
        <w:tc>
          <w:tcPr>
            <w:tcW w:w="120" w:type="dxa"/>
            <w:vAlign w:val="bottom"/>
            <w:shd w:val="clear" w:color="auto" w:fill="CCEEFF"/>
          </w:tcPr>
          <w:p>
            <w:pPr>
              <w:spacing w:after="0"/>
              <w:rPr>
                <w:sz w:val="18"/>
                <w:szCs w:val="18"/>
                <w:color w:val="auto"/>
              </w:rPr>
            </w:pPr>
          </w:p>
        </w:tc>
        <w:tc>
          <w:tcPr>
            <w:tcW w:w="2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Interest Expense</w:t>
            </w:r>
          </w:p>
        </w:tc>
        <w:tc>
          <w:tcPr>
            <w:tcW w:w="1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4"/>
              </w:rPr>
              <w:t>(26)</w:t>
            </w:r>
          </w:p>
        </w:tc>
        <w:tc>
          <w:tcPr>
            <w:tcW w:w="20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r>
      <w:tr>
        <w:trPr>
          <w:trHeight w:val="414"/>
        </w:trPr>
        <w:tc>
          <w:tcPr>
            <w:tcW w:w="2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gridSpan w:val="4"/>
          </w:tcPr>
          <w:p>
            <w:pPr>
              <w:jc w:val="center"/>
              <w:ind w:left="290"/>
              <w:spacing w:after="0"/>
              <w:rPr>
                <w:sz w:val="20"/>
                <w:szCs w:val="20"/>
                <w:color w:val="auto"/>
              </w:rPr>
            </w:pPr>
            <w:r>
              <w:rPr>
                <w:rFonts w:ascii="Arial" w:cs="Arial" w:eastAsia="Arial" w:hAnsi="Arial"/>
                <w:sz w:val="18"/>
                <w:szCs w:val="18"/>
                <w:b w:val="1"/>
                <w:bCs w:val="1"/>
                <w:color w:val="auto"/>
                <w:w w:val="86"/>
              </w:rPr>
              <w:t>Loss Reclassified</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320" w:type="dxa"/>
            <w:vAlign w:val="bottom"/>
            <w:gridSpan w:val="4"/>
          </w:tcPr>
          <w:p>
            <w:pPr>
              <w:jc w:val="center"/>
              <w:ind w:left="172"/>
              <w:spacing w:after="0"/>
              <w:rPr>
                <w:sz w:val="20"/>
                <w:szCs w:val="20"/>
                <w:color w:val="auto"/>
              </w:rPr>
            </w:pPr>
            <w:r>
              <w:rPr>
                <w:rFonts w:ascii="Arial" w:cs="Arial" w:eastAsia="Arial" w:hAnsi="Arial"/>
                <w:sz w:val="18"/>
                <w:szCs w:val="18"/>
                <w:b w:val="1"/>
                <w:bCs w:val="1"/>
                <w:color w:val="auto"/>
                <w:w w:val="89"/>
              </w:rPr>
              <w:t>Gain (Loss) Recognized in</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4"/>
          </w:tcPr>
          <w:p>
            <w:pPr>
              <w:jc w:val="center"/>
              <w:ind w:left="290"/>
              <w:spacing w:after="0"/>
              <w:rPr>
                <w:sz w:val="20"/>
                <w:szCs w:val="20"/>
                <w:color w:val="auto"/>
              </w:rPr>
            </w:pPr>
            <w:r>
              <w:rPr>
                <w:rFonts w:ascii="Arial" w:cs="Arial" w:eastAsia="Arial" w:hAnsi="Arial"/>
                <w:sz w:val="18"/>
                <w:szCs w:val="18"/>
                <w:b w:val="1"/>
                <w:bCs w:val="1"/>
                <w:color w:val="auto"/>
                <w:w w:val="91"/>
              </w:rPr>
              <w:t>from Accumulated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320" w:type="dxa"/>
            <w:vAlign w:val="bottom"/>
            <w:gridSpan w:val="4"/>
          </w:tcPr>
          <w:p>
            <w:pPr>
              <w:jc w:val="center"/>
              <w:ind w:left="172"/>
              <w:spacing w:after="0"/>
              <w:rPr>
                <w:sz w:val="20"/>
                <w:szCs w:val="20"/>
                <w:color w:val="auto"/>
              </w:rPr>
            </w:pPr>
            <w:r>
              <w:rPr>
                <w:rFonts w:ascii="Arial" w:cs="Arial" w:eastAsia="Arial" w:hAnsi="Arial"/>
                <w:sz w:val="18"/>
                <w:szCs w:val="18"/>
                <w:b w:val="1"/>
                <w:bCs w:val="1"/>
                <w:color w:val="auto"/>
                <w:w w:val="93"/>
              </w:rPr>
              <w:t>OCI on Derivatives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4"/>
          </w:tcPr>
          <w:p>
            <w:pPr>
              <w:jc w:val="center"/>
              <w:ind w:left="270"/>
              <w:spacing w:after="0"/>
              <w:rPr>
                <w:sz w:val="20"/>
                <w:szCs w:val="20"/>
                <w:color w:val="auto"/>
              </w:rPr>
            </w:pPr>
            <w:r>
              <w:rPr>
                <w:rFonts w:ascii="Arial" w:cs="Arial" w:eastAsia="Arial" w:hAnsi="Arial"/>
                <w:sz w:val="18"/>
                <w:szCs w:val="18"/>
                <w:b w:val="1"/>
                <w:bCs w:val="1"/>
                <w:color w:val="auto"/>
                <w:w w:val="94"/>
              </w:rPr>
              <w:t>OCI into Income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320" w:type="dxa"/>
            <w:vAlign w:val="bottom"/>
            <w:gridSpan w:val="4"/>
          </w:tcPr>
          <w:p>
            <w:pPr>
              <w:jc w:val="center"/>
              <w:ind w:left="172"/>
              <w:spacing w:after="0"/>
              <w:rPr>
                <w:sz w:val="20"/>
                <w:szCs w:val="20"/>
                <w:color w:val="auto"/>
              </w:rPr>
            </w:pPr>
            <w:r>
              <w:rPr>
                <w:rFonts w:ascii="Arial" w:cs="Arial" w:eastAsia="Arial" w:hAnsi="Arial"/>
                <w:sz w:val="18"/>
                <w:szCs w:val="18"/>
                <w:b w:val="1"/>
                <w:bCs w:val="1"/>
                <w:color w:val="auto"/>
                <w:w w:val="91"/>
              </w:rPr>
              <w:t>(Effective Portion)</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4"/>
          </w:tcPr>
          <w:p>
            <w:pPr>
              <w:jc w:val="center"/>
              <w:ind w:left="290"/>
              <w:spacing w:after="0"/>
              <w:rPr>
                <w:sz w:val="20"/>
                <w:szCs w:val="20"/>
                <w:color w:val="auto"/>
              </w:rPr>
            </w:pPr>
            <w:r>
              <w:rPr>
                <w:rFonts w:ascii="Arial" w:cs="Arial" w:eastAsia="Arial" w:hAnsi="Arial"/>
                <w:sz w:val="18"/>
                <w:szCs w:val="18"/>
                <w:b w:val="1"/>
                <w:bCs w:val="1"/>
                <w:color w:val="auto"/>
                <w:w w:val="92"/>
              </w:rPr>
              <w:t>(Effective Portion)</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320" w:type="dxa"/>
            <w:vAlign w:val="bottom"/>
            <w:gridSpan w:val="4"/>
          </w:tcPr>
          <w:p>
            <w:pPr>
              <w:jc w:val="center"/>
              <w:ind w:left="172"/>
              <w:spacing w:after="0"/>
              <w:rPr>
                <w:sz w:val="20"/>
                <w:szCs w:val="20"/>
                <w:color w:val="auto"/>
              </w:rPr>
            </w:pPr>
            <w:r>
              <w:rPr>
                <w:rFonts w:ascii="Arial" w:cs="Arial" w:eastAsia="Arial" w:hAnsi="Arial"/>
                <w:sz w:val="18"/>
                <w:szCs w:val="18"/>
                <w:b w:val="1"/>
                <w:bCs w:val="1"/>
                <w:color w:val="auto"/>
                <w:w w:val="93"/>
              </w:rPr>
              <w:t>during the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4"/>
          </w:tcPr>
          <w:p>
            <w:pPr>
              <w:jc w:val="center"/>
              <w:ind w:left="290"/>
              <w:spacing w:after="0"/>
              <w:rPr>
                <w:sz w:val="20"/>
                <w:szCs w:val="20"/>
                <w:color w:val="auto"/>
              </w:rPr>
            </w:pPr>
            <w:r>
              <w:rPr>
                <w:rFonts w:ascii="Arial" w:cs="Arial" w:eastAsia="Arial" w:hAnsi="Arial"/>
                <w:sz w:val="18"/>
                <w:szCs w:val="18"/>
                <w:b w:val="1"/>
                <w:bCs w:val="1"/>
                <w:color w:val="auto"/>
                <w:w w:val="90"/>
              </w:rPr>
              <w:t>during the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320" w:type="dxa"/>
            <w:vAlign w:val="bottom"/>
            <w:tcBorders>
              <w:bottom w:val="single" w:sz="8" w:color="auto"/>
            </w:tcBorders>
            <w:gridSpan w:val="4"/>
          </w:tcPr>
          <w:p>
            <w:pPr>
              <w:jc w:val="center"/>
              <w:ind w:left="172"/>
              <w:spacing w:after="0"/>
              <w:rPr>
                <w:sz w:val="20"/>
                <w:szCs w:val="20"/>
                <w:color w:val="auto"/>
              </w:rPr>
            </w:pPr>
            <w:r>
              <w:rPr>
                <w:rFonts w:ascii="Arial" w:cs="Arial" w:eastAsia="Arial" w:hAnsi="Arial"/>
                <w:sz w:val="18"/>
                <w:szCs w:val="18"/>
                <w:b w:val="1"/>
                <w:bCs w:val="1"/>
                <w:color w:val="auto"/>
                <w:w w:val="90"/>
              </w:rPr>
              <w:t>Six Months Ended</w:t>
            </w:r>
          </w:p>
        </w:tc>
        <w:tc>
          <w:tcPr>
            <w:tcW w:w="2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Location of Loss</w:t>
            </w:r>
          </w:p>
        </w:tc>
        <w:tc>
          <w:tcPr>
            <w:tcW w:w="2220" w:type="dxa"/>
            <w:vAlign w:val="bottom"/>
            <w:tcBorders>
              <w:bottom w:val="single" w:sz="8" w:color="auto"/>
            </w:tcBorders>
            <w:gridSpan w:val="4"/>
          </w:tcPr>
          <w:p>
            <w:pPr>
              <w:jc w:val="center"/>
              <w:ind w:left="270"/>
              <w:spacing w:after="0"/>
              <w:rPr>
                <w:sz w:val="20"/>
                <w:szCs w:val="20"/>
                <w:color w:val="auto"/>
              </w:rPr>
            </w:pPr>
            <w:r>
              <w:rPr>
                <w:rFonts w:ascii="Arial" w:cs="Arial" w:eastAsia="Arial" w:hAnsi="Arial"/>
                <w:sz w:val="18"/>
                <w:szCs w:val="18"/>
                <w:b w:val="1"/>
                <w:bCs w:val="1"/>
                <w:color w:val="auto"/>
                <w:w w:val="90"/>
              </w:rPr>
              <w:t>Six Months Ended</w:t>
            </w:r>
          </w:p>
        </w:tc>
        <w:tc>
          <w:tcPr>
            <w:tcW w:w="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0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 w:type="dxa"/>
            <w:vAlign w:val="bottom"/>
          </w:tcPr>
          <w:p>
            <w:pPr>
              <w:jc w:val="center"/>
              <w:ind w:left="152"/>
              <w:spacing w:after="0" w:line="191" w:lineRule="exact"/>
              <w:rPr>
                <w:sz w:val="20"/>
                <w:szCs w:val="20"/>
                <w:color w:val="auto"/>
              </w:rPr>
            </w:pPr>
            <w:r>
              <w:rPr>
                <w:rFonts w:ascii="Arial" w:cs="Arial" w:eastAsia="Arial" w:hAnsi="Arial"/>
                <w:sz w:val="18"/>
                <w:szCs w:val="18"/>
                <w:b w:val="1"/>
                <w:bCs w:val="1"/>
                <w:color w:val="auto"/>
                <w:w w:val="88"/>
              </w:rPr>
              <w:t>June 30,</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center"/>
              <w:ind w:left="195"/>
              <w:spacing w:after="0" w:line="191" w:lineRule="exact"/>
              <w:rPr>
                <w:sz w:val="20"/>
                <w:szCs w:val="20"/>
                <w:color w:val="auto"/>
              </w:rPr>
            </w:pPr>
            <w:r>
              <w:rPr>
                <w:rFonts w:ascii="Arial" w:cs="Arial" w:eastAsia="Arial" w:hAnsi="Arial"/>
                <w:sz w:val="18"/>
                <w:szCs w:val="18"/>
                <w:b w:val="1"/>
                <w:bCs w:val="1"/>
                <w:color w:val="auto"/>
                <w:w w:val="88"/>
              </w:rPr>
              <w:t>June 30,</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88"/>
              </w:rPr>
              <w:t>Reclassified into</w:t>
            </w:r>
          </w:p>
        </w:tc>
        <w:tc>
          <w:tcPr>
            <w:tcW w:w="940" w:type="dxa"/>
            <w:vAlign w:val="bottom"/>
          </w:tcPr>
          <w:p>
            <w:pPr>
              <w:jc w:val="center"/>
              <w:ind w:left="170"/>
              <w:spacing w:after="0" w:line="191" w:lineRule="exact"/>
              <w:rPr>
                <w:sz w:val="20"/>
                <w:szCs w:val="20"/>
                <w:color w:val="auto"/>
              </w:rPr>
            </w:pPr>
            <w:r>
              <w:rPr>
                <w:rFonts w:ascii="Arial" w:cs="Arial" w:eastAsia="Arial" w:hAnsi="Arial"/>
                <w:sz w:val="18"/>
                <w:szCs w:val="18"/>
                <w:b w:val="1"/>
                <w:bCs w:val="1"/>
                <w:color w:val="auto"/>
                <w:w w:val="88"/>
              </w:rPr>
              <w:t>June 30,</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6"/>
                <w:szCs w:val="16"/>
                <w:color w:val="auto"/>
              </w:rPr>
            </w:pPr>
          </w:p>
        </w:tc>
      </w:tr>
      <w:tr>
        <w:trPr>
          <w:trHeight w:val="234"/>
        </w:trPr>
        <w:tc>
          <w:tcPr>
            <w:tcW w:w="2060" w:type="dxa"/>
            <w:vAlign w:val="bottom"/>
          </w:tcPr>
          <w:p>
            <w:pPr>
              <w:spacing w:after="0"/>
              <w:rPr>
                <w:sz w:val="20"/>
                <w:szCs w:val="20"/>
                <w:color w:val="auto"/>
              </w:rPr>
            </w:pPr>
          </w:p>
        </w:tc>
        <w:tc>
          <w:tcPr>
            <w:tcW w:w="1640" w:type="dxa"/>
            <w:vAlign w:val="bottom"/>
            <w:gridSpan w:val="2"/>
          </w:tcPr>
          <w:p>
            <w:pPr>
              <w:jc w:val="center"/>
              <w:ind w:left="870"/>
              <w:spacing w:after="0"/>
              <w:rPr>
                <w:sz w:val="20"/>
                <w:szCs w:val="20"/>
                <w:color w:val="auto"/>
              </w:rPr>
            </w:pPr>
            <w:r>
              <w:rPr>
                <w:rFonts w:ascii="Arial" w:cs="Arial" w:eastAsia="Arial" w:hAnsi="Arial"/>
                <w:sz w:val="18"/>
                <w:szCs w:val="18"/>
                <w:b w:val="1"/>
                <w:bCs w:val="1"/>
                <w:color w:val="auto"/>
                <w:w w:val="89"/>
              </w:rPr>
              <w:t>2015</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center"/>
              <w:ind w:left="195"/>
              <w:spacing w:after="0"/>
              <w:rPr>
                <w:sz w:val="20"/>
                <w:szCs w:val="20"/>
                <w:color w:val="auto"/>
              </w:rPr>
            </w:pPr>
            <w:r>
              <w:rPr>
                <w:rFonts w:ascii="Arial" w:cs="Arial" w:eastAsia="Arial" w:hAnsi="Arial"/>
                <w:sz w:val="18"/>
                <w:szCs w:val="18"/>
                <w:b w:val="1"/>
                <w:bCs w:val="1"/>
                <w:color w:val="auto"/>
                <w:w w:val="89"/>
              </w:rPr>
              <w:t>2014</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Income</w:t>
            </w:r>
          </w:p>
        </w:tc>
        <w:tc>
          <w:tcPr>
            <w:tcW w:w="940" w:type="dxa"/>
            <w:vAlign w:val="bottom"/>
          </w:tcPr>
          <w:p>
            <w:pPr>
              <w:jc w:val="center"/>
              <w:ind w:left="170"/>
              <w:spacing w:after="0"/>
              <w:rPr>
                <w:sz w:val="20"/>
                <w:szCs w:val="20"/>
                <w:color w:val="auto"/>
              </w:rPr>
            </w:pPr>
            <w:r>
              <w:rPr>
                <w:rFonts w:ascii="Arial" w:cs="Arial" w:eastAsia="Arial" w:hAnsi="Arial"/>
                <w:sz w:val="18"/>
                <w:szCs w:val="18"/>
                <w:b w:val="1"/>
                <w:bCs w:val="1"/>
                <w:color w:val="auto"/>
                <w:w w:val="89"/>
              </w:rPr>
              <w:t>2015</w:t>
            </w:r>
          </w:p>
        </w:tc>
        <w:tc>
          <w:tcPr>
            <w:tcW w:w="260" w:type="dxa"/>
            <w:vAlign w:val="bottom"/>
          </w:tcPr>
          <w:p>
            <w:pPr>
              <w:spacing w:after="0"/>
              <w:rPr>
                <w:sz w:val="20"/>
                <w:szCs w:val="20"/>
                <w:color w:val="auto"/>
              </w:rPr>
            </w:pPr>
          </w:p>
        </w:tc>
        <w:tc>
          <w:tcPr>
            <w:tcW w:w="1020" w:type="dxa"/>
            <w:vAlign w:val="bottom"/>
            <w:gridSpan w:val="2"/>
          </w:tcPr>
          <w:p>
            <w:pPr>
              <w:jc w:val="center"/>
              <w:ind w:left="490"/>
              <w:spacing w:after="0"/>
              <w:rPr>
                <w:sz w:val="20"/>
                <w:szCs w:val="20"/>
                <w:color w:val="auto"/>
              </w:rPr>
            </w:pPr>
            <w:r>
              <w:rPr>
                <w:rFonts w:ascii="Arial" w:cs="Arial" w:eastAsia="Arial" w:hAnsi="Arial"/>
                <w:sz w:val="18"/>
                <w:szCs w:val="18"/>
                <w:b w:val="1"/>
                <w:bCs w:val="1"/>
                <w:color w:val="auto"/>
                <w:w w:val="89"/>
              </w:rPr>
              <w:t>2014</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7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52"/>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235</w:t>
            </w:r>
          </w:p>
        </w:tc>
        <w:tc>
          <w:tcPr>
            <w:tcW w:w="2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55"/>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371</w:t>
            </w:r>
          </w:p>
        </w:tc>
        <w:tc>
          <w:tcPr>
            <w:tcW w:w="120" w:type="dxa"/>
            <w:vAlign w:val="bottom"/>
            <w:shd w:val="clear" w:color="auto" w:fill="CCEEFF"/>
          </w:tcPr>
          <w:p>
            <w:pPr>
              <w:spacing w:after="0"/>
              <w:rPr>
                <w:sz w:val="18"/>
                <w:szCs w:val="18"/>
                <w:color w:val="auto"/>
              </w:rPr>
            </w:pPr>
          </w:p>
        </w:tc>
        <w:tc>
          <w:tcPr>
            <w:tcW w:w="2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Interest Expense</w:t>
            </w:r>
          </w:p>
        </w:tc>
        <w:tc>
          <w:tcPr>
            <w:tcW w:w="1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4"/>
              </w:rPr>
              <w:t>(55)</w:t>
            </w:r>
          </w:p>
        </w:tc>
        <w:tc>
          <w:tcPr>
            <w:tcW w:w="20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(111)</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 Segment Information</w:t>
      </w:r>
    </w:p>
    <w:p>
      <w:pPr>
        <w:spacing w:after="0" w:line="229" w:lineRule="exact"/>
        <w:rPr>
          <w:sz w:val="20"/>
          <w:szCs w:val="20"/>
          <w:color w:val="auto"/>
        </w:rPr>
      </w:pPr>
    </w:p>
    <w:p>
      <w:pPr>
        <w:jc w:val="both"/>
        <w:ind w:right="120" w:firstLine="648"/>
        <w:spacing w:after="0" w:line="293" w:lineRule="auto"/>
        <w:rPr>
          <w:sz w:val="20"/>
          <w:szCs w:val="20"/>
          <w:color w:val="auto"/>
        </w:rPr>
      </w:pPr>
      <w:r>
        <w:rPr>
          <w:rFonts w:ascii="Arial" w:cs="Arial" w:eastAsia="Arial" w:hAnsi="Arial"/>
          <w:sz w:val="16"/>
          <w:szCs w:val="16"/>
          <w:color w:val="auto"/>
        </w:rPr>
        <w:t>The Company currently has one reportable business segment - the Truck Segment. The Truck Segment includes the Company’s operation of a network of commercial vehicle dealerships that provide an integrated one-stop source for the commercial vehicle needs of its customers, including retail sales of new and used commercial vehicles; aftermarket parts, service and body shop facilities; and a wide array of financial services, including the financing of new and used commercial vehicle purchases, insurance products and truck leasing and rentals. The commercial vehicle dealerships are deemed a single reporting unit because they have similar economic characteristics. Our chief operating decision maker considers the entire Truck Segment, not individual dealerships, when making decisions about resources to be allocated to the segment and assessing its performance.</w:t>
      </w:r>
    </w:p>
    <w:p>
      <w:pPr>
        <w:spacing w:after="0" w:line="165"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The Company also has revenues attributable to three other operating segments. These segments include a retail tire company, an insurance agency and a guest ranch operation and are included in the All Other column below. None of these segments has ever met any of the quantitative thresholds for determining reportable segments.</w:t>
      </w:r>
    </w:p>
    <w:p>
      <w:pPr>
        <w:spacing w:after="0" w:line="181" w:lineRule="exact"/>
        <w:rPr>
          <w:sz w:val="20"/>
          <w:szCs w:val="20"/>
          <w:color w:val="auto"/>
        </w:rPr>
      </w:pPr>
    </w:p>
    <w:p>
      <w:pPr>
        <w:jc w:val="both"/>
        <w:ind w:right="120" w:firstLine="648"/>
        <w:spacing w:after="0" w:line="277" w:lineRule="auto"/>
        <w:rPr>
          <w:sz w:val="20"/>
          <w:szCs w:val="20"/>
          <w:color w:val="auto"/>
        </w:rPr>
      </w:pPr>
      <w:r>
        <w:rPr>
          <w:rFonts w:ascii="Arial" w:cs="Arial" w:eastAsia="Arial" w:hAnsi="Arial"/>
          <w:sz w:val="18"/>
          <w:szCs w:val="18"/>
          <w:color w:val="auto"/>
        </w:rPr>
        <w:t>The accounting policies of the segments are the same as those described in the summary of significant accounting policies. The Company evaluates performance based on income before income taxes, not including extraordinary items.</w:t>
      </w:r>
    </w:p>
    <w:p>
      <w:pPr>
        <w:spacing w:after="0" w:line="224" w:lineRule="exact"/>
        <w:rPr>
          <w:sz w:val="20"/>
          <w:szCs w:val="20"/>
          <w:color w:val="auto"/>
        </w:rPr>
      </w:pPr>
    </w:p>
    <w:p>
      <w:pPr>
        <w:jc w:val="both"/>
        <w:ind w:right="120" w:firstLine="648"/>
        <w:spacing w:after="0" w:line="277" w:lineRule="auto"/>
        <w:rPr>
          <w:sz w:val="20"/>
          <w:szCs w:val="20"/>
          <w:color w:val="auto"/>
        </w:rPr>
      </w:pPr>
      <w:r>
        <w:rPr>
          <w:rFonts w:ascii="Arial" w:cs="Arial" w:eastAsia="Arial" w:hAnsi="Arial"/>
          <w:sz w:val="18"/>
          <w:szCs w:val="18"/>
          <w:color w:val="auto"/>
        </w:rPr>
        <w:t>The following table contains summarized information about reportable segment revenue, segment income or loss from continuing operations and segment assets for the periods ended June 30, 2015, and 2014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color w:val="auto"/>
              </w:rPr>
              <w:t>Truck Segment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All Other</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gridSpan w:val="2"/>
          </w:tcPr>
          <w:p>
            <w:pPr>
              <w:ind w:left="26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96"/>
              </w:rPr>
              <w:t>As of and for the three months ended June 30, 2015</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1,326,360</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3,943</w:t>
            </w: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1,330,303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Segment income (loss) before taxes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32,159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Segment assets</w:t>
            </w:r>
          </w:p>
        </w:tc>
        <w:tc>
          <w:tcPr>
            <w:tcW w:w="16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2,715,032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31,984</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2,747,016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i w:val="1"/>
                <w:iCs w:val="1"/>
                <w:color w:val="auto"/>
              </w:rPr>
              <w:t>As of the six months ended June 30, 2015</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2,516,347</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7,491</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2,523,838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Segment income (loss) before taxes</w:t>
            </w:r>
          </w:p>
        </w:tc>
        <w:tc>
          <w:tcPr>
            <w:tcW w:w="16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59,911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(561)</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59,350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i w:val="1"/>
                <w:iCs w:val="1"/>
                <w:color w:val="auto"/>
                <w:w w:val="96"/>
              </w:rPr>
              <w:t>As of and for the three months ended June 30, 2014</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1,177,306</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5,155</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1,182,461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Segment income loss before taxes</w:t>
            </w:r>
          </w:p>
        </w:tc>
        <w:tc>
          <w:tcPr>
            <w:tcW w:w="16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32,112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277</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32,389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2,321,639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31,925</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2,353,564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As of the six months ended June 30, 2014</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2,131,936</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9,192</w:t>
            </w: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2,141,128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Segment income (loss) before taxes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52,093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52,004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60"/>
          </w:cols>
          <w:pgMar w:left="240" w:top="118" w:right="499" w:bottom="1440" w:gutter="0" w:footer="0" w:header="0"/>
        </w:sectPr>
      </w:pPr>
    </w:p>
    <w:p>
      <w:pPr>
        <w:spacing w:after="0" w:line="245"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60"/>
          </w:cols>
          <w:pgMar w:left="240" w:top="118" w:right="499" w:bottom="1440" w:gutter="0" w:footer="0" w:header="0"/>
          <w:type w:val="continuous"/>
        </w:sectPr>
      </w:pPr>
    </w:p>
    <w:bookmarkStart w:id="10" w:name="page11"/>
    <w:bookmarkEnd w:id="1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 Income Taxes</w:t>
      </w:r>
    </w:p>
    <w:p>
      <w:pPr>
        <w:spacing w:after="0" w:line="229" w:lineRule="exact"/>
        <w:rPr>
          <w:sz w:val="20"/>
          <w:szCs w:val="20"/>
          <w:color w:val="auto"/>
        </w:rPr>
      </w:pPr>
    </w:p>
    <w:p>
      <w:pPr>
        <w:jc w:val="both"/>
        <w:ind w:right="420" w:firstLine="648"/>
        <w:spacing w:after="0" w:line="257" w:lineRule="auto"/>
        <w:rPr>
          <w:sz w:val="20"/>
          <w:szCs w:val="20"/>
          <w:color w:val="auto"/>
        </w:rPr>
      </w:pPr>
      <w:r>
        <w:rPr>
          <w:rFonts w:ascii="Arial" w:cs="Arial" w:eastAsia="Arial" w:hAnsi="Arial"/>
          <w:sz w:val="18"/>
          <w:szCs w:val="18"/>
          <w:color w:val="auto"/>
        </w:rPr>
        <w:t>The Company had unrecognized income tax benefits totaling $1.5 million as a component of accrued liabilities at June 30, 2015 and December 31, 2014, the total of which, if recognized, would impact its effective tax rate. An unfavorable settlement may require a charge to income tax expense and a favorable resolution would be recognized as a reduction to income tax expense. The Company recognizes interest accrued related to unrecognized tax benefits in income tax expense. No amounts were accrued for penalties. The Company had approximately $98,500 accrued for the payment of interest at June 30, 2015 and December 31, 2014.</w:t>
      </w:r>
    </w:p>
    <w:p>
      <w:pPr>
        <w:spacing w:after="0" w:line="188" w:lineRule="exact"/>
        <w:rPr>
          <w:sz w:val="20"/>
          <w:szCs w:val="20"/>
          <w:color w:val="auto"/>
        </w:rPr>
      </w:pPr>
    </w:p>
    <w:p>
      <w:pPr>
        <w:jc w:val="both"/>
        <w:ind w:right="420" w:firstLine="648"/>
        <w:spacing w:after="0" w:line="264" w:lineRule="auto"/>
        <w:rPr>
          <w:sz w:val="20"/>
          <w:szCs w:val="20"/>
          <w:color w:val="auto"/>
        </w:rPr>
      </w:pPr>
      <w:r>
        <w:rPr>
          <w:rFonts w:ascii="Arial" w:cs="Arial" w:eastAsia="Arial" w:hAnsi="Arial"/>
          <w:sz w:val="18"/>
          <w:szCs w:val="18"/>
          <w:color w:val="auto"/>
        </w:rPr>
        <w:t>The Company does not anticipate a significant change in the amount of unrecognized tax benefits in the next 12 months. As of June 30, 2015, the tax years ended December 31, 2011 through 2014 remained subject to audit by federal tax authorities and the tax years ended December 31, 2010 through 2014 remained subject to audit by state tax authorities.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 Accumulated Other Comprehensive Income (Loss)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show the components of accumulated other comprehensive loss, net of tax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gridSpan w:val="7"/>
          </w:tcPr>
          <w:p>
            <w:pPr>
              <w:jc w:val="center"/>
              <w:ind w:left="890"/>
              <w:spacing w:after="0"/>
              <w:rPr>
                <w:sz w:val="20"/>
                <w:szCs w:val="20"/>
                <w:color w:val="auto"/>
              </w:rPr>
            </w:pPr>
            <w:r>
              <w:rPr>
                <w:rFonts w:ascii="Arial" w:cs="Arial" w:eastAsia="Arial" w:hAnsi="Arial"/>
                <w:sz w:val="18"/>
                <w:szCs w:val="18"/>
                <w:color w:val="auto"/>
                <w:w w:val="89"/>
              </w:rPr>
              <w:t>Three Months Ended June 30, 2015</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11"/>
        </w:trPr>
        <w:tc>
          <w:tcPr>
            <w:tcW w:w="3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Available for Sale</w:t>
            </w: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color w:val="auto"/>
              </w:rPr>
              <w:t>Cash Flow Swaps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Securities</w:t>
            </w:r>
          </w:p>
        </w:tc>
        <w:tc>
          <w:tcPr>
            <w:tcW w:w="440" w:type="dxa"/>
            <w:vAlign w:val="bottom"/>
          </w:tcPr>
          <w:p>
            <w:pPr>
              <w:spacing w:after="0"/>
              <w:rPr>
                <w:sz w:val="20"/>
                <w:szCs w:val="20"/>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Total</w:t>
            </w:r>
          </w:p>
        </w:tc>
        <w:tc>
          <w:tcPr>
            <w:tcW w:w="8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2015</w:t>
            </w:r>
          </w:p>
        </w:tc>
        <w:tc>
          <w:tcPr>
            <w:tcW w:w="1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20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Change in fair value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8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Income tax deferred</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8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368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Balance at June 30, 2015</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(305)</w:t>
            </w: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(305)</w:t>
            </w:r>
          </w:p>
        </w:tc>
        <w:tc>
          <w:tcPr>
            <w:tcW w:w="8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5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7"/>
          </w:tcPr>
          <w:p>
            <w:pPr>
              <w:jc w:val="center"/>
              <w:ind w:left="890"/>
              <w:spacing w:after="0"/>
              <w:rPr>
                <w:sz w:val="20"/>
                <w:szCs w:val="20"/>
                <w:color w:val="auto"/>
              </w:rPr>
            </w:pPr>
            <w:r>
              <w:rPr>
                <w:rFonts w:ascii="Arial" w:cs="Arial" w:eastAsia="Arial" w:hAnsi="Arial"/>
                <w:sz w:val="18"/>
                <w:szCs w:val="18"/>
                <w:color w:val="auto"/>
                <w:w w:val="89"/>
              </w:rPr>
              <w:t>Three Months Ended June 30, 2014</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11"/>
        </w:trPr>
        <w:tc>
          <w:tcPr>
            <w:tcW w:w="3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Available for Sale</w:t>
            </w: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color w:val="auto"/>
              </w:rPr>
              <w:t>Cash Flow Swaps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Securities</w:t>
            </w:r>
          </w:p>
        </w:tc>
        <w:tc>
          <w:tcPr>
            <w:tcW w:w="440" w:type="dxa"/>
            <w:vAlign w:val="bottom"/>
          </w:tcPr>
          <w:p>
            <w:pPr>
              <w:spacing w:after="0"/>
              <w:rPr>
                <w:sz w:val="20"/>
                <w:szCs w:val="20"/>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Total</w:t>
            </w:r>
          </w:p>
        </w:tc>
        <w:tc>
          <w:tcPr>
            <w:tcW w:w="8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2014</w:t>
            </w:r>
          </w:p>
        </w:tc>
        <w:tc>
          <w:tcPr>
            <w:tcW w:w="1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20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1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Change in fair value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334</w:t>
            </w:r>
          </w:p>
        </w:tc>
        <w:tc>
          <w:tcPr>
            <w:tcW w:w="4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518</w:t>
            </w:r>
          </w:p>
        </w:tc>
        <w:tc>
          <w:tcPr>
            <w:tcW w:w="8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Income tax deferred</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w:t>
            </w: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w:t>
            </w:r>
          </w:p>
        </w:tc>
        <w:tc>
          <w:tcPr>
            <w:tcW w:w="8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368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Balance at June 30, 2014</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(398)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(374)</w:t>
            </w: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(772)</w:t>
            </w:r>
          </w:p>
        </w:tc>
        <w:tc>
          <w:tcPr>
            <w:tcW w:w="8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5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7"/>
          </w:tcPr>
          <w:p>
            <w:pPr>
              <w:jc w:val="center"/>
              <w:ind w:left="890"/>
              <w:spacing w:after="0"/>
              <w:rPr>
                <w:sz w:val="20"/>
                <w:szCs w:val="20"/>
                <w:color w:val="auto"/>
              </w:rPr>
            </w:pPr>
            <w:r>
              <w:rPr>
                <w:rFonts w:ascii="Arial" w:cs="Arial" w:eastAsia="Arial" w:hAnsi="Arial"/>
                <w:sz w:val="18"/>
                <w:szCs w:val="18"/>
                <w:color w:val="auto"/>
                <w:w w:val="89"/>
              </w:rPr>
              <w:t>Six Months Ended June 30, 2015</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11"/>
        </w:trPr>
        <w:tc>
          <w:tcPr>
            <w:tcW w:w="3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Available for Sale</w:t>
            </w: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color w:val="auto"/>
              </w:rPr>
              <w:t>Cash Flow Swaps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Securities</w:t>
            </w:r>
          </w:p>
        </w:tc>
        <w:tc>
          <w:tcPr>
            <w:tcW w:w="440" w:type="dxa"/>
            <w:vAlign w:val="bottom"/>
          </w:tcPr>
          <w:p>
            <w:pPr>
              <w:spacing w:after="0"/>
              <w:rPr>
                <w:sz w:val="20"/>
                <w:szCs w:val="20"/>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Total</w:t>
            </w:r>
          </w:p>
        </w:tc>
        <w:tc>
          <w:tcPr>
            <w:tcW w:w="8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1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20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Change in fair value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235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254</w:t>
            </w:r>
          </w:p>
        </w:tc>
        <w:tc>
          <w:tcPr>
            <w:tcW w:w="8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Income tax deferred</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w:t>
            </w:r>
          </w:p>
        </w:tc>
        <w:tc>
          <w:tcPr>
            <w:tcW w:w="8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368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Balance at June 30, 2015</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(305)</w:t>
            </w: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(305)</w:t>
            </w:r>
          </w:p>
        </w:tc>
        <w:tc>
          <w:tcPr>
            <w:tcW w:w="8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5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7"/>
          </w:tcPr>
          <w:p>
            <w:pPr>
              <w:jc w:val="center"/>
              <w:ind w:left="890"/>
              <w:spacing w:after="0"/>
              <w:rPr>
                <w:sz w:val="20"/>
                <w:szCs w:val="20"/>
                <w:color w:val="auto"/>
              </w:rPr>
            </w:pPr>
            <w:r>
              <w:rPr>
                <w:rFonts w:ascii="Arial" w:cs="Arial" w:eastAsia="Arial" w:hAnsi="Arial"/>
                <w:sz w:val="18"/>
                <w:szCs w:val="18"/>
                <w:color w:val="auto"/>
                <w:w w:val="89"/>
              </w:rPr>
              <w:t>Six Months Ended June 30, 2014</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11"/>
        </w:trPr>
        <w:tc>
          <w:tcPr>
            <w:tcW w:w="3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Available for Sale</w:t>
            </w: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color w:val="auto"/>
              </w:rPr>
              <w:t>Cash Flow Swaps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Securities</w:t>
            </w:r>
          </w:p>
        </w:tc>
        <w:tc>
          <w:tcPr>
            <w:tcW w:w="440" w:type="dxa"/>
            <w:vAlign w:val="bottom"/>
          </w:tcPr>
          <w:p>
            <w:pPr>
              <w:spacing w:after="0"/>
              <w:rPr>
                <w:sz w:val="20"/>
                <w:szCs w:val="20"/>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Total</w:t>
            </w:r>
          </w:p>
        </w:tc>
        <w:tc>
          <w:tcPr>
            <w:tcW w:w="8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1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20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1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Change in fair value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371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334</w:t>
            </w:r>
          </w:p>
        </w:tc>
        <w:tc>
          <w:tcPr>
            <w:tcW w:w="4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705</w:t>
            </w:r>
          </w:p>
        </w:tc>
        <w:tc>
          <w:tcPr>
            <w:tcW w:w="8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Income tax deferred</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w:t>
            </w: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w:t>
            </w:r>
          </w:p>
        </w:tc>
        <w:tc>
          <w:tcPr>
            <w:tcW w:w="8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368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Balance at June 30, 2014</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(398)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(374)</w:t>
            </w: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(772)</w:t>
            </w:r>
          </w:p>
        </w:tc>
        <w:tc>
          <w:tcPr>
            <w:tcW w:w="8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656"/>
        </w:trPr>
        <w:tc>
          <w:tcPr>
            <w:tcW w:w="3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ind w:left="4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05"/>
        </w:trPr>
        <w:tc>
          <w:tcPr>
            <w:tcW w:w="34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61"/>
        </w:trPr>
        <w:tc>
          <w:tcPr>
            <w:tcW w:w="340" w:type="dxa"/>
            <w:vAlign w:val="bottom"/>
            <w:shd w:val="clear" w:color="auto" w:fill="808080"/>
          </w:tcPr>
          <w:p>
            <w:pPr>
              <w:spacing w:after="0"/>
              <w:rPr>
                <w:sz w:val="5"/>
                <w:szCs w:val="5"/>
                <w:color w:val="auto"/>
              </w:rPr>
            </w:pPr>
          </w:p>
        </w:tc>
        <w:tc>
          <w:tcPr>
            <w:tcW w:w="368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500" w:type="dxa"/>
            <w:vAlign w:val="bottom"/>
            <w:tcBorders>
              <w:right w:val="single" w:sz="8" w:color="808080"/>
            </w:tcBorders>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4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18" w:right="199" w:bottom="1440" w:gutter="0" w:footer="0" w:header="0"/>
        </w:sectPr>
      </w:pPr>
    </w:p>
    <w:bookmarkStart w:id="11" w:name="page12"/>
    <w:bookmarkEnd w:id="1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amount of loss reclassified from accumulated other comprehensive loss into earnings (in thousands):</w:t>
      </w:r>
    </w:p>
    <w:p>
      <w:pPr>
        <w:spacing w:after="0" w:line="279"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80" w:type="dxa"/>
            <w:vAlign w:val="bottom"/>
            <w:gridSpan w:val="6"/>
          </w:tcPr>
          <w:p>
            <w:pPr>
              <w:jc w:val="right"/>
              <w:ind w:right="760"/>
              <w:spacing w:after="0"/>
              <w:rPr>
                <w:sz w:val="20"/>
                <w:szCs w:val="20"/>
                <w:color w:val="auto"/>
              </w:rPr>
            </w:pPr>
            <w:r>
              <w:rPr>
                <w:rFonts w:ascii="Arial" w:cs="Arial" w:eastAsia="Arial" w:hAnsi="Arial"/>
                <w:sz w:val="18"/>
                <w:szCs w:val="18"/>
                <w:color w:val="auto"/>
              </w:rPr>
              <w:t>Three Months Ended</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gridSpan w:val="6"/>
          </w:tcPr>
          <w:p>
            <w:pPr>
              <w:jc w:val="right"/>
              <w:ind w:right="760"/>
              <w:spacing w:after="0"/>
              <w:rPr>
                <w:sz w:val="20"/>
                <w:szCs w:val="20"/>
                <w:color w:val="auto"/>
              </w:rPr>
            </w:pPr>
            <w:r>
              <w:rPr>
                <w:rFonts w:ascii="Arial" w:cs="Arial" w:eastAsia="Arial" w:hAnsi="Arial"/>
                <w:sz w:val="18"/>
                <w:szCs w:val="18"/>
                <w:color w:val="auto"/>
              </w:rPr>
              <w:t>Six Months Ended</w:t>
            </w:r>
          </w:p>
        </w:tc>
      </w:tr>
      <w:tr>
        <w:trPr>
          <w:trHeight w:val="210"/>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color w:val="auto"/>
                <w:w w:val="87"/>
              </w:rPr>
              <w:t>June 30, 2015</w:t>
            </w: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89"/>
              </w:rPr>
              <w:t>June 30, 2014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color w:val="auto"/>
                <w:w w:val="89"/>
              </w:rPr>
              <w:t>June 30, 2015</w:t>
            </w: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87"/>
              </w:rPr>
              <w:t>June 30, 2014</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Losses on cash flow swaps to:</w:t>
            </w: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(111)</w:t>
            </w:r>
          </w:p>
        </w:tc>
      </w:tr>
      <w:tr>
        <w:trPr>
          <w:trHeight w:val="216"/>
        </w:trPr>
        <w:tc>
          <w:tcPr>
            <w:tcW w:w="20" w:type="dxa"/>
            <w:vAlign w:val="bottom"/>
          </w:tcPr>
          <w:p>
            <w:pPr>
              <w:spacing w:after="0"/>
              <w:rPr>
                <w:sz w:val="18"/>
                <w:szCs w:val="18"/>
                <w:color w:val="auto"/>
              </w:rPr>
            </w:pPr>
          </w:p>
        </w:tc>
        <w:tc>
          <w:tcPr>
            <w:tcW w:w="3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tax benefit</w:t>
            </w: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Total reclassifications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 Acquisitions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All of the following acquisitions, unless otherwise noted, were considered business combinations accounted for under ASC 805 “Business Combinations.” Pro forma information is not included in accordance with ASC 805 since no acquisitions were considered material individually or in the aggregate.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the value of certain assets and liabilities acquired in 2015 are preliminary in nature, they are subject to adjustment as additional information is obtained about the facts and circumstances that existed at the acquisition date. The property and equipment, inventory and valuation of intangibles is subject to change during the purchase price allocation period.</w:t>
      </w:r>
    </w:p>
    <w:p>
      <w:pPr>
        <w:spacing w:after="0" w:line="181"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On May 4, 2015, we acquired certain assets of Yancey Truck Centers, LLC, which operated commercial vehicle dealerships in Albany, Blackshear, Tifton, Valdosta, Augusta, Columbus and Macon, Georgia. These locations are operating as Rush Truck Centers and offer commercial vehicle sales, parts and service for International trucks. The acquisition also included an Idealease commercial vehicle rental and leasing business.</w:t>
      </w:r>
    </w:p>
    <w:p>
      <w:pPr>
        <w:spacing w:after="0" w:line="166"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The purchase price for the assets, goodwill, franchise rights and dealership properties was approximately $30.1 million, which was paid in cash. The operations of Yancey Truck Centers, LLC are included in the accompanying consolidated financial statements from the date of the acquisition. The preliminary purchase price was allocated based on the fair values of the assets at the date of acquisition as follows (in thousands):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11,316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1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Other</w:t>
            </w:r>
          </w:p>
        </w:tc>
        <w:tc>
          <w:tcPr>
            <w:tcW w:w="1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w:t>
            </w:r>
          </w:p>
        </w:tc>
      </w:tr>
      <w:tr>
        <w:trPr>
          <w:trHeight w:val="210"/>
        </w:trPr>
        <w:tc>
          <w:tcPr>
            <w:tcW w:w="20" w:type="dxa"/>
            <w:vAlign w:val="bottom"/>
          </w:tcPr>
          <w:p>
            <w:pPr>
              <w:spacing w:after="0"/>
              <w:rPr>
                <w:sz w:val="18"/>
                <w:szCs w:val="18"/>
                <w:color w:val="auto"/>
              </w:rPr>
            </w:pPr>
          </w:p>
        </w:tc>
        <w:tc>
          <w:tcPr>
            <w:tcW w:w="558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5580" w:type="dxa"/>
            <w:vAlign w:val="bottom"/>
            <w:shd w:val="clear" w:color="auto" w:fill="CCEEFF"/>
          </w:tcPr>
          <w:p>
            <w:pPr>
              <w:ind w:left="3320"/>
              <w:spacing w:after="0"/>
              <w:rPr>
                <w:sz w:val="20"/>
                <w:szCs w:val="20"/>
                <w:color w:val="auto"/>
              </w:rPr>
            </w:pPr>
            <w:r>
              <w:rPr>
                <w:rFonts w:ascii="Arial" w:cs="Arial" w:eastAsia="Arial" w:hAnsi="Arial"/>
                <w:sz w:val="18"/>
                <w:szCs w:val="18"/>
                <w:color w:val="auto"/>
              </w:rPr>
              <w:t>Total</w:t>
            </w:r>
          </w:p>
        </w:tc>
        <w:tc>
          <w:tcPr>
            <w:tcW w:w="2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30,057</w:t>
            </w:r>
          </w:p>
        </w:tc>
        <w:tc>
          <w:tcPr>
            <w:tcW w:w="8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the value of certain assets and liabilities are preliminary in nature, they are subject to adjustment as additional information is obtained about the facts and circumstances that existed at the acquisition date. All of the goodwill acquired in the Yancey Truck Centers LLC acquisition will be amortized over 15 years for tax purposes.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 New Accounting Pronouncement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May 2014, the Financial Accounting Standards Board issued Accounting Standards Update No. 2014-09,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 which provides a single comprehensive model for entities to use in accounting for revenue arising from contracts with customers and will</w:t>
      </w:r>
      <w:r>
        <w:rPr>
          <w:rFonts w:ascii="Arial" w:cs="Arial" w:eastAsia="Arial" w:hAnsi="Arial"/>
          <w:sz w:val="18"/>
          <w:szCs w:val="18"/>
          <w:i w:val="1"/>
          <w:iCs w:val="1"/>
          <w:color w:val="auto"/>
        </w:rPr>
        <w:t xml:space="preserve"> </w:t>
      </w:r>
      <w:r>
        <w:rPr>
          <w:rFonts w:ascii="Arial" w:cs="Arial" w:eastAsia="Arial" w:hAnsi="Arial"/>
          <w:sz w:val="18"/>
          <w:szCs w:val="18"/>
          <w:color w:val="auto"/>
        </w:rPr>
        <w:t>supersede most current revenue recognition guidance. The standard is effective for public entities for annual and interim periods beginning after December 15, 2017. Early adoption is permitted as of one year prior to the current effective date. The guidance permits two implementation approaches, one requiring retrospective application of the new standard with restatement of prior years and one requiring prospective application of the new standard with disclosure of results under old standards. The effects of this standard on the Company’s financial position, results of operations and cash flows are not yet known.</w:t>
      </w:r>
    </w:p>
    <w:p>
      <w:pPr>
        <w:spacing w:after="0" w:line="200" w:lineRule="exact"/>
        <w:rPr>
          <w:sz w:val="20"/>
          <w:szCs w:val="20"/>
          <w:color w:val="auto"/>
        </w:rPr>
      </w:pPr>
    </w:p>
    <w:p>
      <w:pPr>
        <w:spacing w:after="0" w:line="23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20"/>
          </w:cols>
          <w:pgMar w:left="240" w:top="118" w:right="539"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right="100" w:firstLine="648"/>
        <w:spacing w:after="0" w:line="267" w:lineRule="auto"/>
        <w:rPr>
          <w:sz w:val="20"/>
          <w:szCs w:val="20"/>
          <w:color w:val="auto"/>
        </w:rPr>
      </w:pPr>
      <w:r>
        <w:rPr>
          <w:rFonts w:ascii="Arial" w:cs="Arial" w:eastAsia="Arial" w:hAnsi="Arial"/>
          <w:sz w:val="17"/>
          <w:szCs w:val="17"/>
          <w:i w:val="1"/>
          <w:iCs w:val="1"/>
          <w:color w:val="auto"/>
        </w:rPr>
        <w:t>Certain statements contained in this Form 10-Q (or otherwise made by the Company or on the Company’s behalf from time to time in other reports, filings with the Securities and Exchange Commission (“SEC”), news releases, conferences, website postings or otherwise) that are not statements of historical fact constitute “forward-looking statements” within the meaning of the Private Securities Litigation Reform Act of 1995, Section 27A of the Securities Act of 1933, as amended (the “Securities Act”), and Section 21E of the Exchange Act of 1934, as amended (the “Exchange Act”), notwithstanding that such statements are not specifically identified. Forward-looking statements include statements about the Company’s financial position, business strategy and plans and objectives of management of the Company for future operations. These forward-looking statements reflect the best judgments of the Company about the future events and trends based on the beliefs of the Company’s management as well as assumptions made by and information currently available to the Company’s management. Use of the words “may,” “should,” “continue,” “plan,” “potential,” “anticipate,” “believe,” “estimate,” “expect” and “intend” and words or phrases of similar import, as they relate to the Company or its subsidiaries or Company management, are intended to identify forward-looking statements but are not the exclusive means of identifying such statements. Forward-looking statements reflect our current view of the Company with respect to future events and are subject to risks and uncertainties that could cause actual results to differ materially from those in such statements. Please read Item 1A. “Risk Factors” in the Company’s Annual Report on Form 10-K for the year ended December 31, 2014, for a discussion of certain of those risks. Other unknown or unpredictable factors could also have a material adverse effect on future results. Although the Company believes that its expectations are reasonable as of the date of this Form 10-Q, it can give no assurance that such expectations will prove to be correct. The Company does not intend to update or revise any forward-looking statements unless securities laws require it to do so, and the Company undertakes no obligation to publicly release any revisions to forward-looking statements, whether because of new information, future events or otherwise.</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comments should be read in conjunction with the Company’s consolidated financial statements and related notes included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Trademarks Commonly Used in the Company’s Filings</w:t>
      </w:r>
    </w:p>
    <w:p>
      <w:pPr>
        <w:spacing w:after="0" w:line="206" w:lineRule="exact"/>
        <w:rPr>
          <w:sz w:val="20"/>
          <w:szCs w:val="20"/>
          <w:color w:val="auto"/>
        </w:rPr>
      </w:pPr>
    </w:p>
    <w:p>
      <w:pPr>
        <w:jc w:val="both"/>
        <w:ind w:firstLine="648"/>
        <w:spacing w:after="0" w:line="207" w:lineRule="auto"/>
        <w:rPr>
          <w:sz w:val="20"/>
          <w:szCs w:val="20"/>
          <w:color w:val="auto"/>
        </w:rPr>
      </w:pPr>
      <w:r>
        <w:rPr>
          <w:rFonts w:ascii="Arial" w:cs="Arial" w:eastAsia="Arial" w:hAnsi="Arial"/>
          <w:sz w:val="16"/>
          <w:szCs w:val="16"/>
          <w:i w:val="1"/>
          <w:iCs w:val="1"/>
          <w:color w:val="auto"/>
        </w:rPr>
        <w:t>Peterbilt</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Peterbilt Motors Company. PACCAR</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PACCAR, Inc. PacLease</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PACCAR Leasing Corporation. Navistar</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Navistar International Corporation. International</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Navistar International Transportation Corp. Idealease is a registered trademark of Idealease, Inc. aka Idealease of North America, Inc. Blue Bird</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Blue Bird Investment Corporation. IC Bus</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IC Bus, LLC. Fuso</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Mitsubishi Fuso Truck and Bus Corporation. Hino</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Hino Motors, Ltd. Isuzu</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Isuzu Motors Limited. Ford Motor Credit Company</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Ford Motor Company. Ford</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Ford Motor Company. SAP</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SAP Aktiengesellschaft. This report contains additional trade names or trademarks of other companies. Our use of such trade names or trademarks should not imply any endorsement or relationship with such companies.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Rush Enterprises, Inc. was incorporated in Texas in 1965 and consists of one reportable segment, the Truck Segment and conducts business through its subsidiaries. References herein to “the Company,” “Rush Enterprises,” “Rush,” “we,” “our” or “us” mean Rush Enterprises, Inc. and its subsidiaries unless the context requires otherwise. Our principal offices are located at 555 IH 35 South, Suite 500, New Braunfels, Texas 78130.</w:t>
      </w:r>
    </w:p>
    <w:p>
      <w:pPr>
        <w:spacing w:after="0" w:line="147" w:lineRule="exact"/>
        <w:rPr>
          <w:sz w:val="20"/>
          <w:szCs w:val="20"/>
          <w:color w:val="auto"/>
        </w:rPr>
      </w:pPr>
    </w:p>
    <w:p>
      <w:pPr>
        <w:jc w:val="both"/>
        <w:ind w:right="60" w:firstLine="648"/>
        <w:spacing w:after="0" w:line="276" w:lineRule="auto"/>
        <w:rPr>
          <w:sz w:val="20"/>
          <w:szCs w:val="20"/>
          <w:color w:val="auto"/>
        </w:rPr>
      </w:pPr>
      <w:r>
        <w:rPr>
          <w:rFonts w:ascii="Arial" w:cs="Arial" w:eastAsia="Arial" w:hAnsi="Arial"/>
          <w:sz w:val="17"/>
          <w:szCs w:val="17"/>
          <w:color w:val="auto"/>
        </w:rPr>
        <w:t>We are a full-service, integrated retailer of commercial vehicles and related services. The Truck Segment includes our operation of a regional network of commercial vehicle dealerships under the name “Rush Truck Centers.” Rush Truck Centers primarily sell commercial vehicles manufactured by Peterbilt, International, Hino, Ford, Isuzu, Mitsubishi Fuso, IC Bus or Blue Bird. Through our strategically located network of Rush Truck Centers, we provide one-stop service for the needs of our commercial vehicle customers, including retail sales of new and used commercial vehicles, aftermarket parts sales, service and repair facilities, financing, leasing and rental, and insurance products.</w:t>
      </w:r>
    </w:p>
    <w:p>
      <w:pPr>
        <w:spacing w:after="0" w:line="173"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Our Rush Truck Centers are principally located in high traffic areas throughout the United States. Since commencing operations as a Peterbilt heavy-duty truck dealer in 1966, we have grown to operate 120 Rush Truck Centers in 20 states.</w:t>
      </w:r>
    </w:p>
    <w:p>
      <w:pPr>
        <w:spacing w:after="0" w:line="200" w:lineRule="exact"/>
        <w:rPr>
          <w:sz w:val="20"/>
          <w:szCs w:val="20"/>
          <w:color w:val="auto"/>
        </w:rPr>
      </w:pPr>
    </w:p>
    <w:p>
      <w:pPr>
        <w:spacing w:after="0" w:line="21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20"/>
          </w:cols>
          <w:pgMar w:left="240" w:top="118" w:right="539" w:bottom="1440"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business strategy consists of providing solutions to the commercial vehicle industry through our network of commercial vehicle dealerships throughout the United States. We offer an integrated approach to meeting customer needs by providing service, parts and collision repair in addition to new and used commercial vehicle sales and leasing, plus financial services. We intend to continue to implement our business strategy, reinforce customer loyalty and remain a market leader by continuing to develop our Rush Truck Centers as we extend our geographic focus through strategic acquisitions of new locations and expansions of our existing facilities and product offerings.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discussion and analysis of our financial condition and results of operations are based on our consolidated financial statements, which have been prepared in accordance with U.S. generally accepted accounting principles. The preparation of these consolidated financial statements requires us to make estimates and assumptions that affect the reported amounts of assets and liabilities at the date of the consolidated financial statements and the reported amounts of revenues and expenses during the reporting period. There can be no assurance that actual results will not differ from those estimates. We believe the following accounting policies, which are also described in Note 2 of the Notes to the Consolidated Financial Statements, affect our more significant judgments and estimates used in the preparation of our consolidated financial statements.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Inventories are stated at the lower of cost or market value. Cost is determined by specific identification of new and used commercial vehicles inventory and by the first-in, first-out method for tires, parts and accessories. As the market value of our inventory typically declines over time, reserves are established based on historical loss experience and market trends. These reserves are charged to cost of sales and reduce the carrying value of our inventory on hand. An allowance is provided when it is anticipated that cost will exceed net realizable value less a reasonable profit margin.</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Goodwill is tested for impairment by reporting unit utilizing a two-step process at least annually, or more frequently when events or changes in circumstances indicate that the asset might be impaired. The first step requires us to compare the fair value of the reporting unit, which is the same as the segment, to the respective carrying value. We consider our Truck Segment to be a reporting unit for purposes of this analysis. If the fair value of the reporting unit exceeds its carrying value, the goodwill is not considered impaired. If the carrying value is greater than the fair value, there is an indication that impairment may exist and a second step is required. In the second step of the analysis, the implied fair value of the goodwill is calculated as the excess of the fair value of a reporting unit over the fair values assigned to its assets and liabilities. If the implied fair value of goodwill is less than the carrying value of the reporting unit’s goodwill, the difference is recognized as an impairment loss.</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determine the fair value of our reporting unit using the discounted cash flow method. The discounted cash flow method uses various assumptions and estimates regarding revenue growth rates, future gross margins, future selling, general and administrative expenses and an estimated weighted average cost of capital. The analysis is based upon available information regarding expected future cash flows of each reporting unit discounted at rates consistent with the cost of capital specific to the reporting unit. This type of analysis contains uncertainties because it requires us to make assumptions and to apply judgment regarding our knowledge of our industry, information provided by industry analysts, and our current business strategy in light of present industry and economic conditions. If any of these assumptions change, or fail to materialize, the resulting decline in our estimated fair value could result in a material impairment charge to the goodwill associated with the reporting unit.</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do not believe there is a reasonable likelihood that there will be a material change in the future estimates or assumptions we used to test for impairment losses on goodwill. However, if actual results are not consistent with our estimates or assumptions, or certain events occur that might adversely affect the reported value of goodwill in the future, we may be exposed to an impairment charge that could be material. Such events may include, but are not limited to, strategic decisions made in response to economic and competitive conditions or the impact of the current economic environment.</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Goodwill was tested for impairment during the fourth quarter of 2014 and no impairment was required. The fair value of our reporting unit exceeded the carrying value of its net assets. As a result, we were not required to conduct the second step of the impairment test. We do not believe our reporting unit is at risk of failing step one of the impairment test.</w:t>
      </w:r>
    </w:p>
    <w:p>
      <w:pPr>
        <w:spacing w:after="0" w:line="200" w:lineRule="exact"/>
        <w:rPr>
          <w:sz w:val="20"/>
          <w:szCs w:val="20"/>
          <w:color w:val="auto"/>
        </w:rPr>
      </w:pPr>
    </w:p>
    <w:p>
      <w:pPr>
        <w:spacing w:after="0" w:line="22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14" w:name="page15"/>
    <w:bookmarkEnd w:id="1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Insurance Accruals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partially self-insured for a portion of the claims related to our property and casualty insurance programs, requiring us to make estimates regarding expected losses to be incurred. We engage a third-party administrator to assess any open claims and we adjust our accrual accordingly on a periodic basis. We are also partially self-insured for a portion of the claims related to our workers’ compensation and medical insurance programs. We use actuarial information provided from third-party administrators to calculate an accrual for claims incurred, but not reported, and for the remaining portion of claims that have been reported.</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Changes in the frequency, severity and development of existing claims could influence our reserve for claims and financial position, results of operations and cash flows. We do not believe there is a reasonable likelihood that there will be a material change in the estimates or assumptions we used to calculate our self-insured liabilities. However, if actual results are not consistent with our estimates or assumptions, we may be exposed to losses or gains that could be material.</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Management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Accordingly, the facts and financial circumstances impacting state deferred income tax assets are reviewed quarterly and management’s judgment is applied to determine the amount of valuation allowance required, if any, in any given period.</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income tax returns are periodically audited by tax authorities. These audits include questions regarding our tax filing positions, including the timing and amount of deductions. In evaluating the exposures associated with our various tax filing positions, we adjust our liability for unrecognized tax benefits and income tax provision in the period in which an uncertain tax position is effectively settled, the statute of limitations expires for the relevant taxing authority to examine the tax position, or when more information becomes available.</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liability for unrecognized tax benefits contains uncertainties because management is required to make assumptions and to apply judgment to estimate the exposures associated with our various filing positions. Our effective income tax rate is also affected by changes in tax law, the level of earnings and the results of tax audits. Although we believe that the judgments and estimates are reasonable, actual results could differ, and we may be exposed to losses or gains that could be material. An unfavorable tax settlement generally would require use of our cash and result in an increase in our effective income tax rate in the period of resolution. A favorable tax settlement would be recognized as a reduction in our effective income tax rate in the period of resolution. Our income tax expense includes the impact of reserve provisions and changes to reserves that it considers appropriate, as well as related interest.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Derivative Instruments and Hedging Activities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utilize derivative financial instruments to manage our interest rate risk. The types of risks hedged are those relating to the variability of cash flows and changes in the fair value of our financial instruments caused by movements in interest rates. We assess hedge effectiveness at the inception and during the term of each hedge. Derivatives are reported at fair value on the accompanying Consolidated Balance Sheets.</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effective portion of the gain or loss on our cash flow hedges are reported as a component of accumulated other comprehensive loss. Hedge effectiveness will be assessed quarterly by comparing the changes in cumulative gain or loss from the interest rate swap with the cumulative changes in the present value of the expected future cash flows of the interest rate swap that are attributable to changes in the LIBOR rate</w:t>
      </w:r>
      <w:r>
        <w:rPr>
          <w:rFonts w:ascii="Arial" w:cs="Arial" w:eastAsia="Arial" w:hAnsi="Arial"/>
          <w:sz w:val="18"/>
          <w:szCs w:val="18"/>
          <w:b w:val="1"/>
          <w:bCs w:val="1"/>
          <w:color w:val="auto"/>
        </w:rPr>
        <w:t>.</w:t>
      </w:r>
      <w:r>
        <w:rPr>
          <w:rFonts w:ascii="Arial" w:cs="Arial" w:eastAsia="Arial" w:hAnsi="Arial"/>
          <w:sz w:val="18"/>
          <w:szCs w:val="18"/>
          <w:color w:val="auto"/>
        </w:rPr>
        <w:t xml:space="preserve"> If the interest rate swaps become ineffective, portions of these interest rate swaps would be reported as a component of interest expense in the accompanying Consolidated Statements of Income.</w:t>
      </w:r>
    </w:p>
    <w:p>
      <w:pPr>
        <w:spacing w:after="0" w:line="200" w:lineRule="exact"/>
        <w:rPr>
          <w:sz w:val="20"/>
          <w:szCs w:val="20"/>
          <w:color w:val="auto"/>
        </w:rPr>
      </w:pPr>
    </w:p>
    <w:p>
      <w:pPr>
        <w:spacing w:after="0" w:line="23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15" w:name="page16"/>
    <w:bookmarkEnd w:id="1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following discussion and analysis includes the Company’s historical results of operations for the three months and six months ended June 30, 2015 and 2014.</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certain financial data as a percentage of total revenues: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292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w w:val="96"/>
              </w:rPr>
              <w:t>Three Months Ended June 30,</w:t>
            </w:r>
          </w:p>
        </w:tc>
        <w:tc>
          <w:tcPr>
            <w:tcW w:w="2820" w:type="dxa"/>
            <w:vAlign w:val="bottom"/>
            <w:gridSpan w:val="4"/>
          </w:tcPr>
          <w:p>
            <w:pPr>
              <w:jc w:val="right"/>
              <w:ind w:right="440"/>
              <w:spacing w:after="0"/>
              <w:rPr>
                <w:sz w:val="20"/>
                <w:szCs w:val="20"/>
                <w:color w:val="auto"/>
              </w:rPr>
            </w:pPr>
            <w:r>
              <w:rPr>
                <w:rFonts w:ascii="Arial" w:cs="Arial" w:eastAsia="Arial" w:hAnsi="Arial"/>
                <w:sz w:val="18"/>
                <w:szCs w:val="18"/>
                <w:b w:val="1"/>
                <w:bCs w:val="1"/>
                <w:color w:val="auto"/>
              </w:rPr>
              <w:t>Six Months Ended June 30,</w:t>
            </w:r>
          </w:p>
        </w:tc>
      </w:tr>
      <w:tr>
        <w:trPr>
          <w:trHeight w:val="210"/>
        </w:trPr>
        <w:tc>
          <w:tcPr>
            <w:tcW w:w="452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4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26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18"/>
                <w:szCs w:val="18"/>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78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New and used truck sales</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69.0%</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67.4%</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68.1%</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65.3%</w:t>
            </w: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Parts and service</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28.0</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27.4</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29.9</w:t>
            </w: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Lease and rental</w:t>
            </w:r>
          </w:p>
        </w:tc>
        <w:tc>
          <w:tcPr>
            <w:tcW w:w="440" w:type="dxa"/>
            <w:vAlign w:val="bottom"/>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3.7</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3.8</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and insurance</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Other</w:t>
            </w:r>
          </w:p>
        </w:tc>
        <w:tc>
          <w:tcPr>
            <w:tcW w:w="440" w:type="dxa"/>
            <w:vAlign w:val="bottom"/>
          </w:tcPr>
          <w:p>
            <w:pPr>
              <w:jc w:val="right"/>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0.4</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7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100.0</w:t>
            </w:r>
          </w:p>
        </w:tc>
        <w:tc>
          <w:tcPr>
            <w:tcW w:w="24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Cost of products sold</w:t>
            </w:r>
          </w:p>
        </w:tc>
        <w:tc>
          <w:tcPr>
            <w:tcW w:w="440" w:type="dxa"/>
            <w:vAlign w:val="bottom"/>
          </w:tcPr>
          <w:p>
            <w:pPr>
              <w:jc w:val="right"/>
              <w:spacing w:after="0"/>
              <w:rPr>
                <w:sz w:val="20"/>
                <w:szCs w:val="20"/>
                <w:color w:val="auto"/>
              </w:rPr>
            </w:pPr>
            <w:r>
              <w:rPr>
                <w:rFonts w:ascii="Arial" w:cs="Arial" w:eastAsia="Arial" w:hAnsi="Arial"/>
                <w:sz w:val="18"/>
                <w:szCs w:val="18"/>
                <w:color w:val="auto"/>
              </w:rPr>
              <w:t>84.4</w:t>
            </w:r>
          </w:p>
        </w:tc>
        <w:tc>
          <w:tcPr>
            <w:tcW w:w="2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83.6</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84.1</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83.2</w:t>
            </w: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7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4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60" w:type="dxa"/>
            <w:vAlign w:val="bottom"/>
            <w:shd w:val="clear" w:color="auto" w:fill="CCEEFF"/>
          </w:tcPr>
          <w:p>
            <w:pPr>
              <w:spacing w:after="0"/>
              <w:rPr>
                <w:sz w:val="18"/>
                <w:szCs w:val="18"/>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440" w:type="dxa"/>
            <w:vAlign w:val="bottom"/>
          </w:tcPr>
          <w:p>
            <w:pPr>
              <w:jc w:val="right"/>
              <w:spacing w:after="0"/>
              <w:rPr>
                <w:sz w:val="20"/>
                <w:szCs w:val="20"/>
                <w:color w:val="auto"/>
              </w:rPr>
            </w:pPr>
            <w:r>
              <w:rPr>
                <w:rFonts w:ascii="Arial" w:cs="Arial" w:eastAsia="Arial" w:hAnsi="Arial"/>
                <w:sz w:val="18"/>
                <w:szCs w:val="18"/>
                <w:color w:val="auto"/>
              </w:rPr>
              <w:t>12.1</w:t>
            </w:r>
          </w:p>
        </w:tc>
        <w:tc>
          <w:tcPr>
            <w:tcW w:w="2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12.6</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12.5</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13.3</w:t>
            </w: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w:t>
            </w: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Gain on sale of assets</w:t>
            </w:r>
          </w:p>
        </w:tc>
        <w:tc>
          <w:tcPr>
            <w:tcW w:w="440" w:type="dxa"/>
            <w:vAlign w:val="bottom"/>
          </w:tcPr>
          <w:p>
            <w:pPr>
              <w:jc w:val="right"/>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7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440" w:type="dxa"/>
            <w:vAlign w:val="bottom"/>
          </w:tcPr>
          <w:p>
            <w:pPr>
              <w:jc w:val="right"/>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0.2</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7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7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4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6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18"/>
                <w:szCs w:val="18"/>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7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r>
      <w:tr>
        <w:trPr>
          <w:trHeight w:val="20"/>
        </w:trPr>
        <w:tc>
          <w:tcPr>
            <w:tcW w:w="45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for the periods indicated the percent of gross profit by revenue source: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920" w:type="dxa"/>
            <w:vAlign w:val="bottom"/>
            <w:gridSpan w:val="4"/>
          </w:tcPr>
          <w:p>
            <w:pPr>
              <w:jc w:val="right"/>
              <w:ind w:right="440"/>
              <w:spacing w:after="0"/>
              <w:rPr>
                <w:sz w:val="20"/>
                <w:szCs w:val="20"/>
                <w:color w:val="auto"/>
              </w:rPr>
            </w:pPr>
            <w:r>
              <w:rPr>
                <w:rFonts w:ascii="Arial" w:cs="Arial" w:eastAsia="Arial" w:hAnsi="Arial"/>
                <w:sz w:val="18"/>
                <w:szCs w:val="18"/>
                <w:b w:val="1"/>
                <w:bCs w:val="1"/>
                <w:color w:val="auto"/>
                <w:w w:val="96"/>
              </w:rPr>
              <w:t>Three Months Ended June 30,</w:t>
            </w:r>
          </w:p>
        </w:tc>
        <w:tc>
          <w:tcPr>
            <w:tcW w:w="3680" w:type="dxa"/>
            <w:vAlign w:val="bottom"/>
            <w:gridSpan w:val="5"/>
          </w:tcPr>
          <w:p>
            <w:pPr>
              <w:ind w:left="280"/>
              <w:spacing w:after="0"/>
              <w:rPr>
                <w:sz w:val="20"/>
                <w:szCs w:val="20"/>
                <w:color w:val="auto"/>
              </w:rPr>
            </w:pPr>
            <w:r>
              <w:rPr>
                <w:rFonts w:ascii="Arial" w:cs="Arial" w:eastAsia="Arial" w:hAnsi="Arial"/>
                <w:sz w:val="18"/>
                <w:szCs w:val="18"/>
                <w:b w:val="1"/>
                <w:bCs w:val="1"/>
                <w:color w:val="auto"/>
              </w:rPr>
              <w:t>Six Months Ended June 30,</w:t>
            </w:r>
          </w:p>
        </w:tc>
      </w:tr>
      <w:tr>
        <w:trPr>
          <w:trHeight w:val="210"/>
        </w:trPr>
        <w:tc>
          <w:tcPr>
            <w:tcW w:w="3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26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New and used commercial vehicle sales</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29.7%</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30.2%</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29.3%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28.2%</w:t>
            </w:r>
          </w:p>
        </w:tc>
        <w:tc>
          <w:tcPr>
            <w:tcW w:w="8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Parts and service sales</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63.1</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61.6</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63.1</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63.8</w:t>
            </w:r>
          </w:p>
        </w:tc>
        <w:tc>
          <w:tcPr>
            <w:tcW w:w="8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Lease and rental</w:t>
            </w:r>
          </w:p>
        </w:tc>
        <w:tc>
          <w:tcPr>
            <w:tcW w:w="1200" w:type="dxa"/>
            <w:vAlign w:val="bottom"/>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3.0</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3.0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8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Finance and insurance</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8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Other</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Total gross profit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60" w:type="dxa"/>
            <w:vAlign w:val="bottom"/>
          </w:tcPr>
          <w:p>
            <w:pPr>
              <w:spacing w:after="0"/>
              <w:rPr>
                <w:sz w:val="18"/>
                <w:szCs w:val="18"/>
                <w:color w:val="auto"/>
              </w:rPr>
            </w:pPr>
          </w:p>
        </w:tc>
      </w:tr>
      <w:tr>
        <w:trPr>
          <w:trHeight w:val="723"/>
        </w:trPr>
        <w:tc>
          <w:tcPr>
            <w:tcW w:w="340" w:type="dxa"/>
            <w:vAlign w:val="bottom"/>
          </w:tcPr>
          <w:p>
            <w:pPr>
              <w:spacing w:after="0"/>
              <w:rPr>
                <w:sz w:val="24"/>
                <w:szCs w:val="24"/>
                <w:color w:val="auto"/>
              </w:rPr>
            </w:pPr>
          </w:p>
        </w:tc>
        <w:tc>
          <w:tcPr>
            <w:tcW w:w="4520" w:type="dxa"/>
            <w:vAlign w:val="bottom"/>
            <w:tcBorders>
              <w:top w:val="single" w:sz="8" w:color="CCEEFF"/>
            </w:tcBorders>
          </w:tcPr>
          <w:p>
            <w:pPr>
              <w:spacing w:after="0"/>
              <w:rPr>
                <w:sz w:val="24"/>
                <w:szCs w:val="24"/>
                <w:color w:val="auto"/>
              </w:rPr>
            </w:pPr>
          </w:p>
        </w:tc>
        <w:tc>
          <w:tcPr>
            <w:tcW w:w="12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16</w:t>
            </w:r>
          </w:p>
        </w:tc>
        <w:tc>
          <w:tcPr>
            <w:tcW w:w="260" w:type="dxa"/>
            <w:vAlign w:val="bottom"/>
            <w:tcBorders>
              <w:top w:val="single" w:sz="8" w:color="CCEEFF"/>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60" w:type="dxa"/>
            <w:vAlign w:val="bottom"/>
          </w:tcPr>
          <w:p>
            <w:pPr>
              <w:spacing w:after="0"/>
              <w:rPr>
                <w:sz w:val="24"/>
                <w:szCs w:val="24"/>
                <w:color w:val="auto"/>
              </w:rPr>
            </w:pPr>
          </w:p>
        </w:tc>
      </w:tr>
      <w:tr>
        <w:trPr>
          <w:trHeight w:val="105"/>
        </w:trPr>
        <w:tc>
          <w:tcPr>
            <w:tcW w:w="340" w:type="dxa"/>
            <w:vAlign w:val="bottom"/>
          </w:tcPr>
          <w:p>
            <w:pPr>
              <w:spacing w:after="0"/>
              <w:rPr>
                <w:sz w:val="9"/>
                <w:szCs w:val="9"/>
                <w:color w:val="auto"/>
              </w:rPr>
            </w:pPr>
          </w:p>
        </w:tc>
        <w:tc>
          <w:tcPr>
            <w:tcW w:w="4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61"/>
        </w:trPr>
        <w:tc>
          <w:tcPr>
            <w:tcW w:w="340" w:type="dxa"/>
            <w:vAlign w:val="bottom"/>
            <w:shd w:val="clear" w:color="auto" w:fill="808080"/>
          </w:tcPr>
          <w:p>
            <w:pPr>
              <w:spacing w:after="0"/>
              <w:rPr>
                <w:sz w:val="5"/>
                <w:szCs w:val="5"/>
                <w:color w:val="auto"/>
              </w:rPr>
            </w:pPr>
          </w:p>
        </w:tc>
        <w:tc>
          <w:tcPr>
            <w:tcW w:w="452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18" w:right="199" w:bottom="1440" w:gutter="0" w:footer="0" w:header="0"/>
        </w:sectPr>
      </w:pPr>
    </w:p>
    <w:bookmarkStart w:id="16" w:name="page17"/>
    <w:bookmarkEnd w:id="1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8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sets forth the unit sales and revenue for new heavy-duty, new medium-duty, new light-duty and used commercial vehicles and the absorption ratio (revenue in millions):</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gridSpan w:val="6"/>
          </w:tcPr>
          <w:p>
            <w:pPr>
              <w:jc w:val="center"/>
              <w:ind w:left="570"/>
              <w:spacing w:after="0"/>
              <w:rPr>
                <w:sz w:val="20"/>
                <w:szCs w:val="20"/>
                <w:color w:val="auto"/>
              </w:rPr>
            </w:pPr>
            <w:r>
              <w:rPr>
                <w:rFonts w:ascii="Arial" w:cs="Arial" w:eastAsia="Arial" w:hAnsi="Arial"/>
                <w:sz w:val="18"/>
                <w:szCs w:val="18"/>
                <w:b w:val="1"/>
                <w:bCs w:val="1"/>
                <w:color w:val="auto"/>
                <w:w w:val="90"/>
              </w:rPr>
              <w:t>Three Months Ended</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0"/>
              </w:rPr>
              <w:t>Six Months Ended</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28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center"/>
              <w:ind w:right="50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8"/>
                <w:szCs w:val="18"/>
                <w:b w:val="1"/>
                <w:bCs w:val="1"/>
                <w:color w:val="auto"/>
                <w:w w:val="88"/>
              </w:rPr>
              <w:t>June 30,</w:t>
            </w:r>
          </w:p>
        </w:tc>
        <w:tc>
          <w:tcPr>
            <w:tcW w:w="10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2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310"/>
              <w:spacing w:after="0" w:line="191" w:lineRule="exact"/>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310"/>
              <w:spacing w:after="0" w:line="191"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6"/>
                <w:szCs w:val="16"/>
                <w:color w:val="auto"/>
              </w:rPr>
            </w:pPr>
          </w:p>
        </w:tc>
      </w:tr>
      <w:tr>
        <w:trPr>
          <w:trHeight w:val="234"/>
        </w:trPr>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Change</w:t>
            </w: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2014</w:t>
            </w:r>
          </w:p>
        </w:tc>
        <w:tc>
          <w:tcPr>
            <w:tcW w:w="260" w:type="dxa"/>
            <w:vAlign w:val="bottom"/>
          </w:tcPr>
          <w:p>
            <w:pPr>
              <w:spacing w:after="0"/>
              <w:rPr>
                <w:sz w:val="20"/>
                <w:szCs w:val="20"/>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Change</w:t>
            </w:r>
          </w:p>
        </w:tc>
      </w:tr>
      <w:tr>
        <w:trPr>
          <w:trHeight w:val="210"/>
        </w:trPr>
        <w:tc>
          <w:tcPr>
            <w:tcW w:w="2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Vehicle unit sales:</w:t>
            </w: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New heavy-duty vehicles</w:t>
            </w:r>
          </w:p>
        </w:tc>
        <w:tc>
          <w:tcPr>
            <w:tcW w:w="2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4,702</w:t>
            </w: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3,642</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29.1%</w:t>
            </w: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8,776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6,330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38.6%</w:t>
            </w: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New medium-duty vehicles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2,902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2,976</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5,588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4,942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New light-duty vehicles</w:t>
            </w:r>
          </w:p>
        </w:tc>
        <w:tc>
          <w:tcPr>
            <w:tcW w:w="2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457</w:t>
            </w:r>
          </w:p>
        </w:tc>
        <w:tc>
          <w:tcPr>
            <w:tcW w:w="14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489</w:t>
            </w:r>
          </w:p>
        </w:tc>
        <w:tc>
          <w:tcPr>
            <w:tcW w:w="1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835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975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-14.4%</w:t>
            </w:r>
          </w:p>
        </w:tc>
      </w:tr>
      <w:tr>
        <w:trPr>
          <w:trHeight w:val="20"/>
        </w:trPr>
        <w:tc>
          <w:tcPr>
            <w:tcW w:w="2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new vehicle unit sales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8,061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7,107</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15,199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12,247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w:t>
            </w:r>
          </w:p>
        </w:tc>
      </w:tr>
      <w:tr>
        <w:trPr>
          <w:trHeight w:val="216"/>
        </w:trPr>
        <w:tc>
          <w:tcPr>
            <w:tcW w:w="2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Used vehicles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2,009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3,871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3,724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2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Vehicle revenue:</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New heavy-duty vehicles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602.0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487.3</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1,114.9</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860.4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29.6%</w:t>
            </w: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New medium-duty vehicles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202.2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206.5</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390.9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347.4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New light-duty vehicles</w:t>
            </w:r>
          </w:p>
        </w:tc>
        <w:tc>
          <w:tcPr>
            <w:tcW w:w="2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16.6</w:t>
            </w:r>
          </w:p>
        </w:tc>
        <w:tc>
          <w:tcPr>
            <w:tcW w:w="14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15.0</w:t>
            </w:r>
          </w:p>
        </w:tc>
        <w:tc>
          <w:tcPr>
            <w:tcW w:w="1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29.5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30.7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2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new vehicle revenue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820.8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708.8</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1,535.3</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1,238.5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16"/>
        </w:trPr>
        <w:tc>
          <w:tcPr>
            <w:tcW w:w="2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Used vehicle revenue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84.5</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171.0</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151.6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2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r>
      <w:tr>
        <w:trPr>
          <w:trHeight w:val="216"/>
        </w:trPr>
        <w:tc>
          <w:tcPr>
            <w:tcW w:w="2840" w:type="dxa"/>
            <w:vAlign w:val="bottom"/>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Other vehicle revenue:</w:t>
            </w:r>
            <w:r>
              <w:rPr>
                <w:rFonts w:ascii="Arial" w:cs="Arial" w:eastAsia="Arial" w:hAnsi="Arial"/>
                <w:sz w:val="25"/>
                <w:szCs w:val="25"/>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45.7%</w:t>
            </w:r>
          </w:p>
        </w:tc>
      </w:tr>
      <w:tr>
        <w:trPr>
          <w:trHeight w:val="216"/>
        </w:trPr>
        <w:tc>
          <w:tcPr>
            <w:tcW w:w="2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Absorption ratio:</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2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117.1%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r>
    </w:tbl>
    <w:p>
      <w:pPr>
        <w:spacing w:after="0" w:line="25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 Includes sales of truck bodies, trailers and other new equipment.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Absorption Ratio</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Management uses several performance metrics to evaluate the performance of our commercial vehicle dealerships and considers Rush Truck Centers’ “absorption ratio” to be of critical importance. Absorption ratio is calculated by dividing the gross profit from the parts, service and body shop (collectively, “Aftermarket Services”) departments by the overhead expenses of all of a dealership’s departments, except for the selling expenses of the new and used commercial vehicle departments and carrying costs of new and used commercial vehicle inventory. When 100% absorption is achieved, all of the gross profit from the sale of a commercial vehicle, after sales commissions and inventory carrying costs, directly impacts operating profit. In 1999, our commercial vehicle dealerships’ absorption ratio was approximately 80%. Since 1999, we have made a concerted effort to increase our absorption ratio. Our commercial vehicle dealerships achieved a 118.9% absorption ratio for the second quarter of 2015, and 120.0% absorption ratio for the second quarter of 2014.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2015 Compared to Three Months Ended June 30, 2014</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strong financial performance continued in the second quarter. We outpaced the industry in U.S. Class 8 truck sales, despite the decline in truck sales to our customers in the energy sector. We also increased Aftermarket Services revenues compared to the second quarter of 2014.</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Class 8 new truck sales this quarter included increased deliveries to large over-the-road fleets. New and used stock truck sales also increased this quarter as a result of our large inventory of vehicles throughout the country.</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ability to meet the needs of a wide array of customers, combined with the geographic diversity of our dealership network, has allowed us to offset the significant decline in new truck sales to our customers in the energy sector. We expect our Class 8 truck sales to remain flat or to decrease slightly in the third quarter because truck order intake slowed in the first half of 2015. We expect both Class 4 through 7 and used truck sales to remain steady through the third quarter.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Revenues increased $147.8 million, or 12.5%, in the second quarter of 2015 compared to the second quarter of 2014.</w:t>
      </w:r>
    </w:p>
    <w:p>
      <w:pPr>
        <w:sectPr>
          <w:pgSz w:w="11900" w:h="16838" w:orient="portrait"/>
          <w:cols w:equalWidth="0" w:num="1">
            <w:col w:w="11040"/>
          </w:cols>
          <w:pgMar w:left="240" w:top="118" w:right="61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40"/>
          </w:cols>
          <w:pgMar w:left="240" w:top="118" w:right="619" w:bottom="1440" w:gutter="0" w:footer="0" w:header="0"/>
          <w:type w:val="continuous"/>
        </w:sectPr>
      </w:pPr>
    </w:p>
    <w:bookmarkStart w:id="17" w:name="page18"/>
    <w:bookmarkEnd w:id="1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Aftermarket Services revenues increased $22.3 million, or 6.7%, in the second quarter of 2015 compared to the second quarter of 2014. This increase was the result of acquisitions since the first half of 2014 and continued strong demand for repair and maintenance of vehicles. While we expect our Aftermarket Services revenues to increase slightly during 2015 compared to 2014, we believe Aftermarket Services will continue to be negatively impacted by the decrease in activity in the energy sector.</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Revenues from sales of new and used commercial vehicles increased $120.6 million, or 15.1%, in the second quarter of 2015 compared to the second quarter of 2014.</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sold 4,702 heavy-duty trucks in the second quarter of 2015, a 29.1% increase compared to 3,642 heavy-duty trucks in the second quarter of 2014. According to A.C.T. Research Co., LLC (“A.C.T. Research”), a truck industry data and forecasting service provider, the U.S. Class 8 truck market increased 22.0% in the second quarter of 2015 compared to the second quarter of 2014. A.C.T. Research currently predicts U.S. retail sales of Class 8 trucks of approximately 267,000 units in 2015, 247,500 units in 2016, and 212,000 units in 2017, compared to approximately 224,000 units in 2014. Our share of the U.S. Class 8 truck sales market was approximately 7.1% in 2014. We expect our market share to range between 6.0% and 6.5% of the U.S. Class 8 truck sales in 2015. This market share percentage would result in the sale of approximately 16,000 to 17,250 of Class 8 trucks in 2015 based on A.C.T. Research’s current U.S. retail sales estimate of 267,000 units.</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sold 2,902 Class 4 through 7 commercial vehicles, including 183 buses, in the second quarter of 2015, a 2.5% decrease compared to 2,976 medium-duty commercial vehicles, including 564 buses, in the second quarter of 2014. A.C.T. Research estimates that unit sales of Class 4 through 7 commercial vehicles in the U.S. increased approximately 3.0% in the second quarter of 2015, compared to the second quarter of 2014. A.C.T. Research currently predicts U.S. retail sales of Class 4 through 7 medium-duty commercial vehicles of approximately 209,700 units in 2015, 216,600 units in 2016, and 229,600 in 2017. In 2014, we achieved a 4.9% share of the Class 4 through 7 commercial vehicle sales market in the U.S. We expect our market share to range between 5.0% and 5.5% of the U.S. Class 4 through 7 commercial vehicle sales in 2015. This market share percentage would result in the sale of approximately 10,400 to 11,500 of Class 4 through 7 commercial vehicles in 2015 based on A.C.T. Research’s current U.S. retail sales estimates of 209,700 units.</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sold 457 light-duty vehicles in the second quarter of 2015, a 6.5% decrease compared to 489 light-duty vehicles in the second quarter of 2014. We expect to sell approximately 1,600 to 2,000 light-duty vehicles in 2015.</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sold 2,009 used commercial vehicles in the second quarter of 2015, a 0.6% decrease compared to 2,021 used commercial vehicles in the second quarter of 2014. We expect to sell approximately 8,000 to 8,500 used commercial vehicles in 2015. The volume of used commercial vehicle sales will be largely dependent upon our ability to acquire quality used commercial vehicles and maintain an adequate used commercial vehicle inventory throughout 2015.</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Truck lease and rental revenues increased $5.2 million, or 11.9%, in the second quarter of 2015 compared to the second quarter of 2014. The increase in lease and rental revenue is primarily due to the increased number of units put into service in the lease and rental fleet during 2014 and the first quarter of 2015. We expect lease and rental revenue to increase 15% to 20% during 2015, compared to 2014 due to the increased number of units in the lease and rental fleet.</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Finance and insurance revenues increased $0.4 million, or 8.0%, in the second quarter of 2015 compared to the second quarter of 2014. We expect finance and insurance revenue to fluctuate proportionately with our new and used commercial vehicle sales in 2015. Finance and insurance revenues have limited direct costs and, therefore, contribute a disproportionate share of our operating profits.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ind w:right="40" w:firstLine="648"/>
        <w:spacing w:after="0" w:line="297" w:lineRule="auto"/>
        <w:rPr>
          <w:sz w:val="20"/>
          <w:szCs w:val="20"/>
          <w:color w:val="auto"/>
        </w:rPr>
      </w:pPr>
      <w:r>
        <w:rPr>
          <w:rFonts w:ascii="Arial" w:cs="Arial" w:eastAsia="Arial" w:hAnsi="Arial"/>
          <w:sz w:val="16"/>
          <w:szCs w:val="16"/>
          <w:color w:val="auto"/>
        </w:rPr>
        <w:t>Gross profit increased $14.3 million, or 7.4%, in the second quarter of 2015, compared to the second quarter of 2014. Gross profit as a percentage of sales decreased to 15.6% in the second quarter of 2015, from 16.4% in the second quarter of 2014. This decrease in gross profit as a percentage of sales is a result of a change in our product sales mix. Commercial vehicle sales, a lower margin revenue item, increased as a percentage of total revenues to 69.0% in the second quarter of 2015, from 67.4% in the second quarter of 2014. Aftermarket Services revenues, a higher margin revenue item, decreased as a percentage of total revenues to 26.6% in the second quarter of 2015, from 28.0% in the second quarter of 2014.</w:t>
      </w:r>
    </w:p>
    <w:p>
      <w:pPr>
        <w:spacing w:after="0" w:line="200" w:lineRule="exact"/>
        <w:rPr>
          <w:sz w:val="20"/>
          <w:szCs w:val="20"/>
          <w:color w:val="auto"/>
        </w:rPr>
      </w:pPr>
    </w:p>
    <w:p>
      <w:pPr>
        <w:spacing w:after="0" w:line="20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18" w:name="page19"/>
    <w:bookmarkEnd w:id="1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Gross margins from our Aftermarket Services operations increased to 37.1% in the second quarter of 2015, from 35.9% in the second quarter of 2014. Gross profit from our Aftermarket Services operations increased to $131.0 million in the second quarter of 2015 from $119.0 million in the second quarter of 2014. Historically, gross margins on parts sales range from 27% to 28% and gross margins on service and body shop operations range from 67% to 68%. Gross profits from parts sales represented 56% of total gross profit for Aftermarket Services operations in the second quarter of 2015 and 54% in the second quarter of 2014. Service and body shop operations represented 44% of total gross profit for Aftermarket Services operations in the second quarter of 2015 and 46% in the second quarter of 2014. We expect blended gross margins on Aftermarket Services operations to range from 35.0% to 37.0% in 2015.</w:t>
      </w:r>
    </w:p>
    <w:p>
      <w:pPr>
        <w:spacing w:after="0" w:line="189"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Gross margins on Class 8 truck sales decreased to 6.6% in the second quarter of 2015, from 7.6% in the second quarter of 2014. This decrease is attributable to the sales mix in the second quarter of 2015, which consisted of more sales to over-the-road fleet customers, a lower margin revenue item. In 2015, we expect overall gross margins from Class 8 truck sales of approximately 6.0% to 7.0%.</w:t>
      </w:r>
    </w:p>
    <w:p>
      <w:pPr>
        <w:spacing w:after="0" w:line="166"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Gross margins on medium-duty commercial vehicle sales increased to 5.7% in the second quarter of 2015, from 5.6% in the second quarter of 2014. For 2015, we expect overall gross margins from medium-duty commercial vehicle sales of approximately 5.0% to 5.5%, but this will largely depend upon the mix of purchasers and types of vehicles sold.</w:t>
      </w:r>
    </w:p>
    <w:p>
      <w:pPr>
        <w:spacing w:after="0" w:line="18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Gross margins on used commercial vehicle sales decreased to 10.6% in the second quarter of 2015, from 10.7% in the second quarter of 2014. We expect margins on used commercial vehicles to range between 8.0% and 10.0% during 2015 depending upon general economic conditions and the availability of quality used vehicles.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Gross margins from truck lease and rental sales decreased to 10.4% in the second quarter of 2015, from 13.2% in the second quarter of 2014. This decrease is primarily related to the decrease in activity in the energy sector. We expect gross margins from lease and rental sales of approximately 12.0% to 14.0% during 2015, as we expect to continue to expand our lease and rental fleet. Our policy is to depreciate our lease and rental fleet using a straight line method over each customer’s contractual lease term. The lease unit is depreciated to a residual value that approximates fair value at the expiration of the lease term. This policy results in reasonable gross margins while the unit is in service and a corresponding gain or loss on sale when the unit is sold at the end of the lease term.</w:t>
      </w:r>
    </w:p>
    <w:p>
      <w:pPr>
        <w:spacing w:after="0" w:line="193"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Finance and insurance revenues and other income, as described above, have limited direct costs and, therefore, contribute a disproportionate share of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Selling, General and Administrative (“SG&amp;A”) expenses increased $12.0 million, or 8.1%, in the second quarter of 2015, compared to the second quarter of 2014. SG&amp;A expenses as a percentage of total revenue decreased to 12.1% in the second quarter of 2015, from 12.6% in the second quarter of 2014. SG&amp;A expenses as a percentage of total revenues have historically ranged from 10.0% to 15.0%. In general, when new and used commercial vehicle revenues decrease as a percentage of total revenues, SG&amp;A expenses as a percentage of total revenues will be at, or exceed, the higher end of this range. For 2015, we expect SG&amp;A expenses as a percentage of total revenues to range from 12.0% to 14.0% and the selling portion of SG&amp;A expenses to be approximately 25% to 30% of new and used commercial vehicle gross profit. In 2015, we expect the general and administrative portion of SG&amp;A expenses to increase by approximately 8.0% to 11.0%.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Depreciation and amortization expense increased $1.7 million, or 18.0%, in the second quarter of 2015, compared to the second quarter of 2014.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increase is primarily due to the construction of new dealerships and dealership expansions.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interest expense increased $1.1 million, or 41.5%, in the second quarter of 2015 compared to the second quarter of 2014. Net interest expense in 2015 will depend on inventory levels and the amount of cash available to make prepayments on our floor plan financing agreement with General Electric Capital Commercial, Inc. (the “GE Credit Agreement”).</w:t>
      </w:r>
    </w:p>
    <w:p>
      <w:pPr>
        <w:spacing w:after="0" w:line="200" w:lineRule="exact"/>
        <w:rPr>
          <w:sz w:val="20"/>
          <w:szCs w:val="20"/>
          <w:color w:val="auto"/>
        </w:rPr>
      </w:pPr>
    </w:p>
    <w:p>
      <w:pPr>
        <w:spacing w:after="0" w:line="22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19" w:name="page20"/>
    <w:bookmarkEnd w:id="1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Income Taxes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a result of the factors described above, income before income taxes decreased $0.4 million, or 1.3% in the second quarter of 2015, compared to the second quarter of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Income taxes decreased $0.2 million, or 1.3%, in the second quarter of 2015, compared to the second quarter of 2014. We provided for taxes at a 38.75% effective rate in the second quarter of 2015 and the second quarter of 2014. We expect our effective tax rate to be approximately 38% to 39% of pretax income in 2015.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2015, Compared to Six Months Ended June 30, 2014</w:t>
      </w:r>
    </w:p>
    <w:p>
      <w:pPr>
        <w:spacing w:after="0" w:line="229"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Unless otherwise stated below, our variance explanations and future expectations with regard to the items discussed in this section are set forth in the discussion of the “Three Months Ended June 30, 2015, Compared to Three Months Ended June 30, 2014.”</w:t>
      </w:r>
    </w:p>
    <w:p>
      <w:pPr>
        <w:spacing w:after="0" w:line="170" w:lineRule="exact"/>
        <w:rPr>
          <w:sz w:val="20"/>
          <w:szCs w:val="20"/>
          <w:color w:val="auto"/>
        </w:rPr>
      </w:pPr>
    </w:p>
    <w:p>
      <w:pPr>
        <w:jc w:val="both"/>
        <w:ind w:right="40" w:firstLine="648"/>
        <w:spacing w:after="0" w:line="308" w:lineRule="auto"/>
        <w:rPr>
          <w:sz w:val="20"/>
          <w:szCs w:val="20"/>
          <w:color w:val="auto"/>
        </w:rPr>
      </w:pPr>
      <w:r>
        <w:rPr>
          <w:rFonts w:ascii="Arial" w:cs="Arial" w:eastAsia="Arial" w:hAnsi="Arial"/>
          <w:sz w:val="17"/>
          <w:szCs w:val="17"/>
          <w:color w:val="auto"/>
        </w:rPr>
        <w:t>Revenues increased $382.7 million, or 17.9%, in the first six months of 2015, compared to the first six months of 2014. Sales of new and used commercial vehicles increased $319.9 million, or 22.9%, in the first six months of 2015, compared to the first six months of 2014.</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Aftermarket Services revenues increased $50.3 million, or 7.9%, in the first six months of 2015, compared to the first six months of 2014.</w:t>
      </w:r>
    </w:p>
    <w:p>
      <w:pPr>
        <w:spacing w:after="0" w:line="237"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We sold 8,776 heavy-duty trucks in the first six months of 2015, a 38.6% increase compared to 6,330 heavy-duty trucks in the first six months of 2014. According to A.C.T. Research, retail sales in the U.S. Class 8 truck market increased 23.0% in the first six months of 2015, compared to the first six months of 2014.</w:t>
      </w:r>
    </w:p>
    <w:p>
      <w:pPr>
        <w:spacing w:after="0" w:line="18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We sold 5,588 medium-duty commercial vehicles, including 452 buses, in the first six months of 2015. This represented a 13.1% increase compared to 4,942 medium-duty commercial vehicles, including 807 buses, in the first six months of 2014. A.C.T. Research estimates that unit sales of Class 4 through 7 commercial vehicles in the U.S increased approximately 7.0% in the first six months of 2015, compared to the first six months of 2014.</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sold 3,871 used commercial vehicles in the first six months of 2015, a 3.9% increase compared to 3,724 used commercial vehicles in the first six months of 2014.</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Truck lease and rental revenues increased $12.0 million, or 14.2%, in the first six months of 2015, compared to the first six months of 2014.</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Finance and insurance revenues increased $0.9 million, or 9.4%, in the first six months of 2015, compared to the first six months of 2014.</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Gross profit increased $42.0 million, or 11.7%, in the first six months of 2015, compared to the first six months of 2014. Gross profit as a percentage of sales decreased to 15.9% in the first six months of 2015, from 16.8% in the first six months of 2014.</w:t>
      </w:r>
    </w:p>
    <w:p>
      <w:pPr>
        <w:spacing w:after="0" w:line="170" w:lineRule="exact"/>
        <w:rPr>
          <w:sz w:val="20"/>
          <w:szCs w:val="20"/>
          <w:color w:val="auto"/>
        </w:rPr>
      </w:pPr>
    </w:p>
    <w:p>
      <w:pPr>
        <w:jc w:val="both"/>
        <w:ind w:right="40" w:firstLine="648"/>
        <w:spacing w:after="0" w:line="291" w:lineRule="auto"/>
        <w:rPr>
          <w:sz w:val="20"/>
          <w:szCs w:val="20"/>
          <w:color w:val="auto"/>
        </w:rPr>
      </w:pPr>
      <w:r>
        <w:rPr>
          <w:rFonts w:ascii="Arial" w:cs="Arial" w:eastAsia="Arial" w:hAnsi="Arial"/>
          <w:sz w:val="16"/>
          <w:szCs w:val="16"/>
          <w:color w:val="auto"/>
        </w:rPr>
        <w:t>Gross margins from Aftermarket Services operations increased to 36.7% in the first six months of 2015, from 35.8% in the first six months of 2014. Gross profit for Aftermarket Services was $253.4 million in the first six months of 2015, compared to $229.3 million in the first six months of</w:t>
      </w:r>
    </w:p>
    <w:p>
      <w:pPr>
        <w:jc w:val="both"/>
        <w:ind w:right="20"/>
        <w:spacing w:after="0" w:line="255" w:lineRule="auto"/>
        <w:rPr>
          <w:sz w:val="20"/>
          <w:szCs w:val="20"/>
          <w:color w:val="auto"/>
        </w:rPr>
      </w:pPr>
      <w:r>
        <w:rPr>
          <w:rFonts w:ascii="Arial" w:cs="Arial" w:eastAsia="Arial" w:hAnsi="Arial"/>
          <w:sz w:val="18"/>
          <w:szCs w:val="18"/>
          <w:color w:val="auto"/>
        </w:rPr>
        <w:t>2014. Gross profits from parts sales represented 56% of total gross profit for Aftermarket Services operations in the first six months of 2015 and the first six months of 2014. Service and body shop operations represented 44% of total gross profit for Aftermarket Services operations in the first six months of 2015 and the first six months of 2014.</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Gross margins on Class 8 truck sales decreased to 6.7% in the first six months of 2015, from 7.5% in the first six months of 2014.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Gross margins on medium-duty commercial vehicle sales decreased to 5.4% in the first six months of 2015, from 5.6% in the first six months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2014.</w:t>
      </w:r>
    </w:p>
    <w:p>
      <w:pPr>
        <w:spacing w:after="0" w:line="200" w:lineRule="exact"/>
        <w:rPr>
          <w:sz w:val="20"/>
          <w:szCs w:val="20"/>
          <w:color w:val="auto"/>
        </w:rPr>
      </w:pPr>
    </w:p>
    <w:p>
      <w:pPr>
        <w:spacing w:after="0" w:line="25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20" w:name="page21"/>
    <w:bookmarkEnd w:id="2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Gross margins on used commercial vehicle sales increased to 11.8% in the first six months of 2015, from 10.1% in the first six months of 2014.</w:t>
      </w:r>
    </w:p>
    <w:p>
      <w:pPr>
        <w:spacing w:after="0" w:line="200" w:lineRule="exact"/>
        <w:rPr>
          <w:sz w:val="20"/>
          <w:szCs w:val="20"/>
          <w:color w:val="auto"/>
        </w:rPr>
      </w:pPr>
    </w:p>
    <w:p>
      <w:pPr>
        <w:spacing w:after="0" w:line="26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Gross margins from truck lease and rental sales decreased to 12.3% in the first six months of 2015, from approximately 12.8% in the first six months of 2014.</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Finance and insurance revenues and other income, as described above, has limited direct costs and, therefore, contributes a disproportionate share of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SG&amp;A expenses increased $30.2 million, or 10.7%, in the first six months of 2015, compared to the first six months of 2014. SG&amp;A expenses as a percentage of sales was 12.4% in the first six months of 2015, and 13.3% in the first six months of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and amortization expense increased $2.8 million, or 15.7%, in the first six months of 2015 compared to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interest expense increased $0.9 million, or 15.2%, in the first six months of 2015, compared to the first six months of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Income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Income before income taxes increased $7.3 million, or 14.1%, in the first six months of 2015, compared to the first six months of 2014.</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Income taxes increased $2.8 million, or 14.1%, in the first six months of 2015, compared to the first six months of 2014. We provided for taxes at a 38.75% rate in the first six months of 2015 and the first six months of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short-term cash requirements are primarily for working capital, inventory financing, the renovation and expansion of existing facilities and the construction or purchase of new facilities. Historically, these cash requirements have been met through the retention of profits, borrowings under our floor plan arrangements and bank financings. As of June 30, 2015, we had working capital of approximately $114.4 million, including $72.9 million in cash available to fund our operations. We believe that these funds are sufficient to meet our operating requirements for at least the next twelve months. From time to time, we utilize our excess cash on hand to pay down our outstanding borrowings under the GE Credit Agreement, and the resulting interest earned is recognized as an offset to our gross interest expense under the credit agreement.</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a secured line of credit that provides for a maximum borrowing of $17.5 million. There were no advances outstanding under this secured line of credit at June 30, 2015, however, $15.3 million was pledged to secure various letters of credit related to self-insurance products, leaving $2.2 million available for future borrowings as of June 30, 2015.</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long-term real estate debt and floor plan financing agreements require us to satisfy various financial ratios such as the debt-to-worth ratio, leverage ratio and the fixed charge coverage ratio and certain requirements for tangible net worth and GAAP net worth. As of June 30, 2015, we were in compliance with all debt covenants related to debt secured by real estate and lease and rental units and our floor plan credit agreements. We do not anticipate any breach of the covenants in the foreseeable future.</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expect to purchase or lease trucks worth approximately $200.0 million for our leasing operations during 2015, depending on customer demand, all of which will be financed. We also expect to make capital expenditures for recurring items such as computers, shop tools and equipment and vehicles of approximately $18.0 million to $20.0 million during 2015.</w:t>
      </w:r>
    </w:p>
    <w:p>
      <w:pPr>
        <w:spacing w:after="0" w:line="200" w:lineRule="exact"/>
        <w:rPr>
          <w:sz w:val="20"/>
          <w:szCs w:val="20"/>
          <w:color w:val="auto"/>
        </w:rPr>
      </w:pPr>
    </w:p>
    <w:p>
      <w:pPr>
        <w:spacing w:after="0" w:line="22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21" w:name="page22"/>
    <w:bookmarkEnd w:id="2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currently under contracts to construct dealership facilities in San Antonio, Texas, at an estimated cost of $12.0 million, Odessa, Texas at an estimated cost of $10.9 million, Denver, Colorado at an estimated cost of $17.3 million, Cincinnati, Ohio at an estimated cost of $12.7 million, Columbus, Ohio at an estimated cost of $16.7 million. We are also under contract to expand or remodel various other dealership facilities. These construction projects are estimated to continue through 2015.</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currently under contract to purchase a new corporate aircraft for $10.0 million plus the trade-in of the existing corporate aircraft which has a book value of $5.1 million at June 30, 2015.</w:t>
      </w:r>
    </w:p>
    <w:p>
      <w:pPr>
        <w:spacing w:after="0" w:line="170"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On May 4, 2015, we acquired certain assets of Yancey Truck Centers, LLC, which operated commercial vehicle dealerships in Albany, Blackshear, Tifton, Valdosta, Augusta, Columbus and Macon, Georgia. These locations are operating as Rush Truck Centers and offer commercial vehicle sales, parts and service for International trucks. We also acquired an Idealease commercial vehicle rental and leasing business. The purchase price for the assets, goodwill, franchise rights and dealership properties was approximately $30.1 million, which was paid in cash.</w:t>
      </w:r>
    </w:p>
    <w:p>
      <w:pPr>
        <w:spacing w:after="0" w:line="17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January 29, 2015, we announced that our Board of Directors authorized the repurchase, from time to time, of up to an aggregate of $40.0 million shares of Class A Common Stock and/or Class B Common Stock. The stock repurchase program extends the previous $40 million stock repurchase program that was announced on February 4, 2014 which was set to expire on February 3, 2015. During the second quarter of 2015, we did not purchase our Class B Common Stock under the repurchase program. Repurchases will be made at times and in amounts as we deem appropriate and will be made through open market transactions, privately negotiated transactions and other lawful means. The manner, timing and amount of any repurchases will be determined by us based on an evaluation of market conditions, stock price and other factors. The current stock repurchase program expires on February 3, 2016 and may be suspended or discontinued at any time. While the stock repurchase program does not obligate us to acquire any particular amount or class of common stock, we anticipate that we will be repurchasing primarily shares of our Class B Common Stock.</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anticipate funding the capital expenditures for the improvement and expansion of existing facilities and recurring expenses through our operating cash flows. We expect to fund the construction or purchase of new facilities through our operating cash flows or by financing 70% to 80% of the appraised value of such facility.</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no other material commitments for capital expenditures as of June 30, 2015, except that we will continue to purchase vehicles for our lease and rental division and authorize capital expenditures for improvement and expansion of our existing dealership facilities and construction or purchase of new facilities based on market opportunities.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Cash and cash equivalents decreased by $118.5 million during the six months ended June 30, 2015, and decreased by $86.3 million during the six months ended June 30, 2014. The major components of these changes are discussed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Cash flows from operating activities include net income adjusted for non-cash items and the effects of changes in working capital. During the first six months of 2015, operating activities resulted in net cash provided by operations of $62.3 million. Net cash provided by operating activities primarily consisted of $36.4 million in net income, as well as non-cash adjustments related to depreciation and amortization of $69.8 million, and stock-based compensation, including tax benefit, of $7.6 million. Cash used in operating activities included an aggregate of $48.3 million net change in operating assets and liabilities. Included in the net change in operating assets and liabilities were cash inflows of $17.3 from the decrease in prepaid expenses and other assets, net which were offset by cash outflows of $14.3 million from the net decrease in floor plan, trade, $20.3 million from increases in inventory, net of acquisitions, $4.7 million from an increase in accounts receivable, $1.1 million from decreases in accounts payable and accrued liabilities, and $25.2 million from a decrease in customer deposits. The majority of commercial vehicle inventory is financed through our floor plan credit agreements.</w:t>
      </w:r>
    </w:p>
    <w:p>
      <w:pPr>
        <w:spacing w:after="0" w:line="200" w:lineRule="exact"/>
        <w:rPr>
          <w:sz w:val="20"/>
          <w:szCs w:val="20"/>
          <w:color w:val="auto"/>
        </w:rPr>
      </w:pPr>
    </w:p>
    <w:p>
      <w:pPr>
        <w:spacing w:after="0" w:line="24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22" w:name="page23"/>
    <w:bookmarkEnd w:id="2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ind w:right="40" w:firstLine="648"/>
        <w:spacing w:after="0" w:line="272" w:lineRule="auto"/>
        <w:rPr>
          <w:sz w:val="20"/>
          <w:szCs w:val="20"/>
          <w:color w:val="auto"/>
        </w:rPr>
      </w:pPr>
      <w:r>
        <w:rPr>
          <w:rFonts w:ascii="Arial" w:cs="Arial" w:eastAsia="Arial" w:hAnsi="Arial"/>
          <w:sz w:val="17"/>
          <w:szCs w:val="17"/>
          <w:color w:val="auto"/>
        </w:rPr>
        <w:t>During the first six months of 2014, operating activities resulted in net cash provided by operations of $46.6 million. Net cash provided by operating activities primarily consisted of $31.9 million in net income, as well as non-cash adjustments related to depreciation and amortization of $59.3 million, and stock-based compensation, including tax benefit, of $2.8 million. Cash used in operating activities included an aggregate of $46.4 million net change in operating assets and liabilities. Included in the net change in operating assets and liabilities were cash inflows of $4.7 from the decrease in prepaid expenses and other assets, net, $20.9 million from increases in accounts payable and accrued liabilities and $19.9 million from the net increase in floor plan, trade, which were offset by cash outflows of $10.1 million from increases in inventory, net of acquisitions, $55.7 million from an increase in accounts receivable, and $26.1 million from a decrease in customer deposits.</w:t>
      </w:r>
    </w:p>
    <w:p>
      <w:pPr>
        <w:spacing w:after="0" w:line="178" w:lineRule="exact"/>
        <w:rPr>
          <w:sz w:val="20"/>
          <w:szCs w:val="20"/>
          <w:color w:val="auto"/>
        </w:rPr>
      </w:pPr>
    </w:p>
    <w:p>
      <w:pPr>
        <w:jc w:val="both"/>
        <w:ind w:right="40" w:firstLine="648"/>
        <w:spacing w:after="0" w:line="257" w:lineRule="auto"/>
        <w:rPr>
          <w:sz w:val="20"/>
          <w:szCs w:val="20"/>
          <w:color w:val="auto"/>
        </w:rPr>
      </w:pPr>
      <w:r>
        <w:rPr>
          <w:rFonts w:ascii="Arial" w:cs="Arial" w:eastAsia="Arial" w:hAnsi="Arial"/>
          <w:sz w:val="18"/>
          <w:szCs w:val="18"/>
          <w:color w:val="auto"/>
        </w:rPr>
        <w:t>In June 2012, we entered into a wholesale financing agreement with Ford Motor Credit Company that provides for the financing of, and is collateralized by, our Ford new vehicle inventory. This wholesale financing agreement bears interest at a rate of Prime plus 150 basis points minus certain incentives and rebates; however, the prime rate is defined to be a minimum of 3.75%. As of June 30, 2015, the interest rate on the wholesale financing agreement was 5.25% before considering the applicable incentives. As of June 30, 2015, we had an outstanding balance of $65.0 million under the Ford Motor Credit Company wholesale financing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jc w:val="both"/>
        <w:ind w:right="20" w:firstLine="648"/>
        <w:spacing w:after="0" w:line="270" w:lineRule="auto"/>
        <w:rPr>
          <w:sz w:val="20"/>
          <w:szCs w:val="20"/>
          <w:color w:val="auto"/>
        </w:rPr>
      </w:pPr>
      <w:r>
        <w:rPr>
          <w:rFonts w:ascii="Arial" w:cs="Arial" w:eastAsia="Arial" w:hAnsi="Arial"/>
          <w:sz w:val="17"/>
          <w:szCs w:val="17"/>
          <w:color w:val="auto"/>
        </w:rPr>
        <w:t>During the first six months of 2015, cash used in investing activities was $221.9 million. Cash flows used in investing activities consist primarily of cash used for capital expenditures and business acquisitions. Capital expenditures of $164.2 million during the first six months of 2015 consisted primarily of purchases of property and equipment and improvements to our existing dealership facilities. Property and equipment purchases during the first six months of 2015 included $99.5 million for additional units for the rental and leasing operations, which were directly offset by borrowings of long-term debt. Cash used for business acquisitions was $57.9 million during the six months ended June 30, 2015, which was partially offset by borrowings of long-term debt and floor plan notes payable. See Note 10 of the Notes to Consolidated Financial Statements for a detailed discussion of the business acquisitions. We expect to purchase or lease trucks worth approximately $200.0 million for our leasing operations in 2015, depending on customer demand, all of which will be financed. During 2015, we expect to make capital expenditures for recurring items such as computers, shop equipment and vehicles of $18.0 million to $20.0 million.</w:t>
      </w:r>
    </w:p>
    <w:p>
      <w:pPr>
        <w:spacing w:after="0" w:line="182" w:lineRule="exact"/>
        <w:rPr>
          <w:sz w:val="20"/>
          <w:szCs w:val="20"/>
          <w:color w:val="auto"/>
        </w:rPr>
      </w:pPr>
    </w:p>
    <w:p>
      <w:pPr>
        <w:jc w:val="both"/>
        <w:ind w:right="40" w:firstLine="648"/>
        <w:spacing w:after="0" w:line="257" w:lineRule="auto"/>
        <w:rPr>
          <w:sz w:val="20"/>
          <w:szCs w:val="20"/>
          <w:color w:val="auto"/>
        </w:rPr>
      </w:pPr>
      <w:r>
        <w:rPr>
          <w:rFonts w:ascii="Arial" w:cs="Arial" w:eastAsia="Arial" w:hAnsi="Arial"/>
          <w:sz w:val="18"/>
          <w:szCs w:val="18"/>
          <w:color w:val="auto"/>
        </w:rPr>
        <w:t>During the first six months of 2014, cash used in investing activities was $261.3 million. Capital expenditures during the first six months of 2014 consisted of purchases of property and equipment and improvements to our existing dealership facilities of $116.2 million. Property and equipment purchases during the first six months of 2014 included $81.5 million for additional units for rental and leasing operations, which were directly offset by borrowings of long-term debt. Cash used in business acquisitions was $147.3 million during the first six months of 2014, which was partially offset by borrowings of long-term debt and floor plan notes payable.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Cash flows from financing activities include borrowings and repayments of long-term debt and net proceeds of floor plan notes payable, non-trade. During the first six months of 2015, we generated $41.0 million in net cash flow from financing activities, primarily related to borrowings of $85.0 million of long-term debt, $39.8 million from net draws on floor plan notes payable, non-trade and $2.0 million from the issuance of shares related to equity compensation plans. These cash inflows were partially offset by cash outflows of $83.8 million used for principal repayments of long-term debt and capital lease obligations and $1.5 million used to purchase 56,077 shares of Rush Class B common stock during the first six months of 2015. The borrowings of long-term debt were primarily related to purchasing units for the rental and leasing operations.</w:t>
      </w:r>
    </w:p>
    <w:p>
      <w:pPr>
        <w:spacing w:after="0" w:line="178"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Cash provided by financing activities was $128.3 million during the first six months of 2014. We had borrowings of long-term debt of $114.2 million and repayments of long-term debt and capital lease obligations of $64.1 million during the first six months of 2014. We had net draws on floor plan notes payable – non-trade of $73.3 million during the first six months of 2014. The borrowings of long-term debt were primarily related to purchasing units for the rental and leasing operations.</w:t>
      </w:r>
    </w:p>
    <w:p>
      <w:pPr>
        <w:spacing w:after="0" w:line="200" w:lineRule="exact"/>
        <w:rPr>
          <w:sz w:val="20"/>
          <w:szCs w:val="20"/>
          <w:color w:val="auto"/>
        </w:rPr>
      </w:pPr>
    </w:p>
    <w:p>
      <w:pPr>
        <w:spacing w:after="0" w:line="23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23" w:name="page24"/>
    <w:bookmarkEnd w:id="2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Most of our commercial vehicle purchases are made on terms requiring payment to the manufacturer within 15 days or less from the date the commercial vehicles are invoiced from the factory. During the second quarter of 2015, we financed the majority of all new commercial vehicle inventory and the loan value of our used commercial vehicle inventory under the GE Credit Agreement. On June 30, 2015, we entered into the fourth amendment to the GE Credit Agreement. The fourth amendment increased the Maximum Consolidated Leverage Ratio (as such term is defined in the GE Credit Agreement) from 2.50 to 1.00 to 3.50 to 1.00. On July 11, 2013 we entered into the third amendment to the GE Credit Agreement. The third amendment increased the aggregate loan commitment to $750.0 million. Borrowings under the GE Credit Agreement bear interest at an annual rate equal to the three month LIBOR rate, determined on the last day of the prior month, plus 2.03% and are payable monthly. In addition, we are required to pay a monthly working capital fee equal to 0.35% per annum multiplied by the amount of voluntary prepayments of new and used inventory loans. Loans under the GE Credit Agreement for the purchase of used inventory are limited to $150.0 million. Pursuant to the third amendment, the GE Credit Agreement expires July 11, 2016, although GE Capital has the right to terminate the GE Credit Agreement at any time upon 120 days’ written notice. We may terminate the GE Credit Agreement at any time, although if we do so we must pay a prepayment processing fee of (i) $7,500,000 if it terminates on or prior to July 11, 2015 or (ii) $300,000 if it terminates thereafter, subject in each case to specified limited exceptions. On June 30, 2015, we had approximately $750.0 million outstanding under the GE Credit Agreement. The average daily outstanding borrowings under the GE Credit Agreement were $687.8 million during the six months ended June 30, 2015. Periodically, we utilize our excess cash on hand to pay down our outstanding borrowings under the GE Credit Agreement, and the resulting interest earned is recognized as an offset to our gross interest expense under the GE Credit Agreement.</w:t>
      </w:r>
    </w:p>
    <w:p>
      <w:pPr>
        <w:spacing w:after="0" w:line="16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Navistar Financial Corporation and Peterbilt offer trade terms that provide an interest-free inventory stocking period for certain new commercial vehicles. If the commercial vehicle is not sold within the interest-free period, we then finance the commercial vehicle under the GE Credit Agreement.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June 30, 2015, our backlog of commercial vehicle orders was approximately $1,054.9 million as compared to a backlog of commercial vehicle orders of approximately $1,279.9 million on June 30, 2014. Our backlog is determined quarterly by multiplying the number of new commercial vehicles for each particular type of commercial vehicle ordered by a customer at our Rush Truck Centers by the recent average selling price for that type of commercial vehicle. We include only confirmed orders in our backlog. However, such orders are subject to cancellation. In the event of order cancellation, we have no contractual right to the total revenues reflected in our backlog. The delivery time for a custom-ordered commercial vehicle varies depending on the truck specifications and demand for the particular model ordered. We sell the majority of our new heavy-duty commercial vehicles by customer special order and we sell the majority of our medium- and light-duty commercial vehicles out of inventory. Orders from a number of our major fleet customers are included in our backlog as of June 30, 2015 and we expect to fill the majority of our backlog orders during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Truck Segment is moderately seasonal. Seasonal effects on new commercial vehicle sales related to the seasonal purchasing patterns of any single customer type are mitigated by the diverse geographic locations of our dealerships and our diverse customer base, including regional and national fleets, local governments, corporations and owner operators. However, commercial vehicle parts and service operations historically have experienced higher sales volumes in the second and third quarters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Cyclicality</w:t>
      </w:r>
    </w:p>
    <w:p>
      <w:pPr>
        <w:spacing w:after="0" w:line="225" w:lineRule="exact"/>
        <w:rPr>
          <w:sz w:val="20"/>
          <w:szCs w:val="20"/>
          <w:color w:val="auto"/>
        </w:rPr>
      </w:pPr>
    </w:p>
    <w:p>
      <w:pPr>
        <w:jc w:val="both"/>
        <w:ind w:right="40" w:firstLine="648"/>
        <w:spacing w:after="0" w:line="255" w:lineRule="auto"/>
        <w:rPr>
          <w:sz w:val="20"/>
          <w:szCs w:val="20"/>
          <w:color w:val="auto"/>
        </w:rPr>
      </w:pPr>
      <w:r>
        <w:rPr>
          <w:rFonts w:ascii="Arial" w:cs="Arial" w:eastAsia="Arial" w:hAnsi="Arial"/>
          <w:sz w:val="18"/>
          <w:szCs w:val="18"/>
          <w:color w:val="auto"/>
        </w:rPr>
        <w:t>Our business is dependent on a number of factors relating to general economic conditions, including fuel prices, interest rate fluctuations, credit availability, economic recessions, environmental and other government regulations and customer business cycles. Unit sales of new commercial vehicles have historically been subject to substantial cyclical variation based on these general economic conditions. According to data published by A.C.T. Research, in recent years total U.S. retail sales of new Class 8 trucks have ranged from a low of approximately 97,000 in 2009, to a high of approximately 291,000 in 2006. Through geographic expansion, concentration on higher margin Aftermarket Services and diversification of our customer base, we have taken steps to reduce the negative impact of adverse general economic conditions or cyclical trends affecting the heavy-duty truck industry on our earnings.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Other than operating leases, we do not have any obligation under any transaction, agreement or other contractual arrangement to which an entity unconsolidated with the Company is a party, that has or is reasonably likely to have a material effect on our financial condition, changes in financial condition, revenues or expenses, results of operations, liquidity, capital expenditures or capital resources and that is material to investors.</w:t>
      </w:r>
    </w:p>
    <w:p>
      <w:pPr>
        <w:spacing w:after="0" w:line="39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24" w:name="page25"/>
    <w:bookmarkEnd w:id="2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Standards and Other Governmental Regulations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subject to a wide range of federal, state and local environmental laws and regulations, including those governing discharges into the air and water; the operation and removal of underground and aboveground storage tanks; the use, handling, storage and disposal of hazardous substances, petroleum and other materials; and the investigation and remediation of environmental impacts. As with commercial vehicle dealerships generally, and aftermarket services operations in particular, our business involves the generation, use, storage, handling and contracting for recycling or disposal of hazardous materials or wastes and other environmentally sensitive materials. We have incurred, and will continue to incur, capital and operating expenditures and other costs in complying with such laws and regulations.</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operations involving the use, handling, storage and disposal of hazardous and nonhazardous materials are subject to the requirements of the federal Resource Conservation and Recovery Act, or RCRA, and comparable state statutes. Pursuant to these laws, federal and state environmental agencies have established approved methods for handling, storage, treatment, transportation and disposal of regulated substances and wastes with which we must comply. Our business also involves the operation and use of aboveground and underground storage tanks. These storage tanks are subject to periodic testing, containment, upgrading and removal under RCRA and comparable state statutes. Furthermore, investigation or remediation may be necessary in the event of leaks or other discharges from current or former underground or aboveground storage tanks.</w:t>
      </w:r>
    </w:p>
    <w:p>
      <w:pPr>
        <w:spacing w:after="0" w:line="1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may also have liability in connection with materials that were sent to third-party recycling, treatment, or disposal facilities under the federal Comprehensive Environmental Response, Compensation and Liability Act, or CERCLA, and comparable state statutes. These statutes impose liability for investigation and remediation of environmental impacts without regard to fault or the legality of the conduct that contributed to the impacts. Responsible parties under these statutes may include the owner or operator of the site where impacts occurred and companies that disposed or arranged for the disposal of the hazardous substances released at these sites. These responsible parties also may be liable for damages to natural resources. In addition, it is not uncommon for neighboring landowners and other third parties to file claims for personal injury and property damage allegedly caused by the release of hazardous substances or other materials into the environment.</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federal Clean Water Act and comparable state statutes prohibit discharges into regulated waters without the necessary permits, require containment of potential discharges of oil or hazardous substances, and require preparation of spill contingency plans. Water quality protection programs govern certain discharges from some of our operations. Similarly, the federal Clean Air Act and comparable state statutes regulate emissions of various air emissions through permitting programs and the imposition of standards and other requirements.</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believe that we do not currently have any material environmental liabilities and that compliance with environmental laws and regulations will not, individually or in the aggregate, have a material adverse effect on our results of operations, financial condition or cash flows. However, soil and groundwater impacts are known to exist at some of our current properties. Further, environmental laws and regulations are complex and subject to change. In addition, in connection with acquisitions, it is possible that we will assume or become subject to new or unforeseen environmental costs or liabilities, some of which may be material. In connection with our dispositions, or prior dispositions made by companies we acquire, we may retain exposure for environmental costs and liabilities, some of which may be material. Compliance with current or amended, or new or more stringent, laws or regulations, stricter interpretations of existing laws or the future discovery of environmental conditions could require additional expenditures by us, and those expenditures could be material.</w:t>
      </w:r>
    </w:p>
    <w:p>
      <w:pPr>
        <w:spacing w:after="0" w:line="192" w:lineRule="exact"/>
        <w:rPr>
          <w:sz w:val="20"/>
          <w:szCs w:val="20"/>
          <w:color w:val="auto"/>
        </w:rPr>
      </w:pPr>
    </w:p>
    <w:p>
      <w:pPr>
        <w:jc w:val="both"/>
        <w:ind w:right="20" w:firstLine="648"/>
        <w:spacing w:after="0" w:line="290" w:lineRule="auto"/>
        <w:rPr>
          <w:sz w:val="20"/>
          <w:szCs w:val="20"/>
          <w:color w:val="auto"/>
        </w:rPr>
      </w:pPr>
      <w:r>
        <w:rPr>
          <w:rFonts w:ascii="Arial" w:cs="Arial" w:eastAsia="Arial" w:hAnsi="Arial"/>
          <w:sz w:val="16"/>
          <w:szCs w:val="16"/>
          <w:color w:val="auto"/>
        </w:rPr>
        <w:t>The Environmental Protection Agency (“EPA”) and the National Highway Traffic Safety Administration (“NHTSA”), on behalf of the U.S. Department of Transportation, issued final rules on September 15, 2011 associated with reducing greenhouse gas (“GHG”) emissions and improving the fuel efficiency of medium and heavy-duty trucks and buses beginning in model year 2014 and being phased in through model year 2018. On June 19, 2015, the EPA and NHTSA proposed further GHG and fuel efficiency standards that would apply to medium and heavy-duty vehicles and buses and would be phased in between model years 2021 through 2027. We do not believe that the foregoing adopted or proposed standards will negatively impact our business, however, future legislation or other new regulations that may be adopted to address GHG emissions or fuel efficiency standards may negatively impact our business. Additional regulations could result in increased compliance costs, additional operating restrictions or changes in demand for our products and services, which could have a material adverse effect on our business, financial condition and results of operations.</w:t>
      </w:r>
    </w:p>
    <w:p>
      <w:pPr>
        <w:spacing w:after="0" w:line="200" w:lineRule="exact"/>
        <w:rPr>
          <w:sz w:val="20"/>
          <w:szCs w:val="20"/>
          <w:color w:val="auto"/>
        </w:rPr>
      </w:pPr>
    </w:p>
    <w:p>
      <w:pPr>
        <w:spacing w:after="0" w:line="20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25" w:name="page26"/>
    <w:bookmarkEnd w:id="2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spacing w:after="0" w:line="170"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We are exposed to some market risk through interest rates related to our floor plan financing agreements, variable rate real estate debt and discount rates related to finance sales. The majority of floor plan debt and variable rate real estate debt is based on LIBOR. As of June 30, 2015, we had floor plan borrowings and variable interest rate real estate debt of approximately $949.1 million. Assuming an increase or decrease in LIBOR of 100 basis points, annual interest expense could correspondingly increase or decrease by approximately $9.5 million.</w:t>
      </w:r>
    </w:p>
    <w:p>
      <w:pPr>
        <w:spacing w:after="0" w:line="171"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We offer all customer financing opportunities to various finance providers. We receive all finance charges in excess of a negotiated discount rate from the finance providers in the month following the date of the financing. The negotiated discount rate is variable, thus subject to interest rate fluctuations. This interest rate risk is mitigated by our ability to pass discount rate increases to customers through higher financing rates.</w:t>
      </w:r>
    </w:p>
    <w:p>
      <w:pPr>
        <w:spacing w:after="0" w:line="147" w:lineRule="exact"/>
        <w:rPr>
          <w:sz w:val="20"/>
          <w:szCs w:val="20"/>
          <w:color w:val="auto"/>
        </w:rPr>
      </w:pPr>
    </w:p>
    <w:p>
      <w:pPr>
        <w:jc w:val="both"/>
        <w:ind w:right="20" w:firstLine="648"/>
        <w:spacing w:after="0" w:line="297" w:lineRule="auto"/>
        <w:rPr>
          <w:sz w:val="20"/>
          <w:szCs w:val="20"/>
          <w:color w:val="auto"/>
        </w:rPr>
      </w:pPr>
      <w:r>
        <w:rPr>
          <w:rFonts w:ascii="Arial" w:cs="Arial" w:eastAsia="Arial" w:hAnsi="Arial"/>
          <w:sz w:val="16"/>
          <w:szCs w:val="16"/>
          <w:color w:val="auto"/>
        </w:rPr>
        <w:t>We are exposed to some market risk through interest rate swaps on some of our variable interest rate real estate debt. As of June 30, 2015, we had interest rate swaps with a total notional amount of $5.1 million. The swaps were designed to provide a hedge against changes in interest rates on some of our variable interest rate real estate debt. The swaps are collateralized by the underlying real estate. These interest rate swaps qualify for cash flow hedge accounting treatment and are considered effective. For additional information about the effect of our derivative instruments on the accompanying consolidated financial statements, see Note 6 – Financial Instruments and Fair Value of the Notes to Consolidated Financial Statements.</w:t>
      </w:r>
    </w:p>
    <w:p>
      <w:pPr>
        <w:spacing w:after="0" w:line="158"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We are also exposed to some market risk through interest rates related to the investment of our current cash and cash equivalents, which totaled $72.9 million on June 30, 2015. These funds are generally invested in variable interest rate instruments in accordance with our investment policy. As such instruments mature and the funds are reinvested, we are exposed to changes in market interest rates. This risk is mitigated by management’s ongoing evaluation of the best investment rates available for current and noncurrent high quality investments. If market interest rates were to increase or decrease immediately and uniformly by 100 basis points, our annual interest income could correspondingly increase or decrease by approximately $0.7 million.</w:t>
      </w:r>
    </w:p>
    <w:p>
      <w:pPr>
        <w:spacing w:after="0" w:line="1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the past, we invested in interest-bearing short-term investments consisting of investment-grade auction rate securities classified as available-for-sale. Auctions for investment grade securities held by us have failed. The auction rate securities continue to pay interest in accordance with the terms of the underlying security; however, liquidity will be limited until there is a successful auction or until such time as other markets for these investments develop. As of June 30, 2015, we hold auction rate securities, with underlying tax-exempt municipal bonds that mature in 2030, that have a fair value of $6.7 million. Given the current market conditions in the auction rate securities market, if we determine that the fair value of these securities temporarily decreases by an additional 10%, our equity could correspondingly decrease by approximately $665,000. If it is determined that the fair value of these securities is other-than-temporarily impaired by 10%, we could record a loss on our Consolidated Statements of Income of approximately $665,000. For further discussion of the risks related to our auction rate securities, see Note 6 – Financial Instruments and Fair Value of the Notes to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The Company, under the supervision and with the participation of management, including the Company’s principal executive officer and chief financial officer, evaluated the effectiveness of our disclosure controls and procedures as of the end of the period covered by this report. Based on that evaluation, the principal executive officer and chief financial officer concluded that our disclosure controls and procedures were effective as of June 30, 2015 to ensure that information required to be disclosed in the reports filed or submitted under the Securities Exchange Act of 1934 is (i) recorded, processed, summarized and reported within the time periods specified in the Securities and Exchange Commission’s rules and forms, and (ii) is accumulated and communicated to Company management, including the principal executive officer and chief financial officer, as appropriate, to allow timely decisions regarding required disclosure.</w:t>
      </w:r>
    </w:p>
    <w:p>
      <w:pPr>
        <w:spacing w:after="0" w:line="18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that occurred during the three months ended June 30, 2015 that has materially affected, or is reasonably likely to materially affect, our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40"/>
          </w:cols>
          <w:pgMar w:left="240" w:top="118" w:right="619" w:bottom="1440" w:gutter="0" w:footer="0" w:header="0"/>
        </w:sectPr>
      </w:pPr>
    </w:p>
    <w:bookmarkStart w:id="26" w:name="page27"/>
    <w:bookmarkEnd w:id="2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From time to time, we are involved in litigation arising out of our operations in the ordinary course of business. We maintain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our financial condition or results of operations. We believe that there are no claims or litigation pending, the outcome of which could have a material adverse effect on our financial position or results of operations. However, due to the inherent uncertainty of litigation, there can be no assurance that the resolution of any particular claim or proceeding would not have a material adverse effect on our financial condition or results of operations for the fiscal period in which such resolution occurred.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While we attempt to identify, manage and mitigate risks and uncertainties associated with our business to the extent practical under the circumstances, some level of risk and uncertainty will always be present. Item 1A, Part I of our 2014 Annual Report on Form 10-K (the “2014 Annual Report”) describes some of the risks and uncertainties associated with our business that have the potential to materially affect our business, financial condition or results of operations.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has been no material change in our risk factors disclosed in our 2014 Annual Report.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make any unregistered sales of equity securities during the second quarter of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At our 2015 Annual Meeting of Shareholders, a shareholder proposal was introduced to adopt a recapitalization plan that would eliminate our dual-class capital structure and provide that each outstanding share of common stock has one vote. Although the shareholder proposal was not approved by the Company’s shareholders, we are listening to shareholder feedback regarding, and intend to explore options to address, shareholder concerns with respect to our dual-class capital structure and the differences in trading price and liquidity of our Class A common stock and Class B common stock.</w:t>
      </w:r>
    </w:p>
    <w:p>
      <w:pPr>
        <w:spacing w:after="0" w:line="39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20"/>
          </w:cols>
          <w:pgMar w:left="240" w:top="118" w:right="639" w:bottom="1440" w:gutter="0" w:footer="0" w:header="0"/>
        </w:sectPr>
      </w:pPr>
    </w:p>
    <w:bookmarkStart w:id="27" w:name="page28"/>
    <w:bookmarkEnd w:id="2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 w:type="dxa"/>
            <w:vAlign w:val="bottom"/>
          </w:tcPr>
          <w:p>
            <w:pPr>
              <w:spacing w:after="0"/>
              <w:rPr>
                <w:sz w:val="17"/>
                <w:szCs w:val="17"/>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Exhibit</w:t>
            </w:r>
          </w:p>
        </w:tc>
        <w:tc>
          <w:tcPr>
            <w:tcW w:w="99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Exhibit</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840" w:type="dxa"/>
            <w:vAlign w:val="bottom"/>
            <w:gridSpan w:val="2"/>
          </w:tcPr>
          <w:p>
            <w:pPr>
              <w:jc w:val="center"/>
              <w:ind w:right="200"/>
              <w:spacing w:after="0" w:line="196" w:lineRule="exact"/>
              <w:rPr>
                <w:sz w:val="20"/>
                <w:szCs w:val="20"/>
                <w:color w:val="auto"/>
              </w:rPr>
            </w:pPr>
            <w:r>
              <w:rPr>
                <w:rFonts w:ascii="Arial" w:cs="Arial" w:eastAsia="Arial" w:hAnsi="Arial"/>
                <w:sz w:val="18"/>
                <w:szCs w:val="18"/>
                <w:b w:val="1"/>
                <w:bCs w:val="1"/>
                <w:color w:val="auto"/>
                <w:w w:val="94"/>
              </w:rPr>
              <w:t>Number</w:t>
            </w:r>
          </w:p>
        </w:tc>
        <w:tc>
          <w:tcPr>
            <w:tcW w:w="54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b w:val="1"/>
                <w:bCs w:val="1"/>
                <w:i w:val="1"/>
                <w:iCs w:val="1"/>
                <w:color w:val="auto"/>
              </w:rPr>
              <w:t>Title</w:t>
            </w:r>
          </w:p>
        </w:tc>
        <w:tc>
          <w:tcPr>
            <w:tcW w:w="9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0" w:type="dxa"/>
            <w:vAlign w:val="bottom"/>
            <w:vMerge w:val="restart"/>
          </w:tcPr>
          <w:p>
            <w:pPr>
              <w:spacing w:after="0"/>
              <w:rPr>
                <w:sz w:val="20"/>
                <w:szCs w:val="20"/>
                <w:color w:val="auto"/>
              </w:rPr>
            </w:pPr>
          </w:p>
        </w:tc>
        <w:tc>
          <w:tcPr>
            <w:tcW w:w="64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3.1</w:t>
            </w:r>
          </w:p>
        </w:tc>
        <w:tc>
          <w:tcPr>
            <w:tcW w:w="200" w:type="dxa"/>
            <w:vAlign w:val="bottom"/>
            <w:vMerge w:val="restart"/>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9920" w:type="dxa"/>
            <w:vAlign w:val="bottom"/>
            <w:gridSpan w:val="3"/>
          </w:tcPr>
          <w:p>
            <w:pPr>
              <w:spacing w:after="0" w:line="195" w:lineRule="exact"/>
              <w:rPr>
                <w:sz w:val="20"/>
                <w:szCs w:val="20"/>
                <w:color w:val="auto"/>
              </w:rPr>
            </w:pPr>
            <w:r>
              <w:rPr>
                <w:rFonts w:ascii="Arial" w:cs="Arial" w:eastAsia="Arial" w:hAnsi="Arial"/>
                <w:sz w:val="18"/>
                <w:szCs w:val="18"/>
                <w:color w:val="auto"/>
                <w:w w:val="92"/>
              </w:rPr>
              <w:t>Restated Articles of Incorporation of Rush Enterprises, Inc. (incorporated herein by reference to Exhibit 3.1 of the Company’s Quarterly</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rPr>
              <w:t>Report on Form 10-Q (File No. 000-20797) for the quarter ended June 30, 2008)</w:t>
            </w:r>
          </w:p>
        </w:tc>
        <w:tc>
          <w:tcPr>
            <w:tcW w:w="0" w:type="dxa"/>
            <w:vAlign w:val="bottom"/>
          </w:tcPr>
          <w:p>
            <w:pPr>
              <w:spacing w:after="0"/>
              <w:rPr>
                <w:sz w:val="1"/>
                <w:szCs w:val="1"/>
                <w:color w:val="auto"/>
              </w:rPr>
            </w:pPr>
          </w:p>
        </w:tc>
      </w:tr>
      <w:tr>
        <w:trPr>
          <w:trHeight w:val="216"/>
        </w:trPr>
        <w:tc>
          <w:tcPr>
            <w:tcW w:w="840" w:type="dxa"/>
            <w:vAlign w:val="bottom"/>
            <w:gridSpan w:val="2"/>
          </w:tcPr>
          <w:p>
            <w:pPr>
              <w:jc w:val="center"/>
              <w:ind w:left="110"/>
              <w:spacing w:after="0"/>
              <w:rPr>
                <w:sz w:val="20"/>
                <w:szCs w:val="20"/>
                <w:color w:val="auto"/>
              </w:rPr>
            </w:pPr>
            <w:r>
              <w:rPr>
                <w:rFonts w:ascii="Arial" w:cs="Arial" w:eastAsia="Arial" w:hAnsi="Arial"/>
                <w:sz w:val="18"/>
                <w:szCs w:val="18"/>
                <w:color w:val="auto"/>
                <w:w w:val="95"/>
              </w:rPr>
              <w:t>3.2</w:t>
            </w:r>
          </w:p>
        </w:tc>
        <w:tc>
          <w:tcPr>
            <w:tcW w:w="200" w:type="dxa"/>
            <w:vAlign w:val="bottom"/>
          </w:tcPr>
          <w:p>
            <w:pPr>
              <w:spacing w:after="0"/>
              <w:rPr>
                <w:sz w:val="18"/>
                <w:szCs w:val="18"/>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w w:val="91"/>
              </w:rPr>
              <w:t>Rush Enterprises, Inc. Amended and Restated Bylaws (incorporated herein by reference to Exhibit 3.1 of the Company’s Current Report</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rPr>
              <w:t>on Form 8-K (File No. 000-20797) filed May 21, 2013)</w:t>
            </w:r>
          </w:p>
        </w:tc>
        <w:tc>
          <w:tcPr>
            <w:tcW w:w="0" w:type="dxa"/>
            <w:vAlign w:val="bottom"/>
          </w:tcPr>
          <w:p>
            <w:pPr>
              <w:spacing w:after="0"/>
              <w:rPr>
                <w:sz w:val="1"/>
                <w:szCs w:val="1"/>
                <w:color w:val="auto"/>
              </w:rPr>
            </w:pPr>
          </w:p>
        </w:tc>
      </w:tr>
      <w:tr>
        <w:trPr>
          <w:trHeight w:val="216"/>
        </w:trPr>
        <w:tc>
          <w:tcPr>
            <w:tcW w:w="840" w:type="dxa"/>
            <w:vAlign w:val="bottom"/>
            <w:gridSpan w:val="2"/>
          </w:tcPr>
          <w:p>
            <w:pPr>
              <w:jc w:val="center"/>
              <w:ind w:left="110"/>
              <w:spacing w:after="0"/>
              <w:rPr>
                <w:sz w:val="20"/>
                <w:szCs w:val="20"/>
                <w:color w:val="auto"/>
              </w:rPr>
            </w:pPr>
            <w:r>
              <w:rPr>
                <w:rFonts w:ascii="Arial" w:cs="Arial" w:eastAsia="Arial" w:hAnsi="Arial"/>
                <w:sz w:val="18"/>
                <w:szCs w:val="18"/>
                <w:color w:val="auto"/>
                <w:w w:val="91"/>
              </w:rPr>
              <w:t>10.1</w:t>
            </w:r>
          </w:p>
        </w:tc>
        <w:tc>
          <w:tcPr>
            <w:tcW w:w="200" w:type="dxa"/>
            <w:vAlign w:val="bottom"/>
          </w:tcPr>
          <w:p>
            <w:pPr>
              <w:spacing w:after="0"/>
              <w:rPr>
                <w:sz w:val="18"/>
                <w:szCs w:val="18"/>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w w:val="91"/>
              </w:rPr>
              <w:t>Fourth Amendment to Credit Agreement, dated as of June 30, 2015 by and among the Company, the Lenders signatory thereto and GE</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w w:val="92"/>
              </w:rPr>
              <w:t>Capital Commercial Inc., as Administrative Agent for the Lenders (incorporated herein by reference to Exhibit 10.01 on the Company’s</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rPr>
              <w:t>Current Report on Form 8-K (File No. 000-20797) filed July 7, 2015)</w:t>
            </w:r>
          </w:p>
        </w:tc>
        <w:tc>
          <w:tcPr>
            <w:tcW w:w="0" w:type="dxa"/>
            <w:vAlign w:val="bottom"/>
          </w:tcPr>
          <w:p>
            <w:pPr>
              <w:spacing w:after="0"/>
              <w:rPr>
                <w:sz w:val="1"/>
                <w:szCs w:val="1"/>
                <w:color w:val="auto"/>
              </w:rPr>
            </w:pPr>
          </w:p>
        </w:tc>
      </w:tr>
      <w:tr>
        <w:trPr>
          <w:trHeight w:val="216"/>
        </w:trPr>
        <w:tc>
          <w:tcPr>
            <w:tcW w:w="840" w:type="dxa"/>
            <w:vAlign w:val="bottom"/>
            <w:gridSpan w:val="2"/>
          </w:tcPr>
          <w:p>
            <w:pPr>
              <w:jc w:val="center"/>
              <w:ind w:left="110"/>
              <w:spacing w:after="0"/>
              <w:rPr>
                <w:sz w:val="20"/>
                <w:szCs w:val="20"/>
                <w:color w:val="auto"/>
              </w:rPr>
            </w:pPr>
            <w:r>
              <w:rPr>
                <w:rFonts w:ascii="Arial" w:cs="Arial" w:eastAsia="Arial" w:hAnsi="Arial"/>
                <w:sz w:val="18"/>
                <w:szCs w:val="18"/>
                <w:color w:val="auto"/>
                <w:w w:val="95"/>
              </w:rPr>
              <w:t>31.1*</w:t>
            </w:r>
          </w:p>
        </w:tc>
        <w:tc>
          <w:tcPr>
            <w:tcW w:w="200" w:type="dxa"/>
            <w:vAlign w:val="bottom"/>
          </w:tcPr>
          <w:p>
            <w:pPr>
              <w:spacing w:after="0"/>
              <w:rPr>
                <w:sz w:val="18"/>
                <w:szCs w:val="18"/>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w w:val="93"/>
              </w:rPr>
              <w:t>Certification of CEO pursuant to Rules 13a-14(a) and 15d-14(a) adopted pursuant to Section 302 of the Sarbanes-Oxley Act of 2002.</w:t>
            </w:r>
          </w:p>
        </w:tc>
        <w:tc>
          <w:tcPr>
            <w:tcW w:w="0" w:type="dxa"/>
            <w:vAlign w:val="bottom"/>
          </w:tcPr>
          <w:p>
            <w:pPr>
              <w:spacing w:after="0"/>
              <w:rPr>
                <w:sz w:val="1"/>
                <w:szCs w:val="1"/>
                <w:color w:val="auto"/>
              </w:rPr>
            </w:pPr>
          </w:p>
        </w:tc>
      </w:tr>
      <w:tr>
        <w:trPr>
          <w:trHeight w:val="216"/>
        </w:trPr>
        <w:tc>
          <w:tcPr>
            <w:tcW w:w="840" w:type="dxa"/>
            <w:vAlign w:val="bottom"/>
            <w:gridSpan w:val="2"/>
          </w:tcPr>
          <w:p>
            <w:pPr>
              <w:jc w:val="center"/>
              <w:ind w:left="110"/>
              <w:spacing w:after="0"/>
              <w:rPr>
                <w:sz w:val="20"/>
                <w:szCs w:val="20"/>
                <w:color w:val="auto"/>
              </w:rPr>
            </w:pPr>
            <w:r>
              <w:rPr>
                <w:rFonts w:ascii="Arial" w:cs="Arial" w:eastAsia="Arial" w:hAnsi="Arial"/>
                <w:sz w:val="18"/>
                <w:szCs w:val="18"/>
                <w:color w:val="auto"/>
                <w:w w:val="95"/>
              </w:rPr>
              <w:t>31.2*</w:t>
            </w:r>
          </w:p>
        </w:tc>
        <w:tc>
          <w:tcPr>
            <w:tcW w:w="200" w:type="dxa"/>
            <w:vAlign w:val="bottom"/>
          </w:tcPr>
          <w:p>
            <w:pPr>
              <w:spacing w:after="0"/>
              <w:rPr>
                <w:sz w:val="18"/>
                <w:szCs w:val="18"/>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w w:val="93"/>
              </w:rPr>
              <w:t>Certification of CFO pursuant to Rules 13a-14(a) and 15d-14(a) adopted pursuant to Section 302 of the Sarbanes-Oxley Act of 2002.</w:t>
            </w:r>
          </w:p>
        </w:tc>
        <w:tc>
          <w:tcPr>
            <w:tcW w:w="0" w:type="dxa"/>
            <w:vAlign w:val="bottom"/>
          </w:tcPr>
          <w:p>
            <w:pPr>
              <w:spacing w:after="0"/>
              <w:rPr>
                <w:sz w:val="1"/>
                <w:szCs w:val="1"/>
                <w:color w:val="auto"/>
              </w:rPr>
            </w:pPr>
          </w:p>
        </w:tc>
      </w:tr>
      <w:tr>
        <w:trPr>
          <w:trHeight w:val="216"/>
        </w:trPr>
        <w:tc>
          <w:tcPr>
            <w:tcW w:w="840" w:type="dxa"/>
            <w:vAlign w:val="bottom"/>
            <w:gridSpan w:val="2"/>
          </w:tcPr>
          <w:p>
            <w:pPr>
              <w:jc w:val="center"/>
              <w:ind w:left="170"/>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18"/>
                <w:szCs w:val="18"/>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w w:val="96"/>
              </w:rPr>
              <w:t>Certification of CEO pursuant to 18 U.S.C. Section 1350 as adopted pursuant to Section 906 of the Sarbanes-Oxley Act of 2002.</w:t>
            </w:r>
          </w:p>
        </w:tc>
        <w:tc>
          <w:tcPr>
            <w:tcW w:w="0" w:type="dxa"/>
            <w:vAlign w:val="bottom"/>
          </w:tcPr>
          <w:p>
            <w:pPr>
              <w:spacing w:after="0"/>
              <w:rPr>
                <w:sz w:val="1"/>
                <w:szCs w:val="1"/>
                <w:color w:val="auto"/>
              </w:rPr>
            </w:pPr>
          </w:p>
        </w:tc>
      </w:tr>
      <w:tr>
        <w:trPr>
          <w:trHeight w:val="216"/>
        </w:trPr>
        <w:tc>
          <w:tcPr>
            <w:tcW w:w="840" w:type="dxa"/>
            <w:vAlign w:val="bottom"/>
            <w:gridSpan w:val="2"/>
          </w:tcPr>
          <w:p>
            <w:pPr>
              <w:jc w:val="center"/>
              <w:ind w:left="170"/>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18"/>
                <w:szCs w:val="18"/>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w w:val="97"/>
              </w:rPr>
              <w:t>Certification of CFO pursuant to 18 U.S.C. Section 1350 as adopted pursuant to Section 906 of the Sarbanes-Oxley Act of 2002.</w:t>
            </w:r>
          </w:p>
        </w:tc>
        <w:tc>
          <w:tcPr>
            <w:tcW w:w="0" w:type="dxa"/>
            <w:vAlign w:val="bottom"/>
          </w:tcPr>
          <w:p>
            <w:pPr>
              <w:spacing w:after="0"/>
              <w:rPr>
                <w:sz w:val="1"/>
                <w:szCs w:val="1"/>
                <w:color w:val="auto"/>
              </w:rPr>
            </w:pPr>
          </w:p>
        </w:tc>
      </w:tr>
      <w:tr>
        <w:trPr>
          <w:trHeight w:val="216"/>
        </w:trPr>
        <w:tc>
          <w:tcPr>
            <w:tcW w:w="1040" w:type="dxa"/>
            <w:vAlign w:val="bottom"/>
            <w:gridSpan w:val="3"/>
          </w:tcPr>
          <w:p>
            <w:pPr>
              <w:spacing w:after="0"/>
              <w:rPr>
                <w:sz w:val="20"/>
                <w:szCs w:val="20"/>
                <w:color w:val="auto"/>
              </w:rPr>
            </w:pPr>
            <w:r>
              <w:rPr>
                <w:rFonts w:ascii="Arial" w:cs="Arial" w:eastAsia="Arial" w:hAnsi="Arial"/>
                <w:sz w:val="18"/>
                <w:szCs w:val="18"/>
                <w:color w:val="auto"/>
              </w:rPr>
              <w:t>101.INS*</w:t>
            </w:r>
          </w:p>
        </w:tc>
        <w:tc>
          <w:tcPr>
            <w:tcW w:w="9920" w:type="dxa"/>
            <w:vAlign w:val="bottom"/>
            <w:gridSpan w:val="3"/>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1040" w:type="dxa"/>
            <w:vAlign w:val="bottom"/>
            <w:gridSpan w:val="3"/>
          </w:tcPr>
          <w:p>
            <w:pPr>
              <w:spacing w:after="0"/>
              <w:rPr>
                <w:sz w:val="20"/>
                <w:szCs w:val="20"/>
                <w:color w:val="auto"/>
              </w:rPr>
            </w:pPr>
            <w:r>
              <w:rPr>
                <w:rFonts w:ascii="Arial" w:cs="Arial" w:eastAsia="Arial" w:hAnsi="Arial"/>
                <w:sz w:val="18"/>
                <w:szCs w:val="18"/>
                <w:color w:val="auto"/>
              </w:rPr>
              <w:t>101.SCH*</w:t>
            </w:r>
          </w:p>
        </w:tc>
        <w:tc>
          <w:tcPr>
            <w:tcW w:w="9920" w:type="dxa"/>
            <w:vAlign w:val="bottom"/>
            <w:gridSpan w:val="3"/>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1040" w:type="dxa"/>
            <w:vAlign w:val="bottom"/>
            <w:gridSpan w:val="3"/>
          </w:tcPr>
          <w:p>
            <w:pPr>
              <w:spacing w:after="0"/>
              <w:rPr>
                <w:sz w:val="20"/>
                <w:szCs w:val="20"/>
                <w:color w:val="auto"/>
              </w:rPr>
            </w:pPr>
            <w:r>
              <w:rPr>
                <w:rFonts w:ascii="Arial" w:cs="Arial" w:eastAsia="Arial" w:hAnsi="Arial"/>
                <w:sz w:val="18"/>
                <w:szCs w:val="18"/>
                <w:color w:val="auto"/>
              </w:rPr>
              <w:t>101.CAL*</w:t>
            </w:r>
          </w:p>
        </w:tc>
        <w:tc>
          <w:tcPr>
            <w:tcW w:w="992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1040" w:type="dxa"/>
            <w:vAlign w:val="bottom"/>
            <w:gridSpan w:val="3"/>
          </w:tcPr>
          <w:p>
            <w:pPr>
              <w:spacing w:after="0"/>
              <w:rPr>
                <w:sz w:val="20"/>
                <w:szCs w:val="20"/>
                <w:color w:val="auto"/>
              </w:rPr>
            </w:pPr>
            <w:r>
              <w:rPr>
                <w:rFonts w:ascii="Arial" w:cs="Arial" w:eastAsia="Arial" w:hAnsi="Arial"/>
                <w:sz w:val="18"/>
                <w:szCs w:val="18"/>
                <w:color w:val="auto"/>
              </w:rPr>
              <w:t>101.DEF*</w:t>
            </w:r>
          </w:p>
        </w:tc>
        <w:tc>
          <w:tcPr>
            <w:tcW w:w="9920" w:type="dxa"/>
            <w:vAlign w:val="bottom"/>
            <w:gridSpan w:val="3"/>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1040" w:type="dxa"/>
            <w:vAlign w:val="bottom"/>
            <w:gridSpan w:val="3"/>
          </w:tcPr>
          <w:p>
            <w:pPr>
              <w:spacing w:after="0"/>
              <w:rPr>
                <w:sz w:val="20"/>
                <w:szCs w:val="20"/>
                <w:color w:val="auto"/>
              </w:rPr>
            </w:pPr>
            <w:r>
              <w:rPr>
                <w:rFonts w:ascii="Arial" w:cs="Arial" w:eastAsia="Arial" w:hAnsi="Arial"/>
                <w:sz w:val="18"/>
                <w:szCs w:val="18"/>
                <w:color w:val="auto"/>
              </w:rPr>
              <w:t>101.LAB*</w:t>
            </w:r>
          </w:p>
        </w:tc>
        <w:tc>
          <w:tcPr>
            <w:tcW w:w="9920" w:type="dxa"/>
            <w:vAlign w:val="bottom"/>
            <w:gridSpan w:val="3"/>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1040" w:type="dxa"/>
            <w:vAlign w:val="bottom"/>
            <w:gridSpan w:val="3"/>
          </w:tcPr>
          <w:p>
            <w:pPr>
              <w:spacing w:after="0"/>
              <w:rPr>
                <w:sz w:val="20"/>
                <w:szCs w:val="20"/>
                <w:color w:val="auto"/>
              </w:rPr>
            </w:pPr>
            <w:r>
              <w:rPr>
                <w:rFonts w:ascii="Arial" w:cs="Arial" w:eastAsia="Arial" w:hAnsi="Arial"/>
                <w:sz w:val="18"/>
                <w:szCs w:val="18"/>
                <w:color w:val="auto"/>
              </w:rPr>
              <w:t>101.PRE*</w:t>
            </w:r>
          </w:p>
        </w:tc>
        <w:tc>
          <w:tcPr>
            <w:tcW w:w="9920" w:type="dxa"/>
            <w:vAlign w:val="bottom"/>
            <w:gridSpan w:val="3"/>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60" w:hanging="652"/>
        <w:spacing w:after="0" w:line="25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exhibit shall not be deemed “filed” for purposes of Section 18 of the Securities Exchange Act of 1934, or otherwise subject to the liability of that section, and shall not be deemed to be incorporated by reference into any filing under the Securities Act of 1933 or the Securities Exchange Act of 1934.</w:t>
      </w:r>
    </w:p>
    <w:p>
      <w:pPr>
        <w:spacing w:after="0" w:line="200" w:lineRule="exact"/>
        <w:rPr>
          <w:sz w:val="20"/>
          <w:szCs w:val="20"/>
          <w:color w:val="auto"/>
        </w:rPr>
      </w:pPr>
    </w:p>
    <w:p>
      <w:pPr>
        <w:spacing w:after="0" w:line="2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20"/>
          </w:cols>
          <w:pgMar w:left="240" w:top="118" w:right="339" w:bottom="1440" w:gutter="0" w:footer="0" w:header="0"/>
        </w:sectPr>
      </w:pPr>
    </w:p>
    <w:bookmarkStart w:id="28" w:name="page29"/>
    <w:bookmarkEnd w:id="2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RUSH ENTERPRISES,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3180" w:type="dxa"/>
            <w:vAlign w:val="bottom"/>
          </w:tcPr>
          <w:p>
            <w:pPr>
              <w:ind w:left="120"/>
              <w:spacing w:after="0"/>
              <w:rPr>
                <w:sz w:val="20"/>
                <w:szCs w:val="20"/>
                <w:color w:val="auto"/>
              </w:rPr>
            </w:pPr>
            <w:r>
              <w:rPr>
                <w:rFonts w:ascii="Arial" w:cs="Arial" w:eastAsia="Arial" w:hAnsi="Arial"/>
                <w:sz w:val="18"/>
                <w:szCs w:val="18"/>
                <w:color w:val="auto"/>
              </w:rPr>
              <w:t>August 7, 2015</w:t>
            </w:r>
          </w:p>
        </w:tc>
        <w:tc>
          <w:tcPr>
            <w:tcW w:w="2420" w:type="dxa"/>
            <w:vAlign w:val="bottom"/>
          </w:tcPr>
          <w:p>
            <w:pPr>
              <w:ind w:left="2020"/>
              <w:spacing w:after="0"/>
              <w:rPr>
                <w:sz w:val="20"/>
                <w:szCs w:val="20"/>
                <w:color w:val="auto"/>
              </w:rPr>
            </w:pPr>
            <w:r>
              <w:rPr>
                <w:rFonts w:ascii="Arial" w:cs="Arial" w:eastAsia="Arial" w:hAnsi="Arial"/>
                <w:sz w:val="18"/>
                <w:szCs w:val="18"/>
                <w:color w:val="auto"/>
              </w:rPr>
              <w:t>By:</w:t>
            </w:r>
          </w:p>
        </w:tc>
        <w:tc>
          <w:tcPr>
            <w:tcW w:w="5360" w:type="dxa"/>
            <w:vAlign w:val="bottom"/>
            <w:gridSpan w:val="3"/>
          </w:tcPr>
          <w:p>
            <w:pPr>
              <w:spacing w:after="0"/>
              <w:rPr>
                <w:sz w:val="20"/>
                <w:szCs w:val="20"/>
                <w:color w:val="auto"/>
              </w:rPr>
            </w:pPr>
            <w:r>
              <w:rPr>
                <w:rFonts w:ascii="Arial" w:cs="Arial" w:eastAsia="Arial" w:hAnsi="Arial"/>
                <w:sz w:val="18"/>
                <w:szCs w:val="18"/>
                <w:color w:val="auto"/>
              </w:rPr>
              <w:t>/S/ W.M. “RUSTY” RUSH</w:t>
            </w:r>
          </w:p>
        </w:tc>
      </w:tr>
      <w:tr>
        <w:trPr>
          <w:trHeight w:val="222"/>
        </w:trPr>
        <w:tc>
          <w:tcPr>
            <w:tcW w:w="5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9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W.M. “Rusty” Rush</w:t>
            </w:r>
          </w:p>
        </w:tc>
        <w:tc>
          <w:tcPr>
            <w:tcW w:w="3400" w:type="dxa"/>
            <w:vAlign w:val="bottom"/>
          </w:tcPr>
          <w:p>
            <w:pPr>
              <w:spacing w:after="0"/>
              <w:rPr>
                <w:sz w:val="19"/>
                <w:szCs w:val="19"/>
                <w:color w:val="auto"/>
              </w:rPr>
            </w:pPr>
          </w:p>
        </w:tc>
      </w:tr>
      <w:tr>
        <w:trPr>
          <w:trHeight w:val="216"/>
        </w:trPr>
        <w:tc>
          <w:tcPr>
            <w:tcW w:w="5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360" w:type="dxa"/>
            <w:vAlign w:val="bottom"/>
            <w:gridSpan w:val="3"/>
          </w:tcPr>
          <w:p>
            <w:pPr>
              <w:spacing w:after="0"/>
              <w:rPr>
                <w:sz w:val="20"/>
                <w:szCs w:val="20"/>
                <w:color w:val="auto"/>
              </w:rPr>
            </w:pPr>
            <w:r>
              <w:rPr>
                <w:rFonts w:ascii="Arial" w:cs="Arial" w:eastAsia="Arial" w:hAnsi="Arial"/>
                <w:sz w:val="18"/>
                <w:szCs w:val="18"/>
                <w:color w:val="auto"/>
              </w:rPr>
              <w:t>President, Chief Executive Officer and</w:t>
            </w:r>
          </w:p>
        </w:tc>
      </w:tr>
      <w:tr>
        <w:trPr>
          <w:trHeight w:val="216"/>
        </w:trPr>
        <w:tc>
          <w:tcPr>
            <w:tcW w:w="5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360" w:type="dxa"/>
            <w:vAlign w:val="bottom"/>
            <w:gridSpan w:val="3"/>
          </w:tcPr>
          <w:p>
            <w:pPr>
              <w:spacing w:after="0"/>
              <w:rPr>
                <w:sz w:val="20"/>
                <w:szCs w:val="20"/>
                <w:color w:val="auto"/>
              </w:rPr>
            </w:pPr>
            <w:r>
              <w:rPr>
                <w:rFonts w:ascii="Arial" w:cs="Arial" w:eastAsia="Arial" w:hAnsi="Arial"/>
                <w:sz w:val="18"/>
                <w:szCs w:val="18"/>
                <w:color w:val="auto"/>
              </w:rPr>
              <w:t>Chairman of the Board</w:t>
            </w:r>
          </w:p>
        </w:tc>
      </w:tr>
      <w:tr>
        <w:trPr>
          <w:trHeight w:val="230"/>
        </w:trPr>
        <w:tc>
          <w:tcPr>
            <w:tcW w:w="5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360" w:type="dxa"/>
            <w:vAlign w:val="bottom"/>
            <w:gridSpan w:val="3"/>
          </w:tcPr>
          <w:p>
            <w:pPr>
              <w:spacing w:after="0"/>
              <w:rPr>
                <w:sz w:val="20"/>
                <w:szCs w:val="20"/>
                <w:color w:val="auto"/>
              </w:rPr>
            </w:pPr>
            <w:r>
              <w:rPr>
                <w:rFonts w:ascii="Arial" w:cs="Arial" w:eastAsia="Arial" w:hAnsi="Arial"/>
                <w:sz w:val="18"/>
                <w:szCs w:val="18"/>
                <w:color w:val="auto"/>
              </w:rPr>
              <w:t>(Principal Executive Officer)</w:t>
            </w:r>
          </w:p>
        </w:tc>
      </w:tr>
      <w:tr>
        <w:trPr>
          <w:trHeight w:val="824"/>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3180" w:type="dxa"/>
            <w:vAlign w:val="bottom"/>
          </w:tcPr>
          <w:p>
            <w:pPr>
              <w:ind w:left="120"/>
              <w:spacing w:after="0"/>
              <w:rPr>
                <w:sz w:val="20"/>
                <w:szCs w:val="20"/>
                <w:color w:val="auto"/>
              </w:rPr>
            </w:pPr>
            <w:r>
              <w:rPr>
                <w:rFonts w:ascii="Arial" w:cs="Arial" w:eastAsia="Arial" w:hAnsi="Arial"/>
                <w:sz w:val="18"/>
                <w:szCs w:val="18"/>
                <w:color w:val="auto"/>
              </w:rPr>
              <w:t>August 7, 2015</w:t>
            </w:r>
          </w:p>
        </w:tc>
        <w:tc>
          <w:tcPr>
            <w:tcW w:w="2420" w:type="dxa"/>
            <w:vAlign w:val="bottom"/>
          </w:tcPr>
          <w:p>
            <w:pPr>
              <w:ind w:left="2020"/>
              <w:spacing w:after="0"/>
              <w:rPr>
                <w:sz w:val="20"/>
                <w:szCs w:val="20"/>
                <w:color w:val="auto"/>
              </w:rPr>
            </w:pPr>
            <w:r>
              <w:rPr>
                <w:rFonts w:ascii="Arial" w:cs="Arial" w:eastAsia="Arial" w:hAnsi="Arial"/>
                <w:sz w:val="18"/>
                <w:szCs w:val="18"/>
                <w:color w:val="auto"/>
              </w:rPr>
              <w:t>By:</w:t>
            </w:r>
          </w:p>
        </w:tc>
        <w:tc>
          <w:tcPr>
            <w:tcW w:w="5360" w:type="dxa"/>
            <w:vAlign w:val="bottom"/>
            <w:gridSpan w:val="3"/>
          </w:tcPr>
          <w:p>
            <w:pPr>
              <w:spacing w:after="0"/>
              <w:rPr>
                <w:sz w:val="20"/>
                <w:szCs w:val="20"/>
                <w:color w:val="auto"/>
              </w:rPr>
            </w:pPr>
            <w:r>
              <w:rPr>
                <w:rFonts w:ascii="Arial" w:cs="Arial" w:eastAsia="Arial" w:hAnsi="Arial"/>
                <w:sz w:val="18"/>
                <w:szCs w:val="18"/>
                <w:color w:val="auto"/>
              </w:rPr>
              <w:t>/S/ STEVEN L. KELLER</w:t>
            </w:r>
          </w:p>
        </w:tc>
      </w:tr>
      <w:tr>
        <w:trPr>
          <w:trHeight w:val="222"/>
        </w:trPr>
        <w:tc>
          <w:tcPr>
            <w:tcW w:w="5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Steven L. Keller</w:t>
            </w:r>
          </w:p>
        </w:tc>
        <w:tc>
          <w:tcPr>
            <w:tcW w:w="3500" w:type="dxa"/>
            <w:vAlign w:val="bottom"/>
            <w:gridSpan w:val="2"/>
          </w:tcPr>
          <w:p>
            <w:pPr>
              <w:spacing w:after="0"/>
              <w:rPr>
                <w:sz w:val="19"/>
                <w:szCs w:val="19"/>
                <w:color w:val="auto"/>
              </w:rPr>
            </w:pPr>
          </w:p>
        </w:tc>
      </w:tr>
      <w:tr>
        <w:trPr>
          <w:trHeight w:val="216"/>
        </w:trPr>
        <w:tc>
          <w:tcPr>
            <w:tcW w:w="5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360" w:type="dxa"/>
            <w:vAlign w:val="bottom"/>
            <w:gridSpan w:val="3"/>
          </w:tcPr>
          <w:p>
            <w:pPr>
              <w:spacing w:after="0"/>
              <w:rPr>
                <w:sz w:val="20"/>
                <w:szCs w:val="20"/>
                <w:color w:val="auto"/>
              </w:rPr>
            </w:pPr>
            <w:r>
              <w:rPr>
                <w:rFonts w:ascii="Arial" w:cs="Arial" w:eastAsia="Arial" w:hAnsi="Arial"/>
                <w:sz w:val="18"/>
                <w:szCs w:val="18"/>
                <w:color w:val="auto"/>
              </w:rPr>
              <w:t>Senior Vice President, Chief Financial Officer and</w:t>
            </w:r>
          </w:p>
        </w:tc>
      </w:tr>
      <w:tr>
        <w:trPr>
          <w:trHeight w:val="216"/>
        </w:trPr>
        <w:tc>
          <w:tcPr>
            <w:tcW w:w="5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360" w:type="dxa"/>
            <w:vAlign w:val="bottom"/>
            <w:gridSpan w:val="3"/>
          </w:tcPr>
          <w:p>
            <w:pPr>
              <w:spacing w:after="0"/>
              <w:rPr>
                <w:sz w:val="20"/>
                <w:szCs w:val="20"/>
                <w:color w:val="auto"/>
              </w:rPr>
            </w:pPr>
            <w:r>
              <w:rPr>
                <w:rFonts w:ascii="Arial" w:cs="Arial" w:eastAsia="Arial" w:hAnsi="Arial"/>
                <w:sz w:val="18"/>
                <w:szCs w:val="18"/>
                <w:color w:val="auto"/>
              </w:rPr>
              <w:t>Treasurer</w:t>
            </w:r>
          </w:p>
        </w:tc>
      </w:tr>
      <w:tr>
        <w:trPr>
          <w:trHeight w:val="230"/>
        </w:trPr>
        <w:tc>
          <w:tcPr>
            <w:tcW w:w="5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360" w:type="dxa"/>
            <w:vAlign w:val="bottom"/>
            <w:gridSpan w:val="3"/>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729"/>
        </w:trPr>
        <w:tc>
          <w:tcPr>
            <w:tcW w:w="5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420" w:type="dxa"/>
            <w:vAlign w:val="bottom"/>
          </w:tcPr>
          <w:p>
            <w:pPr>
              <w:jc w:val="right"/>
              <w:ind w:right="210"/>
              <w:spacing w:after="0"/>
              <w:rPr>
                <w:sz w:val="20"/>
                <w:szCs w:val="20"/>
                <w:color w:val="auto"/>
              </w:rPr>
            </w:pPr>
            <w:r>
              <w:rPr>
                <w:rFonts w:ascii="Arial" w:cs="Arial" w:eastAsia="Arial" w:hAnsi="Arial"/>
                <w:sz w:val="18"/>
                <w:szCs w:val="18"/>
                <w:color w:val="auto"/>
              </w:rPr>
              <w:t>29</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105"/>
        </w:trPr>
        <w:tc>
          <w:tcPr>
            <w:tcW w:w="500" w:type="dxa"/>
            <w:vAlign w:val="bottom"/>
          </w:tcPr>
          <w:p>
            <w:pPr>
              <w:spacing w:after="0"/>
              <w:rPr>
                <w:sz w:val="9"/>
                <w:szCs w:val="9"/>
                <w:color w:val="auto"/>
              </w:rPr>
            </w:pPr>
          </w:p>
        </w:tc>
        <w:tc>
          <w:tcPr>
            <w:tcW w:w="318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0" w:type="dxa"/>
            <w:vAlign w:val="bottom"/>
          </w:tcPr>
          <w:p>
            <w:pPr>
              <w:spacing w:after="0"/>
              <w:rPr>
                <w:sz w:val="9"/>
                <w:szCs w:val="9"/>
                <w:color w:val="auto"/>
              </w:rPr>
            </w:pPr>
          </w:p>
        </w:tc>
      </w:tr>
      <w:tr>
        <w:trPr>
          <w:trHeight w:val="61"/>
        </w:trPr>
        <w:tc>
          <w:tcPr>
            <w:tcW w:w="500" w:type="dxa"/>
            <w:vAlign w:val="bottom"/>
            <w:shd w:val="clear" w:color="auto" w:fill="808080"/>
          </w:tcPr>
          <w:p>
            <w:pPr>
              <w:spacing w:after="0"/>
              <w:rPr>
                <w:sz w:val="5"/>
                <w:szCs w:val="5"/>
                <w:color w:val="auto"/>
              </w:rPr>
            </w:pPr>
          </w:p>
        </w:tc>
        <w:tc>
          <w:tcPr>
            <w:tcW w:w="3180" w:type="dxa"/>
            <w:vAlign w:val="bottom"/>
            <w:shd w:val="clear" w:color="auto" w:fill="808080"/>
          </w:tcPr>
          <w:p>
            <w:pPr>
              <w:spacing w:after="0"/>
              <w:rPr>
                <w:sz w:val="5"/>
                <w:szCs w:val="5"/>
                <w:color w:val="auto"/>
              </w:rPr>
            </w:pPr>
          </w:p>
        </w:tc>
        <w:tc>
          <w:tcPr>
            <w:tcW w:w="2420" w:type="dxa"/>
            <w:vAlign w:val="bottom"/>
            <w:shd w:val="clear" w:color="auto" w:fill="808080"/>
          </w:tcPr>
          <w:p>
            <w:pPr>
              <w:spacing w:after="0"/>
              <w:rPr>
                <w:sz w:val="5"/>
                <w:szCs w:val="5"/>
                <w:color w:val="auto"/>
              </w:rPr>
            </w:pPr>
          </w:p>
        </w:tc>
        <w:tc>
          <w:tcPr>
            <w:tcW w:w="18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4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18" w:right="199" w:bottom="1440" w:gutter="0" w:footer="0" w:header="0"/>
        </w:sectPr>
      </w:pPr>
    </w:p>
    <w:bookmarkStart w:id="29" w:name="page30"/>
    <w:bookmarkEnd w:id="2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500" w:type="dxa"/>
            <w:vAlign w:val="bottom"/>
          </w:tcPr>
          <w:p>
            <w:pPr>
              <w:ind w:left="33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824"/>
        </w:trPr>
        <w:tc>
          <w:tcPr>
            <w:tcW w:w="120" w:type="dxa"/>
            <w:vAlign w:val="bottom"/>
          </w:tcPr>
          <w:p>
            <w:pPr>
              <w:spacing w:after="0"/>
              <w:rPr>
                <w:sz w:val="24"/>
                <w:szCs w:val="2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Exhibit</w:t>
            </w:r>
          </w:p>
        </w:tc>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3"/>
              </w:rPr>
              <w:t>Exhibit</w:t>
            </w:r>
          </w:p>
        </w:tc>
        <w:tc>
          <w:tcPr>
            <w:tcW w:w="9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760" w:type="dxa"/>
            <w:vAlign w:val="bottom"/>
            <w:gridSpan w:val="2"/>
          </w:tcPr>
          <w:p>
            <w:pPr>
              <w:jc w:val="center"/>
              <w:ind w:right="120"/>
              <w:spacing w:after="0" w:line="196" w:lineRule="exact"/>
              <w:rPr>
                <w:sz w:val="20"/>
                <w:szCs w:val="20"/>
                <w:color w:val="auto"/>
              </w:rPr>
            </w:pPr>
            <w:r>
              <w:rPr>
                <w:rFonts w:ascii="Arial" w:cs="Arial" w:eastAsia="Arial" w:hAnsi="Arial"/>
                <w:sz w:val="18"/>
                <w:szCs w:val="18"/>
                <w:b w:val="1"/>
                <w:bCs w:val="1"/>
                <w:color w:val="auto"/>
                <w:w w:val="94"/>
              </w:rPr>
              <w:t>Number</w:t>
            </w:r>
          </w:p>
        </w:tc>
        <w:tc>
          <w:tcPr>
            <w:tcW w:w="1008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Title</w:t>
            </w:r>
          </w:p>
        </w:tc>
        <w:tc>
          <w:tcPr>
            <w:tcW w:w="0" w:type="dxa"/>
            <w:vAlign w:val="bottom"/>
          </w:tcPr>
          <w:p>
            <w:pPr>
              <w:spacing w:after="0"/>
              <w:rPr>
                <w:sz w:val="1"/>
                <w:szCs w:val="1"/>
                <w:color w:val="auto"/>
              </w:rPr>
            </w:pPr>
          </w:p>
        </w:tc>
      </w:tr>
      <w:tr>
        <w:trPr>
          <w:trHeight w:val="237"/>
        </w:trPr>
        <w:tc>
          <w:tcPr>
            <w:tcW w:w="120" w:type="dxa"/>
            <w:vAlign w:val="bottom"/>
            <w:vMerge w:val="restart"/>
          </w:tcPr>
          <w:p>
            <w:pPr>
              <w:spacing w:after="0"/>
              <w:rPr>
                <w:sz w:val="20"/>
                <w:szCs w:val="20"/>
                <w:color w:val="auto"/>
              </w:rPr>
            </w:pPr>
          </w:p>
        </w:tc>
        <w:tc>
          <w:tcPr>
            <w:tcW w:w="64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vMerge w:val="restart"/>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2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80" w:type="dxa"/>
            <w:vAlign w:val="bottom"/>
            <w:gridSpan w:val="3"/>
          </w:tcPr>
          <w:p>
            <w:pPr>
              <w:spacing w:after="0" w:line="195" w:lineRule="exact"/>
              <w:rPr>
                <w:sz w:val="20"/>
                <w:szCs w:val="20"/>
                <w:color w:val="auto"/>
              </w:rPr>
            </w:pPr>
            <w:r>
              <w:rPr>
                <w:rFonts w:ascii="Arial" w:cs="Arial" w:eastAsia="Arial" w:hAnsi="Arial"/>
                <w:sz w:val="18"/>
                <w:szCs w:val="18"/>
                <w:color w:val="auto"/>
                <w:w w:val="93"/>
              </w:rPr>
              <w:t>Restated Articles of Incorporation of Rush Enterprises, Inc. (incorporated herein by reference to Exhibit 3.1 of the Company’s Quarterly</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80" w:type="dxa"/>
            <w:vAlign w:val="bottom"/>
            <w:gridSpan w:val="3"/>
          </w:tcPr>
          <w:p>
            <w:pPr>
              <w:spacing w:after="0"/>
              <w:rPr>
                <w:sz w:val="20"/>
                <w:szCs w:val="20"/>
                <w:color w:val="auto"/>
              </w:rPr>
            </w:pPr>
            <w:r>
              <w:rPr>
                <w:rFonts w:ascii="Arial" w:cs="Arial" w:eastAsia="Arial" w:hAnsi="Arial"/>
                <w:sz w:val="18"/>
                <w:szCs w:val="18"/>
                <w:color w:val="auto"/>
              </w:rPr>
              <w:t>Report on Form 10-Q (File No. 000-20797) for the quarter ended June 30, 2008)</w:t>
            </w:r>
          </w:p>
        </w:tc>
        <w:tc>
          <w:tcPr>
            <w:tcW w:w="0" w:type="dxa"/>
            <w:vAlign w:val="bottom"/>
          </w:tcPr>
          <w:p>
            <w:pPr>
              <w:spacing w:after="0"/>
              <w:rPr>
                <w:sz w:val="1"/>
                <w:szCs w:val="1"/>
                <w:color w:val="auto"/>
              </w:rPr>
            </w:pPr>
          </w:p>
        </w:tc>
      </w:tr>
      <w:tr>
        <w:trPr>
          <w:trHeight w:val="216"/>
        </w:trPr>
        <w:tc>
          <w:tcPr>
            <w:tcW w:w="760" w:type="dxa"/>
            <w:vAlign w:val="bottom"/>
            <w:gridSpan w:val="2"/>
          </w:tcPr>
          <w:p>
            <w:pPr>
              <w:jc w:val="center"/>
              <w:ind w:left="50"/>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18"/>
                <w:szCs w:val="18"/>
                <w:color w:val="auto"/>
              </w:rPr>
            </w:pPr>
          </w:p>
        </w:tc>
        <w:tc>
          <w:tcPr>
            <w:tcW w:w="10080" w:type="dxa"/>
            <w:vAlign w:val="bottom"/>
            <w:gridSpan w:val="3"/>
          </w:tcPr>
          <w:p>
            <w:pPr>
              <w:spacing w:after="0"/>
              <w:rPr>
                <w:sz w:val="20"/>
                <w:szCs w:val="20"/>
                <w:color w:val="auto"/>
              </w:rPr>
            </w:pPr>
            <w:r>
              <w:rPr>
                <w:rFonts w:ascii="Arial" w:cs="Arial" w:eastAsia="Arial" w:hAnsi="Arial"/>
                <w:sz w:val="18"/>
                <w:szCs w:val="18"/>
                <w:color w:val="auto"/>
                <w:w w:val="90"/>
              </w:rPr>
              <w:t>Rush Enterprises, Inc. Amended and Restated Bylaws (incorporated herein by reference to Exhibit 3.1 of the Company’s Current Report on</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80" w:type="dxa"/>
            <w:vAlign w:val="bottom"/>
            <w:gridSpan w:val="3"/>
          </w:tcPr>
          <w:p>
            <w:pPr>
              <w:spacing w:after="0"/>
              <w:rPr>
                <w:sz w:val="20"/>
                <w:szCs w:val="20"/>
                <w:color w:val="auto"/>
              </w:rPr>
            </w:pPr>
            <w:r>
              <w:rPr>
                <w:rFonts w:ascii="Arial" w:cs="Arial" w:eastAsia="Arial" w:hAnsi="Arial"/>
                <w:sz w:val="18"/>
                <w:szCs w:val="18"/>
                <w:color w:val="auto"/>
              </w:rPr>
              <w:t>Form 8-K (File No. 000-20797) filed May 21,2013)</w:t>
            </w:r>
          </w:p>
        </w:tc>
        <w:tc>
          <w:tcPr>
            <w:tcW w:w="0" w:type="dxa"/>
            <w:vAlign w:val="bottom"/>
          </w:tcPr>
          <w:p>
            <w:pPr>
              <w:spacing w:after="0"/>
              <w:rPr>
                <w:sz w:val="1"/>
                <w:szCs w:val="1"/>
                <w:color w:val="auto"/>
              </w:rPr>
            </w:pPr>
          </w:p>
        </w:tc>
      </w:tr>
      <w:tr>
        <w:trPr>
          <w:trHeight w:val="216"/>
        </w:trPr>
        <w:tc>
          <w:tcPr>
            <w:tcW w:w="7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18"/>
                <w:szCs w:val="18"/>
                <w:color w:val="auto"/>
              </w:rPr>
            </w:pPr>
          </w:p>
        </w:tc>
        <w:tc>
          <w:tcPr>
            <w:tcW w:w="10080" w:type="dxa"/>
            <w:vAlign w:val="bottom"/>
            <w:gridSpan w:val="3"/>
          </w:tcPr>
          <w:p>
            <w:pPr>
              <w:spacing w:after="0"/>
              <w:rPr>
                <w:sz w:val="20"/>
                <w:szCs w:val="20"/>
                <w:color w:val="auto"/>
              </w:rPr>
            </w:pPr>
            <w:r>
              <w:rPr>
                <w:rFonts w:ascii="Arial" w:cs="Arial" w:eastAsia="Arial" w:hAnsi="Arial"/>
                <w:sz w:val="18"/>
                <w:szCs w:val="18"/>
                <w:color w:val="auto"/>
                <w:w w:val="93"/>
              </w:rPr>
              <w:t>Fourth Amendment to Credit Agreement, dated as of June 30, 2015 by and among the Company, the Lenders signatory thereto and GE</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80" w:type="dxa"/>
            <w:vAlign w:val="bottom"/>
            <w:gridSpan w:val="3"/>
          </w:tcPr>
          <w:p>
            <w:pPr>
              <w:spacing w:after="0"/>
              <w:rPr>
                <w:sz w:val="20"/>
                <w:szCs w:val="20"/>
                <w:color w:val="auto"/>
              </w:rPr>
            </w:pPr>
            <w:r>
              <w:rPr>
                <w:rFonts w:ascii="Arial" w:cs="Arial" w:eastAsia="Arial" w:hAnsi="Arial"/>
                <w:sz w:val="18"/>
                <w:szCs w:val="18"/>
                <w:color w:val="auto"/>
                <w:w w:val="94"/>
              </w:rPr>
              <w:t>Capital Commercial Inc., as Administrative Agent for the Lenders (incorporated herein by reference to Exhibit 10.01 on the Company’s</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80" w:type="dxa"/>
            <w:vAlign w:val="bottom"/>
            <w:gridSpan w:val="3"/>
          </w:tcPr>
          <w:p>
            <w:pPr>
              <w:spacing w:after="0"/>
              <w:rPr>
                <w:sz w:val="20"/>
                <w:szCs w:val="20"/>
                <w:color w:val="auto"/>
              </w:rPr>
            </w:pPr>
            <w:r>
              <w:rPr>
                <w:rFonts w:ascii="Arial" w:cs="Arial" w:eastAsia="Arial" w:hAnsi="Arial"/>
                <w:sz w:val="18"/>
                <w:szCs w:val="18"/>
                <w:color w:val="auto"/>
              </w:rPr>
              <w:t>Current Report on Form 8-K (File No. 000-20797) filed July 7, 2015)</w:t>
            </w:r>
          </w:p>
        </w:tc>
        <w:tc>
          <w:tcPr>
            <w:tcW w:w="0" w:type="dxa"/>
            <w:vAlign w:val="bottom"/>
          </w:tcPr>
          <w:p>
            <w:pPr>
              <w:spacing w:after="0"/>
              <w:rPr>
                <w:sz w:val="1"/>
                <w:szCs w:val="1"/>
                <w:color w:val="auto"/>
              </w:rPr>
            </w:pPr>
          </w:p>
        </w:tc>
      </w:tr>
      <w:tr>
        <w:trPr>
          <w:trHeight w:val="216"/>
        </w:trPr>
        <w:tc>
          <w:tcPr>
            <w:tcW w:w="760" w:type="dxa"/>
            <w:vAlign w:val="bottom"/>
            <w:gridSpan w:val="2"/>
          </w:tcPr>
          <w:p>
            <w:pPr>
              <w:jc w:val="center"/>
              <w:ind w:left="30"/>
              <w:spacing w:after="0"/>
              <w:rPr>
                <w:sz w:val="20"/>
                <w:szCs w:val="20"/>
                <w:color w:val="auto"/>
              </w:rPr>
            </w:pPr>
            <w:r>
              <w:rPr>
                <w:rFonts w:ascii="Arial" w:cs="Arial" w:eastAsia="Arial" w:hAnsi="Arial"/>
                <w:sz w:val="18"/>
                <w:szCs w:val="18"/>
                <w:color w:val="auto"/>
                <w:w w:val="95"/>
              </w:rPr>
              <w:t>31.1*</w:t>
            </w:r>
          </w:p>
        </w:tc>
        <w:tc>
          <w:tcPr>
            <w:tcW w:w="120" w:type="dxa"/>
            <w:vAlign w:val="bottom"/>
          </w:tcPr>
          <w:p>
            <w:pPr>
              <w:spacing w:after="0"/>
              <w:rPr>
                <w:sz w:val="18"/>
                <w:szCs w:val="18"/>
                <w:color w:val="auto"/>
              </w:rPr>
            </w:pPr>
          </w:p>
        </w:tc>
        <w:tc>
          <w:tcPr>
            <w:tcW w:w="10080" w:type="dxa"/>
            <w:vAlign w:val="bottom"/>
            <w:gridSpan w:val="3"/>
          </w:tcPr>
          <w:p>
            <w:pPr>
              <w:spacing w:after="0"/>
              <w:rPr>
                <w:sz w:val="20"/>
                <w:szCs w:val="20"/>
                <w:color w:val="auto"/>
              </w:rPr>
            </w:pPr>
            <w:r>
              <w:rPr>
                <w:rFonts w:ascii="Arial" w:cs="Arial" w:eastAsia="Arial" w:hAnsi="Arial"/>
                <w:sz w:val="18"/>
                <w:szCs w:val="18"/>
                <w:color w:val="auto"/>
                <w:w w:val="95"/>
              </w:rPr>
              <w:t>Certification of CEO pursuant to Rules 13a-14(a) and 15d-14(a) adopted pursuant to Section 302 of the Sarbanes-Oxley Act of 2002.</w:t>
            </w:r>
          </w:p>
        </w:tc>
        <w:tc>
          <w:tcPr>
            <w:tcW w:w="0" w:type="dxa"/>
            <w:vAlign w:val="bottom"/>
          </w:tcPr>
          <w:p>
            <w:pPr>
              <w:spacing w:after="0"/>
              <w:rPr>
                <w:sz w:val="1"/>
                <w:szCs w:val="1"/>
                <w:color w:val="auto"/>
              </w:rPr>
            </w:pPr>
          </w:p>
        </w:tc>
      </w:tr>
      <w:tr>
        <w:trPr>
          <w:trHeight w:val="216"/>
        </w:trPr>
        <w:tc>
          <w:tcPr>
            <w:tcW w:w="760" w:type="dxa"/>
            <w:vAlign w:val="bottom"/>
            <w:gridSpan w:val="2"/>
          </w:tcPr>
          <w:p>
            <w:pPr>
              <w:jc w:val="center"/>
              <w:ind w:left="30"/>
              <w:spacing w:after="0"/>
              <w:rPr>
                <w:sz w:val="20"/>
                <w:szCs w:val="20"/>
                <w:color w:val="auto"/>
              </w:rPr>
            </w:pPr>
            <w:r>
              <w:rPr>
                <w:rFonts w:ascii="Arial" w:cs="Arial" w:eastAsia="Arial" w:hAnsi="Arial"/>
                <w:sz w:val="18"/>
                <w:szCs w:val="18"/>
                <w:color w:val="auto"/>
                <w:w w:val="95"/>
              </w:rPr>
              <w:t>31.2*</w:t>
            </w:r>
          </w:p>
        </w:tc>
        <w:tc>
          <w:tcPr>
            <w:tcW w:w="120" w:type="dxa"/>
            <w:vAlign w:val="bottom"/>
          </w:tcPr>
          <w:p>
            <w:pPr>
              <w:spacing w:after="0"/>
              <w:rPr>
                <w:sz w:val="18"/>
                <w:szCs w:val="18"/>
                <w:color w:val="auto"/>
              </w:rPr>
            </w:pPr>
          </w:p>
        </w:tc>
        <w:tc>
          <w:tcPr>
            <w:tcW w:w="10080" w:type="dxa"/>
            <w:vAlign w:val="bottom"/>
            <w:gridSpan w:val="3"/>
          </w:tcPr>
          <w:p>
            <w:pPr>
              <w:spacing w:after="0"/>
              <w:rPr>
                <w:sz w:val="20"/>
                <w:szCs w:val="20"/>
                <w:color w:val="auto"/>
              </w:rPr>
            </w:pPr>
            <w:r>
              <w:rPr>
                <w:rFonts w:ascii="Arial" w:cs="Arial" w:eastAsia="Arial" w:hAnsi="Arial"/>
                <w:sz w:val="18"/>
                <w:szCs w:val="18"/>
                <w:color w:val="auto"/>
                <w:w w:val="95"/>
              </w:rPr>
              <w:t>Certification of CFO pursuant to Rules 13a-14(a) and 15d-14(a) adopted pursuant to Section 302 of the Sarbanes-Oxley Act of 2002.</w:t>
            </w:r>
          </w:p>
        </w:tc>
        <w:tc>
          <w:tcPr>
            <w:tcW w:w="0" w:type="dxa"/>
            <w:vAlign w:val="bottom"/>
          </w:tcPr>
          <w:p>
            <w:pPr>
              <w:spacing w:after="0"/>
              <w:rPr>
                <w:sz w:val="1"/>
                <w:szCs w:val="1"/>
                <w:color w:val="auto"/>
              </w:rPr>
            </w:pPr>
          </w:p>
        </w:tc>
      </w:tr>
      <w:tr>
        <w:trPr>
          <w:trHeight w:val="216"/>
        </w:trPr>
        <w:tc>
          <w:tcPr>
            <w:tcW w:w="760" w:type="dxa"/>
            <w:vAlign w:val="bottom"/>
            <w:gridSpan w:val="2"/>
          </w:tcPr>
          <w:p>
            <w:pPr>
              <w:jc w:val="center"/>
              <w:ind w:left="9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8"/>
                <w:szCs w:val="18"/>
                <w:color w:val="auto"/>
              </w:rPr>
            </w:pPr>
          </w:p>
        </w:tc>
        <w:tc>
          <w:tcPr>
            <w:tcW w:w="10080" w:type="dxa"/>
            <w:vAlign w:val="bottom"/>
            <w:gridSpan w:val="3"/>
          </w:tcPr>
          <w:p>
            <w:pPr>
              <w:spacing w:after="0"/>
              <w:rPr>
                <w:sz w:val="20"/>
                <w:szCs w:val="20"/>
                <w:color w:val="auto"/>
              </w:rPr>
            </w:pPr>
            <w:r>
              <w:rPr>
                <w:rFonts w:ascii="Arial" w:cs="Arial" w:eastAsia="Arial" w:hAnsi="Arial"/>
                <w:sz w:val="18"/>
                <w:szCs w:val="18"/>
                <w:color w:val="auto"/>
                <w:w w:val="98"/>
              </w:rPr>
              <w:t>Certification of CEO pursuant to 18 U.S.C. Section 1350 as adopted pursuant to Section 906 of the Sarbanes-Oxley Act of 2002.</w:t>
            </w:r>
          </w:p>
        </w:tc>
        <w:tc>
          <w:tcPr>
            <w:tcW w:w="0" w:type="dxa"/>
            <w:vAlign w:val="bottom"/>
          </w:tcPr>
          <w:p>
            <w:pPr>
              <w:spacing w:after="0"/>
              <w:rPr>
                <w:sz w:val="1"/>
                <w:szCs w:val="1"/>
                <w:color w:val="auto"/>
              </w:rPr>
            </w:pPr>
          </w:p>
        </w:tc>
      </w:tr>
      <w:tr>
        <w:trPr>
          <w:trHeight w:val="216"/>
        </w:trPr>
        <w:tc>
          <w:tcPr>
            <w:tcW w:w="760" w:type="dxa"/>
            <w:vAlign w:val="bottom"/>
            <w:gridSpan w:val="2"/>
          </w:tcPr>
          <w:p>
            <w:pPr>
              <w:jc w:val="center"/>
              <w:ind w:left="9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8"/>
                <w:szCs w:val="18"/>
                <w:color w:val="auto"/>
              </w:rPr>
            </w:pPr>
          </w:p>
        </w:tc>
        <w:tc>
          <w:tcPr>
            <w:tcW w:w="10080" w:type="dxa"/>
            <w:vAlign w:val="bottom"/>
            <w:gridSpan w:val="3"/>
          </w:tcPr>
          <w:p>
            <w:pPr>
              <w:spacing w:after="0"/>
              <w:rPr>
                <w:sz w:val="20"/>
                <w:szCs w:val="20"/>
                <w:color w:val="auto"/>
              </w:rPr>
            </w:pPr>
            <w:r>
              <w:rPr>
                <w:rFonts w:ascii="Arial" w:cs="Arial" w:eastAsia="Arial" w:hAnsi="Arial"/>
                <w:sz w:val="18"/>
                <w:szCs w:val="18"/>
                <w:color w:val="auto"/>
                <w:w w:val="98"/>
              </w:rPr>
              <w:t>Certification of CFO pursuant to 18 U.S.C. Section 1350 as adopted pursuant to Section 906 of the Sarbanes-Oxley Act of 2002.</w:t>
            </w:r>
          </w:p>
        </w:tc>
        <w:tc>
          <w:tcPr>
            <w:tcW w:w="0" w:type="dxa"/>
            <w:vAlign w:val="bottom"/>
          </w:tcPr>
          <w:p>
            <w:pPr>
              <w:spacing w:after="0"/>
              <w:rPr>
                <w:sz w:val="1"/>
                <w:szCs w:val="1"/>
                <w:color w:val="auto"/>
              </w:rPr>
            </w:pPr>
          </w:p>
        </w:tc>
      </w:tr>
      <w:tr>
        <w:trPr>
          <w:trHeight w:val="216"/>
        </w:trPr>
        <w:tc>
          <w:tcPr>
            <w:tcW w:w="88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080" w:type="dxa"/>
            <w:vAlign w:val="bottom"/>
            <w:gridSpan w:val="3"/>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88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080" w:type="dxa"/>
            <w:vAlign w:val="bottom"/>
            <w:gridSpan w:val="3"/>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88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08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88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080" w:type="dxa"/>
            <w:vAlign w:val="bottom"/>
            <w:gridSpan w:val="3"/>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88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080" w:type="dxa"/>
            <w:vAlign w:val="bottom"/>
            <w:gridSpan w:val="3"/>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88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080" w:type="dxa"/>
            <w:vAlign w:val="bottom"/>
            <w:gridSpan w:val="3"/>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60" w:hanging="652"/>
        <w:spacing w:after="0" w:line="25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exhibit shall not be deemed “filed” for purposes of Section 18 of the Securities Exchange Act of 1934, or otherwise subject to the liability of that section, and shall not be deemed to be incorporated by reference into any filing under the Securities Act of 1933 or the Securities Exchange Act of 1934.</w:t>
      </w:r>
    </w:p>
    <w:p>
      <w:pPr>
        <w:spacing w:after="0" w:line="200" w:lineRule="exact"/>
        <w:rPr>
          <w:sz w:val="20"/>
          <w:szCs w:val="20"/>
          <w:color w:val="auto"/>
        </w:rPr>
      </w:pPr>
    </w:p>
    <w:p>
      <w:pPr>
        <w:spacing w:after="0" w:line="26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20"/>
          </w:cols>
          <w:pgMar w:left="240" w:top="118"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u w:val="single" w:color="auto"/>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I, W.M. “Rusty” Rush, certify that:</w:t>
      </w:r>
    </w:p>
    <w:p>
      <w:pPr>
        <w:spacing w:after="0" w:line="225"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225" w:lineRule="exact"/>
        <w:rPr>
          <w:rFonts w:ascii="Arial" w:cs="Arial" w:eastAsia="Arial" w:hAnsi="Arial"/>
          <w:sz w:val="18"/>
          <w:szCs w:val="18"/>
          <w:color w:val="auto"/>
        </w:rPr>
      </w:pPr>
    </w:p>
    <w:p>
      <w:pPr>
        <w:jc w:val="both"/>
        <w:ind w:right="20" w:firstLine="8"/>
        <w:spacing w:after="0" w:line="342" w:lineRule="auto"/>
        <w:tabs>
          <w:tab w:leader="none" w:pos="391"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 w:firstLine="8"/>
        <w:spacing w:after="0" w:line="277" w:lineRule="auto"/>
        <w:tabs>
          <w:tab w:leader="none" w:pos="389"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right="20" w:firstLine="656"/>
        <w:spacing w:after="0" w:line="264" w:lineRule="auto"/>
        <w:tabs>
          <w:tab w:leader="none" w:pos="1263"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right="20" w:firstLine="656"/>
        <w:spacing w:after="0" w:line="264" w:lineRule="auto"/>
        <w:tabs>
          <w:tab w:leader="none" w:pos="1108"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20" w:firstLine="656"/>
        <w:spacing w:after="0" w:line="308" w:lineRule="auto"/>
        <w:tabs>
          <w:tab w:leader="none" w:pos="1172" w:val="left"/>
        </w:tabs>
        <w:numPr>
          <w:ilvl w:val="1"/>
          <w:numId w:val="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656"/>
        <w:spacing w:after="0" w:line="264" w:lineRule="auto"/>
        <w:tabs>
          <w:tab w:leader="none" w:pos="1167"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8"/>
        <w:spacing w:after="0" w:line="308" w:lineRule="auto"/>
        <w:tabs>
          <w:tab w:leader="none" w:pos="374"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right="20" w:firstLine="656"/>
        <w:spacing w:after="0" w:line="277" w:lineRule="auto"/>
        <w:tabs>
          <w:tab w:leader="none" w:pos="1213"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656"/>
        <w:spacing w:after="0" w:line="277" w:lineRule="auto"/>
        <w:tabs>
          <w:tab w:leader="none" w:pos="1146"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20" w:type="dxa"/>
            <w:vAlign w:val="bottom"/>
          </w:tcPr>
          <w:p>
            <w:pPr>
              <w:spacing w:after="0"/>
              <w:rPr>
                <w:sz w:val="20"/>
                <w:szCs w:val="20"/>
                <w:color w:val="auto"/>
              </w:rPr>
            </w:pPr>
            <w:r>
              <w:rPr>
                <w:rFonts w:ascii="Arial" w:cs="Arial" w:eastAsia="Arial" w:hAnsi="Arial"/>
                <w:sz w:val="18"/>
                <w:szCs w:val="18"/>
                <w:color w:val="auto"/>
              </w:rPr>
              <w:t>Date:   August 7, 2015</w:t>
            </w:r>
          </w:p>
        </w:tc>
        <w:tc>
          <w:tcPr>
            <w:tcW w:w="5120" w:type="dxa"/>
            <w:vAlign w:val="bottom"/>
            <w:gridSpan w:val="3"/>
          </w:tcPr>
          <w:p>
            <w:pPr>
              <w:ind w:left="2000"/>
              <w:spacing w:after="0"/>
              <w:rPr>
                <w:sz w:val="20"/>
                <w:szCs w:val="20"/>
                <w:color w:val="auto"/>
              </w:rPr>
            </w:pPr>
            <w:r>
              <w:rPr>
                <w:rFonts w:ascii="Arial" w:cs="Arial" w:eastAsia="Arial" w:hAnsi="Arial"/>
                <w:sz w:val="18"/>
                <w:szCs w:val="18"/>
                <w:color w:val="auto"/>
              </w:rPr>
              <w:t>By:  /S/ W.M. “RUSTY” RUSH</w:t>
            </w:r>
          </w:p>
        </w:tc>
      </w:tr>
      <w:tr>
        <w:trPr>
          <w:trHeight w:val="222"/>
        </w:trPr>
        <w:tc>
          <w:tcPr>
            <w:tcW w:w="37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W.M. “Rusty” Rush</w:t>
            </w:r>
          </w:p>
        </w:tc>
        <w:tc>
          <w:tcPr>
            <w:tcW w:w="760" w:type="dxa"/>
            <w:vAlign w:val="bottom"/>
          </w:tcPr>
          <w:p>
            <w:pPr>
              <w:spacing w:after="0"/>
              <w:rPr>
                <w:sz w:val="19"/>
                <w:szCs w:val="19"/>
                <w:color w:val="auto"/>
              </w:rPr>
            </w:pPr>
          </w:p>
        </w:tc>
      </w:tr>
      <w:tr>
        <w:trPr>
          <w:trHeight w:val="216"/>
        </w:trPr>
        <w:tc>
          <w:tcPr>
            <w:tcW w:w="37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0"/>
              </w:rPr>
              <w:t>President, Chief Executive Officer and</w:t>
            </w:r>
          </w:p>
        </w:tc>
      </w:tr>
      <w:tr>
        <w:trPr>
          <w:trHeight w:val="216"/>
        </w:trPr>
        <w:tc>
          <w:tcPr>
            <w:tcW w:w="37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Chairman of the Board</w:t>
            </w:r>
          </w:p>
        </w:tc>
      </w:tr>
      <w:tr>
        <w:trPr>
          <w:trHeight w:val="230"/>
        </w:trPr>
        <w:tc>
          <w:tcPr>
            <w:tcW w:w="37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040"/>
          </w:cols>
          <w:pgMar w:left="240" w:top="125" w:right="61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u w:val="single" w:color="auto"/>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Steven L. Keller, certify that:</w:t>
      </w:r>
    </w:p>
    <w:p>
      <w:pPr>
        <w:spacing w:after="0" w:line="225"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225" w:lineRule="exact"/>
        <w:rPr>
          <w:rFonts w:ascii="Arial" w:cs="Arial" w:eastAsia="Arial" w:hAnsi="Arial"/>
          <w:sz w:val="18"/>
          <w:szCs w:val="18"/>
          <w:color w:val="auto"/>
        </w:rPr>
      </w:pPr>
    </w:p>
    <w:p>
      <w:pPr>
        <w:jc w:val="both"/>
        <w:ind w:right="20" w:firstLine="8"/>
        <w:spacing w:after="0" w:line="342" w:lineRule="auto"/>
        <w:tabs>
          <w:tab w:leader="none" w:pos="391"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 w:firstLine="8"/>
        <w:spacing w:after="0" w:line="277" w:lineRule="auto"/>
        <w:tabs>
          <w:tab w:leader="none" w:pos="389"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right="20" w:firstLine="656"/>
        <w:spacing w:after="0" w:line="264" w:lineRule="auto"/>
        <w:tabs>
          <w:tab w:leader="none" w:pos="1263"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right="20" w:firstLine="656"/>
        <w:spacing w:after="0" w:line="264" w:lineRule="auto"/>
        <w:tabs>
          <w:tab w:leader="none" w:pos="1108"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20" w:firstLine="656"/>
        <w:spacing w:after="0" w:line="308" w:lineRule="auto"/>
        <w:tabs>
          <w:tab w:leader="none" w:pos="1172" w:val="left"/>
        </w:tabs>
        <w:numPr>
          <w:ilvl w:val="1"/>
          <w:numId w:val="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656"/>
        <w:spacing w:after="0" w:line="264" w:lineRule="auto"/>
        <w:tabs>
          <w:tab w:leader="none" w:pos="1167"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8"/>
        <w:spacing w:after="0" w:line="308" w:lineRule="auto"/>
        <w:tabs>
          <w:tab w:leader="none" w:pos="374"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right="20" w:firstLine="656"/>
        <w:spacing w:after="0" w:line="277" w:lineRule="auto"/>
        <w:tabs>
          <w:tab w:leader="none" w:pos="1213"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656"/>
        <w:spacing w:after="0" w:line="277" w:lineRule="auto"/>
        <w:tabs>
          <w:tab w:leader="none" w:pos="1146"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20" w:type="dxa"/>
            <w:vAlign w:val="bottom"/>
          </w:tcPr>
          <w:p>
            <w:pPr>
              <w:spacing w:after="0"/>
              <w:rPr>
                <w:sz w:val="20"/>
                <w:szCs w:val="20"/>
                <w:color w:val="auto"/>
              </w:rPr>
            </w:pPr>
            <w:r>
              <w:rPr>
                <w:rFonts w:ascii="Arial" w:cs="Arial" w:eastAsia="Arial" w:hAnsi="Arial"/>
                <w:sz w:val="18"/>
                <w:szCs w:val="18"/>
                <w:color w:val="auto"/>
              </w:rPr>
              <w:t>Date:   August 7, 2015</w:t>
            </w:r>
          </w:p>
        </w:tc>
        <w:tc>
          <w:tcPr>
            <w:tcW w:w="5960" w:type="dxa"/>
            <w:vAlign w:val="bottom"/>
            <w:gridSpan w:val="3"/>
          </w:tcPr>
          <w:p>
            <w:pPr>
              <w:ind w:left="2000"/>
              <w:spacing w:after="0"/>
              <w:rPr>
                <w:sz w:val="20"/>
                <w:szCs w:val="20"/>
                <w:color w:val="auto"/>
              </w:rPr>
            </w:pPr>
            <w:r>
              <w:rPr>
                <w:rFonts w:ascii="Arial" w:cs="Arial" w:eastAsia="Arial" w:hAnsi="Arial"/>
                <w:sz w:val="18"/>
                <w:szCs w:val="18"/>
                <w:color w:val="auto"/>
              </w:rPr>
              <w:t>By: /S/ STEVEN L. KELLER</w:t>
            </w:r>
          </w:p>
        </w:tc>
      </w:tr>
      <w:tr>
        <w:trPr>
          <w:trHeight w:val="222"/>
        </w:trPr>
        <w:tc>
          <w:tcPr>
            <w:tcW w:w="37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Steven L. Keller</w:t>
            </w:r>
          </w:p>
        </w:tc>
        <w:tc>
          <w:tcPr>
            <w:tcW w:w="1760" w:type="dxa"/>
            <w:vAlign w:val="bottom"/>
          </w:tcPr>
          <w:p>
            <w:pPr>
              <w:spacing w:after="0"/>
              <w:rPr>
                <w:sz w:val="19"/>
                <w:szCs w:val="19"/>
                <w:color w:val="auto"/>
              </w:rPr>
            </w:pPr>
          </w:p>
        </w:tc>
      </w:tr>
      <w:tr>
        <w:trPr>
          <w:trHeight w:val="216"/>
        </w:trPr>
        <w:tc>
          <w:tcPr>
            <w:tcW w:w="37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w w:val="91"/>
              </w:rPr>
              <w:t>Senior Vice President, Chief Financial Officer and</w:t>
            </w:r>
          </w:p>
        </w:tc>
      </w:tr>
      <w:tr>
        <w:trPr>
          <w:trHeight w:val="216"/>
        </w:trPr>
        <w:tc>
          <w:tcPr>
            <w:tcW w:w="37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Treasurer</w:t>
            </w:r>
          </w:p>
        </w:tc>
      </w:tr>
      <w:tr>
        <w:trPr>
          <w:trHeight w:val="230"/>
        </w:trPr>
        <w:tc>
          <w:tcPr>
            <w:tcW w:w="37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040"/>
          </w:cols>
          <w:pgMar w:left="240" w:top="125" w:right="61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u w:val="single" w:color="auto"/>
          <w:color w:val="auto"/>
        </w:rPr>
        <w:t>EXHIBIT 32.1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In connection with this quarterly report of Rush Enterprises, Inc. (the “</w:t>
      </w:r>
      <w:r>
        <w:rPr>
          <w:rFonts w:ascii="Arial" w:cs="Arial" w:eastAsia="Arial" w:hAnsi="Arial"/>
          <w:sz w:val="16"/>
          <w:szCs w:val="16"/>
          <w:u w:val="single" w:color="auto"/>
          <w:color w:val="auto"/>
        </w:rPr>
        <w:t>Company</w:t>
      </w:r>
      <w:r>
        <w:rPr>
          <w:rFonts w:ascii="Arial" w:cs="Arial" w:eastAsia="Arial" w:hAnsi="Arial"/>
          <w:sz w:val="16"/>
          <w:szCs w:val="16"/>
          <w:color w:val="auto"/>
        </w:rPr>
        <w:t>”) on Form 10-Q for the period ended June 30, 2015, as filed with the Securities and Exchange Commission on the date hereof (the “</w:t>
      </w:r>
      <w:r>
        <w:rPr>
          <w:rFonts w:ascii="Arial" w:cs="Arial" w:eastAsia="Arial" w:hAnsi="Arial"/>
          <w:sz w:val="16"/>
          <w:szCs w:val="16"/>
          <w:u w:val="single" w:color="auto"/>
          <w:color w:val="auto"/>
        </w:rPr>
        <w:t>Report</w:t>
      </w:r>
      <w:r>
        <w:rPr>
          <w:rFonts w:ascii="Arial" w:cs="Arial" w:eastAsia="Arial" w:hAnsi="Arial"/>
          <w:sz w:val="16"/>
          <w:szCs w:val="16"/>
          <w:color w:val="auto"/>
        </w:rPr>
        <w:t>”), I, W.M. “Rusty” Rush, President, Chief Executive Officer and Chairman of the Board of the Company, certify, pursuant to 18 U.S.C. Section 1350, as adopted pursuant to Section 906 of the Sarbanes-Oxley Act of 2002, that:</w:t>
      </w:r>
    </w:p>
    <w:p>
      <w:pPr>
        <w:spacing w:after="0" w:line="147"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5460"/>
        <w:spacing w:after="0"/>
        <w:tabs>
          <w:tab w:leader="none" w:pos="5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W.M. “RUSTY” RUSH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3634740</wp:posOffset>
            </wp:positionH>
            <wp:positionV relativeFrom="paragraph">
              <wp:posOffset>-19050</wp:posOffset>
            </wp:positionV>
            <wp:extent cx="144970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49705" cy="8890"/>
                    </a:xfrm>
                    <a:prstGeom prst="rect">
                      <a:avLst/>
                    </a:prstGeom>
                    <a:noFill/>
                  </pic:spPr>
                </pic:pic>
              </a:graphicData>
            </a:graphic>
          </wp:anchor>
        </w:drawing>
      </w:r>
    </w:p>
    <w:p>
      <w:pPr>
        <w:ind w:left="5460"/>
        <w:spacing w:after="0"/>
        <w:rPr>
          <w:sz w:val="20"/>
          <w:szCs w:val="20"/>
          <w:color w:val="auto"/>
        </w:rPr>
      </w:pPr>
      <w:r>
        <w:rPr>
          <w:rFonts w:ascii="Arial" w:cs="Arial" w:eastAsia="Arial" w:hAnsi="Arial"/>
          <w:sz w:val="18"/>
          <w:szCs w:val="18"/>
          <w:color w:val="auto"/>
        </w:rPr>
        <w:t>Name:W.M. “Rusty” Rush</w:t>
      </w:r>
    </w:p>
    <w:p>
      <w:pPr>
        <w:spacing w:after="0" w:line="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Title: President, Chief Executive Officer and</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Date: August 7, 2015</w:t>
      </w:r>
    </w:p>
    <w:p>
      <w:pPr>
        <w:spacing w:after="0" w:line="200" w:lineRule="exact"/>
        <w:rPr>
          <w:sz w:val="20"/>
          <w:szCs w:val="20"/>
          <w:color w:val="auto"/>
        </w:rPr>
      </w:pPr>
    </w:p>
    <w:p>
      <w:pPr>
        <w:spacing w:after="0" w:line="2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040"/>
          </w:cols>
          <w:pgMar w:left="240" w:top="125" w:right="61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u w:val="single" w:color="auto"/>
          <w:color w:val="auto"/>
        </w:rPr>
        <w:t>EXHIBIT 32.2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this quarterly report of Rush Enterprises, Inc. (the “</w:t>
      </w:r>
      <w:r>
        <w:rPr>
          <w:rFonts w:ascii="Arial" w:cs="Arial" w:eastAsia="Arial" w:hAnsi="Arial"/>
          <w:sz w:val="16"/>
          <w:szCs w:val="16"/>
          <w:u w:val="single" w:color="auto"/>
          <w:color w:val="auto"/>
        </w:rPr>
        <w:t>Company</w:t>
      </w:r>
      <w:r>
        <w:rPr>
          <w:rFonts w:ascii="Arial" w:cs="Arial" w:eastAsia="Arial" w:hAnsi="Arial"/>
          <w:sz w:val="16"/>
          <w:szCs w:val="16"/>
          <w:color w:val="auto"/>
        </w:rPr>
        <w:t>”) on Form 10-Q for the period ended June 30, 2015, as filed with the Securities and Exchange Commission on the date hereof (the “</w:t>
      </w:r>
      <w:r>
        <w:rPr>
          <w:rFonts w:ascii="Arial" w:cs="Arial" w:eastAsia="Arial" w:hAnsi="Arial"/>
          <w:sz w:val="16"/>
          <w:szCs w:val="16"/>
          <w:u w:val="single" w:color="auto"/>
          <w:color w:val="auto"/>
        </w:rPr>
        <w:t>Report</w:t>
      </w:r>
      <w:r>
        <w:rPr>
          <w:rFonts w:ascii="Arial" w:cs="Arial" w:eastAsia="Arial" w:hAnsi="Arial"/>
          <w:sz w:val="16"/>
          <w:szCs w:val="16"/>
          <w:color w:val="auto"/>
        </w:rPr>
        <w:t>”), I, Steven L. Keller, Senior Vice President, Chief Financial Officer and Treasurer of the Company, certify, pursuant to 18 U.S.C. Section 1350, as adopted pursuant to Section 906 of the Sarbanes-Oxley Act of 2002, that:</w:t>
      </w:r>
    </w:p>
    <w:p>
      <w:pPr>
        <w:spacing w:after="0" w:line="147"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5260"/>
        <w:spacing w:after="0"/>
        <w:tabs>
          <w:tab w:leader="none" w:pos="5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L.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3506470</wp:posOffset>
            </wp:positionH>
            <wp:positionV relativeFrom="paragraph">
              <wp:posOffset>-19050</wp:posOffset>
            </wp:positionV>
            <wp:extent cx="13589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58900" cy="8890"/>
                    </a:xfrm>
                    <a:prstGeom prst="rect">
                      <a:avLst/>
                    </a:prstGeom>
                    <a:noFill/>
                  </pic:spPr>
                </pic:pic>
              </a:graphicData>
            </a:graphic>
          </wp:anchor>
        </w:drawing>
      </w:r>
    </w:p>
    <w:p>
      <w:pPr>
        <w:ind w:left="5260"/>
        <w:spacing w:after="0"/>
        <w:rPr>
          <w:sz w:val="20"/>
          <w:szCs w:val="20"/>
          <w:color w:val="auto"/>
        </w:rPr>
      </w:pPr>
      <w:r>
        <w:rPr>
          <w:rFonts w:ascii="Arial" w:cs="Arial" w:eastAsia="Arial" w:hAnsi="Arial"/>
          <w:sz w:val="18"/>
          <w:szCs w:val="18"/>
          <w:color w:val="auto"/>
        </w:rPr>
        <w:t>Name:Steven L. Keller</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Title: Senior Vice President, Chief Financial Officer and</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Treasurer</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Date: August 7, 2015</w:t>
      </w:r>
    </w:p>
    <w:p>
      <w:pPr>
        <w:spacing w:after="0" w:line="200" w:lineRule="exact"/>
        <w:rPr>
          <w:sz w:val="20"/>
          <w:szCs w:val="20"/>
          <w:color w:val="auto"/>
        </w:rPr>
      </w:pPr>
    </w:p>
    <w:p>
      <w:pPr>
        <w:spacing w:after="0" w:line="2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040"/>
      </w:cols>
      <w:pgMar w:left="240" w:top="125"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endash "/>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2019-12-29T15:28:43Z</dcterms:created>
  <dcterms:modified xsi:type="dcterms:W3CDTF">2019-12-29T15:28:43Z</dcterms:modified>
</cp:coreProperties>
</file>